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
        <w:tblW w:w="1629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74"/>
        <w:gridCol w:w="4074"/>
        <w:gridCol w:w="4074"/>
        <w:gridCol w:w="4075"/>
      </w:tblGrid>
      <w:tr w:rsidR="00ED6416" w:rsidRPr="00C93770" w14:paraId="5AE9D02A" w14:textId="13102CFF" w:rsidTr="1756A420">
        <w:tc>
          <w:tcPr>
            <w:tcW w:w="4074" w:type="dxa"/>
            <w:shd w:val="clear" w:color="auto" w:fill="D9D9D9" w:themeFill="background1" w:themeFillShade="D9"/>
            <w:vAlign w:val="center"/>
          </w:tcPr>
          <w:p w14:paraId="3AAF5D41" w14:textId="77777777" w:rsidR="00ED6416" w:rsidRPr="00D462F0" w:rsidRDefault="00ED6416" w:rsidP="00D462F0">
            <w:pPr>
              <w:jc w:val="center"/>
              <w:rPr>
                <w:rFonts w:asciiTheme="majorHAnsi" w:hAnsiTheme="majorHAnsi" w:cstheme="majorHAnsi"/>
                <w:b/>
                <w:bCs/>
                <w:sz w:val="24"/>
                <w:szCs w:val="24"/>
              </w:rPr>
            </w:pPr>
            <w:r w:rsidRPr="00D462F0">
              <w:rPr>
                <w:rFonts w:asciiTheme="majorHAnsi" w:hAnsiTheme="majorHAnsi" w:cstheme="majorHAnsi"/>
                <w:b/>
                <w:bCs/>
                <w:sz w:val="24"/>
                <w:szCs w:val="24"/>
              </w:rPr>
              <w:t>DE</w:t>
            </w:r>
          </w:p>
        </w:tc>
        <w:tc>
          <w:tcPr>
            <w:tcW w:w="4074" w:type="dxa"/>
            <w:shd w:val="clear" w:color="auto" w:fill="D9D9D9" w:themeFill="background1" w:themeFillShade="D9"/>
            <w:vAlign w:val="center"/>
          </w:tcPr>
          <w:p w14:paraId="74996326" w14:textId="77777777" w:rsidR="00ED6416" w:rsidRPr="00D462F0" w:rsidRDefault="00ED6416" w:rsidP="00D462F0">
            <w:pPr>
              <w:jc w:val="center"/>
              <w:rPr>
                <w:rFonts w:asciiTheme="majorHAnsi" w:hAnsiTheme="majorHAnsi" w:cstheme="majorHAnsi"/>
                <w:b/>
                <w:bCs/>
                <w:sz w:val="24"/>
                <w:szCs w:val="24"/>
              </w:rPr>
            </w:pPr>
            <w:r w:rsidRPr="00D462F0">
              <w:rPr>
                <w:rFonts w:asciiTheme="majorHAnsi" w:hAnsiTheme="majorHAnsi" w:cstheme="majorHAnsi"/>
                <w:b/>
                <w:bCs/>
                <w:sz w:val="24"/>
                <w:szCs w:val="24"/>
              </w:rPr>
              <w:t>PARA</w:t>
            </w:r>
          </w:p>
        </w:tc>
        <w:tc>
          <w:tcPr>
            <w:tcW w:w="4074" w:type="dxa"/>
            <w:shd w:val="clear" w:color="auto" w:fill="D9D9D9" w:themeFill="background1" w:themeFillShade="D9"/>
            <w:vAlign w:val="center"/>
          </w:tcPr>
          <w:p w14:paraId="3B7D8F28" w14:textId="1E1A92B2" w:rsidR="00ED6416" w:rsidRPr="00D462F0" w:rsidRDefault="00ED6416" w:rsidP="00D462F0">
            <w:pPr>
              <w:jc w:val="center"/>
              <w:rPr>
                <w:rFonts w:asciiTheme="majorHAnsi" w:hAnsiTheme="majorHAnsi" w:cstheme="majorHAnsi"/>
                <w:b/>
                <w:bCs/>
                <w:sz w:val="24"/>
                <w:szCs w:val="24"/>
              </w:rPr>
            </w:pPr>
            <w:r w:rsidRPr="00D462F0">
              <w:rPr>
                <w:rFonts w:asciiTheme="majorHAnsi" w:hAnsiTheme="majorHAnsi" w:cstheme="majorHAnsi"/>
                <w:b/>
                <w:bCs/>
                <w:sz w:val="24"/>
                <w:szCs w:val="24"/>
              </w:rPr>
              <w:t>JUSTIFICATIVA DA ALTERAÇÃO</w:t>
            </w:r>
          </w:p>
        </w:tc>
        <w:tc>
          <w:tcPr>
            <w:tcW w:w="4075" w:type="dxa"/>
            <w:shd w:val="clear" w:color="auto" w:fill="D9D9D9" w:themeFill="background1" w:themeFillShade="D9"/>
            <w:vAlign w:val="center"/>
          </w:tcPr>
          <w:p w14:paraId="6E9AF578" w14:textId="6F730F31" w:rsidR="00ED6416" w:rsidRPr="00D462F0" w:rsidRDefault="00ED6416" w:rsidP="00D462F0">
            <w:pPr>
              <w:jc w:val="center"/>
              <w:rPr>
                <w:rFonts w:asciiTheme="majorHAnsi" w:hAnsiTheme="majorHAnsi" w:cstheme="majorHAnsi"/>
                <w:b/>
                <w:bCs/>
                <w:sz w:val="24"/>
                <w:szCs w:val="24"/>
              </w:rPr>
            </w:pPr>
            <w:r w:rsidRPr="00D462F0">
              <w:rPr>
                <w:rFonts w:asciiTheme="majorHAnsi" w:hAnsiTheme="majorHAnsi" w:cstheme="majorHAnsi"/>
                <w:b/>
                <w:bCs/>
                <w:sz w:val="24"/>
                <w:szCs w:val="24"/>
              </w:rPr>
              <w:t>FUNDAMENTAÇÃO DA DISPENSA DE AIR</w:t>
            </w:r>
          </w:p>
        </w:tc>
      </w:tr>
      <w:tr w:rsidR="00ED6416" w:rsidRPr="00C93770" w14:paraId="42C75CAA" w14:textId="49C7FDB2" w:rsidTr="1756A420">
        <w:tc>
          <w:tcPr>
            <w:tcW w:w="4074" w:type="dxa"/>
          </w:tcPr>
          <w:p w14:paraId="6815B8E8" w14:textId="2CEAF094" w:rsidR="00ED6416" w:rsidRPr="00D462F0" w:rsidRDefault="00ED6416" w:rsidP="00D462F0">
            <w:pPr>
              <w:jc w:val="both"/>
              <w:rPr>
                <w:rFonts w:asciiTheme="majorHAnsi" w:hAnsiTheme="majorHAnsi" w:cstheme="majorHAnsi"/>
                <w:sz w:val="24"/>
                <w:szCs w:val="24"/>
              </w:rPr>
            </w:pPr>
            <w:r w:rsidRPr="00D462F0">
              <w:rPr>
                <w:rFonts w:asciiTheme="majorHAnsi" w:hAnsiTheme="majorHAnsi" w:cstheme="majorHAnsi"/>
                <w:sz w:val="24"/>
                <w:szCs w:val="24"/>
              </w:rPr>
              <w:t>Art. 3</w:t>
            </w:r>
            <w:proofErr w:type="gramStart"/>
            <w:r w:rsidRPr="00D462F0">
              <w:rPr>
                <w:rFonts w:asciiTheme="majorHAnsi" w:hAnsiTheme="majorHAnsi" w:cstheme="majorHAnsi"/>
                <w:sz w:val="24"/>
                <w:szCs w:val="24"/>
              </w:rPr>
              <w:t xml:space="preserve">º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Considerando</w:t>
            </w:r>
            <w:proofErr w:type="gramEnd"/>
            <w:r w:rsidRPr="00D462F0">
              <w:rPr>
                <w:rFonts w:asciiTheme="majorHAnsi" w:hAnsiTheme="majorHAnsi" w:cstheme="majorHAnsi"/>
                <w:sz w:val="24"/>
                <w:szCs w:val="24"/>
              </w:rPr>
              <w:t xml:space="preserve"> o disposto no art. 1º da Resolução CGPC nº 13, de 1º de outubro de 2004, as EFPC serão enquadradas, em decorrência da soma dos fatores de porte e de complexidade, em um dos seguintes segmentos:</w:t>
            </w:r>
          </w:p>
        </w:tc>
        <w:tc>
          <w:tcPr>
            <w:tcW w:w="4074" w:type="dxa"/>
          </w:tcPr>
          <w:p w14:paraId="24639298" w14:textId="5690211D" w:rsidR="00ED6416" w:rsidRPr="00D462F0" w:rsidRDefault="00ED641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3</w:t>
            </w:r>
            <w:proofErr w:type="gramStart"/>
            <w:r w:rsidRPr="00D462F0">
              <w:rPr>
                <w:rFonts w:asciiTheme="majorHAnsi" w:hAnsiTheme="majorHAnsi" w:cstheme="majorHAnsi"/>
                <w:bCs/>
                <w:sz w:val="24"/>
                <w:szCs w:val="24"/>
              </w:rPr>
              <w:t xml:space="preserve">º </w:t>
            </w:r>
            <w:r w:rsidR="00D1730A"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Considerando</w:t>
            </w:r>
            <w:proofErr w:type="gramEnd"/>
            <w:r w:rsidRPr="00D462F0">
              <w:rPr>
                <w:rFonts w:asciiTheme="majorHAnsi" w:hAnsiTheme="majorHAnsi" w:cstheme="majorHAnsi"/>
                <w:bCs/>
                <w:sz w:val="24"/>
                <w:szCs w:val="24"/>
              </w:rPr>
              <w:t xml:space="preserve"> o disposto no art. 1º da Resolução CGPC nº 13, de 1º de outubro de 2004, as EFPC,</w:t>
            </w:r>
            <w:r w:rsidRPr="00D462F0">
              <w:rPr>
                <w:rFonts w:asciiTheme="majorHAnsi" w:hAnsiTheme="majorHAnsi" w:cstheme="majorHAnsi"/>
                <w:bCs/>
                <w:color w:val="0000FF"/>
                <w:sz w:val="24"/>
                <w:szCs w:val="24"/>
              </w:rPr>
              <w:t xml:space="preserve"> exceto aquelas que se encontram sob regimes especiais, </w:t>
            </w:r>
            <w:r w:rsidRPr="00D462F0">
              <w:rPr>
                <w:rFonts w:asciiTheme="majorHAnsi" w:hAnsiTheme="majorHAnsi" w:cstheme="majorHAnsi"/>
                <w:bCs/>
                <w:sz w:val="24"/>
                <w:szCs w:val="24"/>
              </w:rPr>
              <w:t>serão enquadradas, em decorrência da soma dos fatores de porte e de complexidade, em um dos seguintes segmentos:</w:t>
            </w:r>
          </w:p>
        </w:tc>
        <w:tc>
          <w:tcPr>
            <w:tcW w:w="4074" w:type="dxa"/>
          </w:tcPr>
          <w:p w14:paraId="256FE806" w14:textId="3F1C90A9" w:rsidR="00ED6416" w:rsidRPr="00D462F0" w:rsidRDefault="77568D44" w:rsidP="00D462F0">
            <w:pPr>
              <w:jc w:val="both"/>
              <w:rPr>
                <w:rFonts w:asciiTheme="majorHAnsi" w:hAnsiTheme="majorHAnsi" w:cstheme="majorHAnsi"/>
                <w:sz w:val="24"/>
                <w:szCs w:val="24"/>
              </w:rPr>
            </w:pPr>
            <w:r w:rsidRPr="00D462F0">
              <w:rPr>
                <w:rFonts w:asciiTheme="majorHAnsi" w:hAnsiTheme="majorHAnsi" w:cstheme="majorHAnsi"/>
                <w:sz w:val="24"/>
                <w:szCs w:val="24"/>
              </w:rPr>
              <w:t>Alteração</w:t>
            </w:r>
            <w:r w:rsidR="00ED6416" w:rsidRPr="00D462F0">
              <w:rPr>
                <w:rFonts w:asciiTheme="majorHAnsi" w:hAnsiTheme="majorHAnsi" w:cstheme="majorHAnsi"/>
                <w:sz w:val="24"/>
                <w:szCs w:val="24"/>
              </w:rPr>
              <w:t xml:space="preserve"> para definir que constarão da lista de segmentação apenas as EFPC com situação normal na base cadastral da Previc no momento de elaboração do estudo para atualizar a segmentação.</w:t>
            </w:r>
          </w:p>
          <w:p w14:paraId="1AFBA3CB" w14:textId="77777777" w:rsidR="00ED6416" w:rsidRPr="00D462F0" w:rsidRDefault="00ED6416" w:rsidP="00D462F0">
            <w:pPr>
              <w:jc w:val="both"/>
              <w:rPr>
                <w:rFonts w:asciiTheme="majorHAnsi" w:hAnsiTheme="majorHAnsi" w:cstheme="majorHAnsi"/>
                <w:sz w:val="24"/>
                <w:szCs w:val="24"/>
              </w:rPr>
            </w:pPr>
          </w:p>
        </w:tc>
        <w:tc>
          <w:tcPr>
            <w:tcW w:w="4075" w:type="dxa"/>
          </w:tcPr>
          <w:p w14:paraId="192FEADD" w14:textId="77777777" w:rsidR="00ED641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185C6E4F" w14:textId="5E51DB7A" w:rsidR="0046012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à medida que dá diretrizes para a elaboração da lista de segmentação. Excluir as EFPC que se encontram em regime especial assegura transparência e fidedignidade na elaboração da referida base cadastral. Nesse sentido, por se tratar de artigo de natureza administrativa, com efeitos internos à Previc, o caso se enquadra em não aplicabilidade para a realização de AIR.</w:t>
            </w:r>
          </w:p>
        </w:tc>
      </w:tr>
      <w:tr w:rsidR="00ED6416" w:rsidRPr="00C93770" w14:paraId="3268FC7E" w14:textId="2D007B9B" w:rsidTr="1756A420">
        <w:tc>
          <w:tcPr>
            <w:tcW w:w="4074" w:type="dxa"/>
          </w:tcPr>
          <w:p w14:paraId="644C4914" w14:textId="008EC19E" w:rsidR="00ED6416" w:rsidRPr="00D462F0" w:rsidRDefault="00ED6416" w:rsidP="00D462F0">
            <w:pPr>
              <w:jc w:val="both"/>
              <w:rPr>
                <w:rFonts w:asciiTheme="majorHAnsi" w:hAnsiTheme="majorHAnsi" w:cstheme="majorHAnsi"/>
                <w:sz w:val="24"/>
                <w:szCs w:val="24"/>
              </w:rPr>
            </w:pPr>
            <w:r w:rsidRPr="00D462F0">
              <w:rPr>
                <w:rFonts w:asciiTheme="majorHAnsi" w:hAnsiTheme="majorHAnsi" w:cstheme="majorHAnsi"/>
                <w:sz w:val="24"/>
                <w:szCs w:val="24"/>
              </w:rPr>
              <w:t>Art. 4</w:t>
            </w:r>
            <w:proofErr w:type="gramStart"/>
            <w:r w:rsidRPr="00D462F0">
              <w:rPr>
                <w:rFonts w:asciiTheme="majorHAnsi" w:hAnsiTheme="majorHAnsi" w:cstheme="majorHAnsi"/>
                <w:sz w:val="24"/>
                <w:szCs w:val="24"/>
              </w:rPr>
              <w:t xml:space="preserve">º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A</w:t>
            </w:r>
            <w:proofErr w:type="gramEnd"/>
            <w:r w:rsidRPr="00D462F0">
              <w:rPr>
                <w:rFonts w:asciiTheme="majorHAnsi" w:hAnsiTheme="majorHAnsi" w:cstheme="majorHAnsi"/>
                <w:sz w:val="24"/>
                <w:szCs w:val="24"/>
              </w:rPr>
              <w:t xml:space="preserve"> Diretoria de Normas da Previc publicará, até o dia 30 de junho de cada exercício, a fórmula de cálculo utilizada para definição dos fatores de porte e de complexidade, assim como a relação de entidades enquadradas em cada segmento para o exercício social seguinte.</w:t>
            </w:r>
          </w:p>
        </w:tc>
        <w:tc>
          <w:tcPr>
            <w:tcW w:w="4074" w:type="dxa"/>
          </w:tcPr>
          <w:p w14:paraId="5D9C6DB0" w14:textId="72534507" w:rsidR="00ED6416" w:rsidRPr="00D462F0" w:rsidRDefault="00ED641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4</w:t>
            </w:r>
            <w:proofErr w:type="gramStart"/>
            <w:r w:rsidRPr="00D462F0">
              <w:rPr>
                <w:rFonts w:asciiTheme="majorHAnsi" w:hAnsiTheme="majorHAnsi" w:cstheme="majorHAnsi"/>
                <w:bCs/>
                <w:sz w:val="24"/>
                <w:szCs w:val="24"/>
              </w:rPr>
              <w:t xml:space="preserve">º </w:t>
            </w:r>
            <w:r w:rsidR="00D1730A"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A</w:t>
            </w:r>
            <w:proofErr w:type="gramEnd"/>
            <w:r w:rsidRPr="00D462F0">
              <w:rPr>
                <w:rFonts w:asciiTheme="majorHAnsi" w:hAnsiTheme="majorHAnsi" w:cstheme="majorHAnsi"/>
                <w:bCs/>
                <w:sz w:val="24"/>
                <w:szCs w:val="24"/>
              </w:rPr>
              <w:t xml:space="preserve"> Diretoria de Normas da Previc publicará, até o dia</w:t>
            </w:r>
            <w:r w:rsidRPr="00D462F0">
              <w:rPr>
                <w:rFonts w:asciiTheme="majorHAnsi" w:hAnsiTheme="majorHAnsi" w:cstheme="majorHAnsi"/>
                <w:bCs/>
                <w:color w:val="0000FF"/>
                <w:sz w:val="24"/>
                <w:szCs w:val="24"/>
              </w:rPr>
              <w:t xml:space="preserve"> 31 de agosto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de cada exercício, a fórmula de cálculo utilizada para definição dos fatores de porte e de complexidade, assim como a relação de entidades enquadradas em cada segmento para o exercício social seguinte.</w:t>
            </w:r>
          </w:p>
        </w:tc>
        <w:tc>
          <w:tcPr>
            <w:tcW w:w="4074" w:type="dxa"/>
          </w:tcPr>
          <w:p w14:paraId="1D6F6855" w14:textId="5A441FE8" w:rsidR="00ED6416" w:rsidRPr="00D462F0" w:rsidRDefault="00ED6416" w:rsidP="00D462F0">
            <w:pPr>
              <w:jc w:val="both"/>
              <w:rPr>
                <w:rFonts w:asciiTheme="majorHAnsi" w:hAnsiTheme="majorHAnsi" w:cstheme="majorHAnsi"/>
                <w:sz w:val="24"/>
                <w:szCs w:val="24"/>
              </w:rPr>
            </w:pPr>
            <w:r w:rsidRPr="00D462F0">
              <w:rPr>
                <w:rFonts w:asciiTheme="majorHAnsi" w:hAnsiTheme="majorHAnsi" w:cstheme="majorHAnsi"/>
                <w:sz w:val="24"/>
                <w:szCs w:val="24"/>
              </w:rPr>
              <w:t>O prazo para as EFPC enviarem os dados é 31 de março de cada ano. Torna-se necessário ampliar o prazo por mais 2 meses para que a área técnica possua prazo adequado para realizar o estudo dos critérios de segmentação e a necessária verificação das bases de dados e casos específicos.</w:t>
            </w:r>
          </w:p>
          <w:p w14:paraId="5602544D" w14:textId="77777777" w:rsidR="00ED6416" w:rsidRPr="00D462F0" w:rsidRDefault="00ED6416" w:rsidP="00D462F0">
            <w:pPr>
              <w:jc w:val="both"/>
              <w:rPr>
                <w:rFonts w:asciiTheme="majorHAnsi" w:hAnsiTheme="majorHAnsi" w:cstheme="majorHAnsi"/>
                <w:sz w:val="24"/>
                <w:szCs w:val="24"/>
              </w:rPr>
            </w:pPr>
            <w:r w:rsidRPr="00D462F0">
              <w:rPr>
                <w:rFonts w:asciiTheme="majorHAnsi" w:hAnsiTheme="majorHAnsi" w:cstheme="majorHAnsi"/>
                <w:sz w:val="24"/>
                <w:szCs w:val="24"/>
              </w:rPr>
              <w:t>Não haverá prejuízo para as EFPC, pois ainda terão 4 meses até o início da vigência da nova segmentação para realizar eventuais adaptações.</w:t>
            </w:r>
          </w:p>
        </w:tc>
        <w:tc>
          <w:tcPr>
            <w:tcW w:w="4075" w:type="dxa"/>
          </w:tcPr>
          <w:p w14:paraId="6A6132CB" w14:textId="77777777" w:rsidR="00ED641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2DE68BB0" w14:textId="77777777" w:rsidR="0046012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alteração de impacto operacional interno que tem objetivo de adequar o prazo de elaboração do estudo de segmentação ao prazo praticado para envio das informações por parte das entidades. </w:t>
            </w:r>
          </w:p>
          <w:p w14:paraId="0692B7EA" w14:textId="0089A5AD" w:rsidR="00460126" w:rsidRPr="00D462F0" w:rsidRDefault="00460126"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interno à Previc, o caso se enquadra em não aplicabilidade para a realização de AIR.</w:t>
            </w:r>
          </w:p>
        </w:tc>
      </w:tr>
      <w:tr w:rsidR="00460126" w:rsidRPr="00C93770" w14:paraId="1974AB97" w14:textId="45A62DE0" w:rsidTr="1756A420">
        <w:tc>
          <w:tcPr>
            <w:tcW w:w="4074" w:type="dxa"/>
          </w:tcPr>
          <w:p w14:paraId="22F5FBCA" w14:textId="77777777" w:rsidR="00460126" w:rsidRPr="00D462F0" w:rsidRDefault="0046012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CAPÍTULO II</w:t>
            </w:r>
          </w:p>
          <w:p w14:paraId="2B0CBE87" w14:textId="51C93771" w:rsidR="00460126" w:rsidRPr="00D462F0" w:rsidRDefault="0046012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DAS REGRAS RELATIVAS À GOVERNANÇA</w:t>
            </w:r>
          </w:p>
          <w:p w14:paraId="260ABAA1" w14:textId="15BC01AA" w:rsidR="00460126" w:rsidRPr="00D462F0" w:rsidRDefault="00460126" w:rsidP="0028717C">
            <w:pPr>
              <w:jc w:val="center"/>
              <w:rPr>
                <w:rFonts w:asciiTheme="majorHAnsi" w:hAnsiTheme="majorHAnsi" w:cstheme="majorHAnsi"/>
                <w:bCs/>
                <w:color w:val="000000"/>
                <w:sz w:val="24"/>
                <w:szCs w:val="24"/>
              </w:rPr>
            </w:pPr>
          </w:p>
        </w:tc>
        <w:tc>
          <w:tcPr>
            <w:tcW w:w="4074" w:type="dxa"/>
          </w:tcPr>
          <w:p w14:paraId="56FC24BC" w14:textId="77777777" w:rsidR="00460126" w:rsidRPr="00D462F0" w:rsidRDefault="0046012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CAPÍTULO II</w:t>
            </w:r>
          </w:p>
          <w:p w14:paraId="77AAAC85" w14:textId="221A11BF" w:rsidR="00460126" w:rsidRPr="00D462F0" w:rsidRDefault="0046012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DAS REGRAS RELATIVAS À GOVERNANÇA</w:t>
            </w:r>
          </w:p>
          <w:p w14:paraId="7996BF44" w14:textId="618726CA" w:rsidR="00460126" w:rsidRPr="00D462F0" w:rsidRDefault="00460126" w:rsidP="0028717C">
            <w:pPr>
              <w:jc w:val="center"/>
              <w:rPr>
                <w:rFonts w:asciiTheme="majorHAnsi" w:hAnsiTheme="majorHAnsi" w:cstheme="majorHAnsi"/>
                <w:bCs/>
                <w:color w:val="000000"/>
                <w:sz w:val="24"/>
                <w:szCs w:val="24"/>
              </w:rPr>
            </w:pPr>
          </w:p>
        </w:tc>
        <w:tc>
          <w:tcPr>
            <w:tcW w:w="4074" w:type="dxa"/>
          </w:tcPr>
          <w:p w14:paraId="7005615A" w14:textId="3028C9E0" w:rsidR="00460126" w:rsidRPr="00D462F0" w:rsidRDefault="00460126" w:rsidP="00D462F0">
            <w:pPr>
              <w:jc w:val="both"/>
              <w:rPr>
                <w:rFonts w:asciiTheme="majorHAnsi" w:hAnsiTheme="majorHAnsi" w:cstheme="majorHAnsi"/>
                <w:sz w:val="24"/>
                <w:szCs w:val="24"/>
              </w:rPr>
            </w:pPr>
          </w:p>
        </w:tc>
        <w:tc>
          <w:tcPr>
            <w:tcW w:w="4075" w:type="dxa"/>
          </w:tcPr>
          <w:p w14:paraId="133AC81D" w14:textId="1D22FFB7" w:rsidR="00460126" w:rsidRPr="00D462F0" w:rsidRDefault="00460126" w:rsidP="00D462F0">
            <w:pPr>
              <w:jc w:val="both"/>
              <w:rPr>
                <w:rFonts w:asciiTheme="majorHAnsi" w:hAnsiTheme="majorHAnsi" w:cstheme="majorHAnsi"/>
                <w:bCs/>
                <w:sz w:val="24"/>
                <w:szCs w:val="24"/>
              </w:rPr>
            </w:pPr>
          </w:p>
        </w:tc>
      </w:tr>
      <w:tr w:rsidR="006258F5" w:rsidRPr="00C93770" w14:paraId="03B4D332" w14:textId="77777777" w:rsidTr="1756A420">
        <w:tc>
          <w:tcPr>
            <w:tcW w:w="4074" w:type="dxa"/>
          </w:tcPr>
          <w:p w14:paraId="20A19364" w14:textId="535930F1" w:rsidR="006258F5" w:rsidRPr="00D462F0" w:rsidRDefault="006258F5"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1A0366C" w14:textId="771897F9" w:rsidR="006258F5" w:rsidRPr="00D462F0" w:rsidRDefault="006258F5"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A54B7EF" w14:textId="77777777" w:rsidR="006258F5" w:rsidRPr="00D462F0" w:rsidRDefault="006258F5" w:rsidP="00D462F0">
            <w:pPr>
              <w:jc w:val="both"/>
              <w:rPr>
                <w:rFonts w:asciiTheme="majorHAnsi" w:hAnsiTheme="majorHAnsi" w:cstheme="majorHAnsi"/>
                <w:sz w:val="24"/>
                <w:szCs w:val="24"/>
              </w:rPr>
            </w:pPr>
          </w:p>
        </w:tc>
        <w:tc>
          <w:tcPr>
            <w:tcW w:w="4075" w:type="dxa"/>
          </w:tcPr>
          <w:p w14:paraId="0F21187B" w14:textId="77777777" w:rsidR="006258F5" w:rsidRPr="00D462F0" w:rsidRDefault="006258F5" w:rsidP="00D462F0">
            <w:pPr>
              <w:jc w:val="both"/>
              <w:rPr>
                <w:rFonts w:asciiTheme="majorHAnsi" w:hAnsiTheme="majorHAnsi" w:cstheme="majorHAnsi"/>
                <w:bCs/>
                <w:sz w:val="24"/>
                <w:szCs w:val="24"/>
              </w:rPr>
            </w:pPr>
          </w:p>
        </w:tc>
      </w:tr>
      <w:tr w:rsidR="006258F5" w:rsidRPr="00C93770" w14:paraId="150478C7" w14:textId="77777777" w:rsidTr="1756A420">
        <w:tc>
          <w:tcPr>
            <w:tcW w:w="4074" w:type="dxa"/>
          </w:tcPr>
          <w:p w14:paraId="4919351D" w14:textId="4A7E4B18" w:rsidR="006258F5" w:rsidRPr="0028717C" w:rsidRDefault="006258F5" w:rsidP="0028717C">
            <w:pPr>
              <w:jc w:val="center"/>
              <w:rPr>
                <w:rFonts w:asciiTheme="majorHAnsi" w:hAnsiTheme="majorHAnsi" w:cstheme="majorHAnsi"/>
                <w:b/>
                <w:color w:val="000000"/>
                <w:sz w:val="24"/>
                <w:szCs w:val="24"/>
              </w:rPr>
            </w:pPr>
            <w:r w:rsidRPr="0028717C">
              <w:rPr>
                <w:rFonts w:asciiTheme="majorHAnsi" w:hAnsiTheme="majorHAnsi" w:cstheme="majorHAnsi"/>
                <w:b/>
                <w:color w:val="000000"/>
                <w:sz w:val="24"/>
                <w:szCs w:val="24"/>
              </w:rPr>
              <w:t>S</w:t>
            </w:r>
            <w:r w:rsidR="00014F0A" w:rsidRPr="0028717C">
              <w:rPr>
                <w:rFonts w:asciiTheme="majorHAnsi" w:hAnsiTheme="majorHAnsi" w:cstheme="majorHAnsi"/>
                <w:b/>
                <w:color w:val="000000"/>
                <w:sz w:val="24"/>
                <w:szCs w:val="24"/>
              </w:rPr>
              <w:t xml:space="preserve">eção </w:t>
            </w:r>
            <w:r w:rsidRPr="0028717C">
              <w:rPr>
                <w:rFonts w:asciiTheme="majorHAnsi" w:hAnsiTheme="majorHAnsi" w:cstheme="majorHAnsi"/>
                <w:b/>
                <w:color w:val="000000"/>
                <w:sz w:val="24"/>
                <w:szCs w:val="24"/>
              </w:rPr>
              <w:t>II</w:t>
            </w:r>
          </w:p>
          <w:p w14:paraId="500F4955" w14:textId="3B89E4A8" w:rsidR="006258F5" w:rsidRPr="0028717C" w:rsidRDefault="00014F0A" w:rsidP="0028717C">
            <w:pPr>
              <w:jc w:val="center"/>
              <w:rPr>
                <w:rFonts w:asciiTheme="majorHAnsi" w:hAnsiTheme="majorHAnsi" w:cstheme="majorHAnsi"/>
                <w:b/>
                <w:color w:val="000000"/>
                <w:sz w:val="24"/>
                <w:szCs w:val="24"/>
              </w:rPr>
            </w:pPr>
            <w:r w:rsidRPr="0028717C">
              <w:rPr>
                <w:rFonts w:asciiTheme="majorHAnsi" w:hAnsiTheme="majorHAnsi" w:cstheme="majorHAnsi"/>
                <w:b/>
                <w:color w:val="000000"/>
                <w:sz w:val="24"/>
                <w:szCs w:val="24"/>
              </w:rPr>
              <w:t>Funcionamento dos órgãos Estatutários</w:t>
            </w:r>
          </w:p>
        </w:tc>
        <w:tc>
          <w:tcPr>
            <w:tcW w:w="4074" w:type="dxa"/>
          </w:tcPr>
          <w:p w14:paraId="21B00698" w14:textId="00BC1179" w:rsidR="006258F5" w:rsidRPr="0028717C" w:rsidRDefault="006258F5" w:rsidP="0028717C">
            <w:pPr>
              <w:jc w:val="center"/>
              <w:rPr>
                <w:rFonts w:asciiTheme="majorHAnsi" w:hAnsiTheme="majorHAnsi" w:cstheme="majorHAnsi"/>
                <w:b/>
                <w:color w:val="000000"/>
                <w:sz w:val="24"/>
                <w:szCs w:val="24"/>
              </w:rPr>
            </w:pPr>
            <w:r w:rsidRPr="0028717C">
              <w:rPr>
                <w:rFonts w:asciiTheme="majorHAnsi" w:hAnsiTheme="majorHAnsi" w:cstheme="majorHAnsi"/>
                <w:b/>
                <w:color w:val="000000"/>
                <w:sz w:val="24"/>
                <w:szCs w:val="24"/>
              </w:rPr>
              <w:t>S</w:t>
            </w:r>
            <w:r w:rsidR="00014F0A" w:rsidRPr="0028717C">
              <w:rPr>
                <w:rFonts w:asciiTheme="majorHAnsi" w:hAnsiTheme="majorHAnsi" w:cstheme="majorHAnsi"/>
                <w:b/>
                <w:color w:val="000000"/>
                <w:sz w:val="24"/>
                <w:szCs w:val="24"/>
              </w:rPr>
              <w:t>eção</w:t>
            </w:r>
            <w:r w:rsidRPr="0028717C">
              <w:rPr>
                <w:rFonts w:asciiTheme="majorHAnsi" w:hAnsiTheme="majorHAnsi" w:cstheme="majorHAnsi"/>
                <w:b/>
                <w:color w:val="000000"/>
                <w:sz w:val="24"/>
                <w:szCs w:val="24"/>
              </w:rPr>
              <w:t xml:space="preserve"> II</w:t>
            </w:r>
          </w:p>
          <w:p w14:paraId="757D345E" w14:textId="436B5294" w:rsidR="006258F5" w:rsidRPr="0028717C" w:rsidRDefault="00014F0A" w:rsidP="0028717C">
            <w:pPr>
              <w:jc w:val="center"/>
              <w:rPr>
                <w:rFonts w:asciiTheme="majorHAnsi" w:hAnsiTheme="majorHAnsi" w:cstheme="majorHAnsi"/>
                <w:b/>
                <w:color w:val="000000"/>
                <w:sz w:val="24"/>
                <w:szCs w:val="24"/>
              </w:rPr>
            </w:pPr>
            <w:r w:rsidRPr="0028717C">
              <w:rPr>
                <w:rFonts w:asciiTheme="majorHAnsi" w:hAnsiTheme="majorHAnsi" w:cstheme="majorHAnsi"/>
                <w:b/>
                <w:color w:val="000000"/>
                <w:sz w:val="24"/>
                <w:szCs w:val="24"/>
              </w:rPr>
              <w:t>Funcionamento dos órgãos Estatutários</w:t>
            </w:r>
          </w:p>
        </w:tc>
        <w:tc>
          <w:tcPr>
            <w:tcW w:w="4074" w:type="dxa"/>
          </w:tcPr>
          <w:p w14:paraId="5F4EE8F7" w14:textId="77777777" w:rsidR="006258F5" w:rsidRPr="00D462F0" w:rsidRDefault="006258F5" w:rsidP="00D462F0">
            <w:pPr>
              <w:jc w:val="both"/>
              <w:rPr>
                <w:rFonts w:asciiTheme="majorHAnsi" w:hAnsiTheme="majorHAnsi" w:cstheme="majorHAnsi"/>
                <w:sz w:val="24"/>
                <w:szCs w:val="24"/>
              </w:rPr>
            </w:pPr>
          </w:p>
        </w:tc>
        <w:tc>
          <w:tcPr>
            <w:tcW w:w="4075" w:type="dxa"/>
          </w:tcPr>
          <w:p w14:paraId="714C3E71" w14:textId="77777777" w:rsidR="006258F5" w:rsidRPr="00D462F0" w:rsidRDefault="006258F5" w:rsidP="00D462F0">
            <w:pPr>
              <w:jc w:val="both"/>
              <w:rPr>
                <w:rFonts w:asciiTheme="majorHAnsi" w:hAnsiTheme="majorHAnsi" w:cstheme="majorHAnsi"/>
                <w:bCs/>
                <w:sz w:val="24"/>
                <w:szCs w:val="24"/>
              </w:rPr>
            </w:pPr>
          </w:p>
        </w:tc>
      </w:tr>
      <w:tr w:rsidR="00364905" w:rsidRPr="00C93770" w14:paraId="650A2BC7" w14:textId="77777777" w:rsidTr="1756A420">
        <w:tc>
          <w:tcPr>
            <w:tcW w:w="4074" w:type="dxa"/>
          </w:tcPr>
          <w:p w14:paraId="1215DBC6" w14:textId="65F28FC2" w:rsidR="00364905" w:rsidRPr="00D462F0" w:rsidRDefault="00364905"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6B9CE590" w14:textId="0519D9D5" w:rsidR="00364905" w:rsidRPr="00D462F0" w:rsidRDefault="00364905"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7D1FACB6" w14:textId="77777777" w:rsidR="00364905" w:rsidRPr="00D462F0" w:rsidRDefault="00364905" w:rsidP="00D462F0">
            <w:pPr>
              <w:jc w:val="both"/>
              <w:rPr>
                <w:rFonts w:asciiTheme="majorHAnsi" w:hAnsiTheme="majorHAnsi" w:cstheme="majorHAnsi"/>
                <w:sz w:val="24"/>
                <w:szCs w:val="24"/>
              </w:rPr>
            </w:pPr>
          </w:p>
        </w:tc>
        <w:tc>
          <w:tcPr>
            <w:tcW w:w="4075" w:type="dxa"/>
          </w:tcPr>
          <w:p w14:paraId="4331B56F" w14:textId="77777777" w:rsidR="00364905" w:rsidRPr="00D462F0" w:rsidRDefault="00364905" w:rsidP="00D462F0">
            <w:pPr>
              <w:jc w:val="both"/>
              <w:rPr>
                <w:rFonts w:asciiTheme="majorHAnsi" w:hAnsiTheme="majorHAnsi" w:cstheme="majorHAnsi"/>
                <w:bCs/>
                <w:sz w:val="24"/>
                <w:szCs w:val="24"/>
              </w:rPr>
            </w:pPr>
          </w:p>
        </w:tc>
      </w:tr>
      <w:tr w:rsidR="00A26CD8" w:rsidRPr="00C93770" w14:paraId="74F4EC7C" w14:textId="77777777" w:rsidTr="1756A420">
        <w:tc>
          <w:tcPr>
            <w:tcW w:w="4074" w:type="dxa"/>
          </w:tcPr>
          <w:p w14:paraId="27A2128E" w14:textId="6FCD1F33" w:rsidR="00A26CD8" w:rsidRPr="00D462F0" w:rsidRDefault="00A26CD8" w:rsidP="00D462F0">
            <w:pPr>
              <w:jc w:val="both"/>
              <w:rPr>
                <w:rFonts w:asciiTheme="majorHAnsi" w:eastAsia="Times New Roman"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0FAE9F84" w14:textId="67C2742A" w:rsidR="00A26CD8" w:rsidRPr="00D462F0" w:rsidRDefault="00A26CD8" w:rsidP="00D462F0">
            <w:pPr>
              <w:jc w:val="both"/>
              <w:rPr>
                <w:rFonts w:asciiTheme="majorHAnsi" w:eastAsia="Times New Roman" w:hAnsiTheme="majorHAnsi" w:cstheme="majorHAnsi"/>
                <w:bCs/>
                <w:sz w:val="24"/>
                <w:szCs w:val="24"/>
              </w:rPr>
            </w:pPr>
            <w:r w:rsidRPr="00D462F0">
              <w:rPr>
                <w:rFonts w:asciiTheme="majorHAnsi" w:hAnsiTheme="majorHAnsi" w:cstheme="majorHAnsi"/>
                <w:bCs/>
                <w:color w:val="0000FF"/>
                <w:sz w:val="24"/>
                <w:szCs w:val="24"/>
              </w:rPr>
              <w:t xml:space="preserve">Art. 13-A. </w:t>
            </w:r>
            <w:r w:rsidR="00D1730A"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 xml:space="preserve">É recomendável </w:t>
            </w:r>
            <w:r w:rsidR="007E5BF7">
              <w:rPr>
                <w:rFonts w:asciiTheme="majorHAnsi" w:hAnsiTheme="majorHAnsi" w:cstheme="majorHAnsi"/>
                <w:bCs/>
                <w:color w:val="0000FF"/>
                <w:sz w:val="24"/>
                <w:szCs w:val="24"/>
              </w:rPr>
              <w:t>para as EFPC classificadas no segmento S1 e S2:</w:t>
            </w:r>
          </w:p>
        </w:tc>
        <w:tc>
          <w:tcPr>
            <w:tcW w:w="4074" w:type="dxa"/>
          </w:tcPr>
          <w:p w14:paraId="795C8BF3" w14:textId="55B9A1D3" w:rsidR="00A26CD8" w:rsidRPr="00D462F0" w:rsidRDefault="007E5BF7" w:rsidP="00D462F0">
            <w:pPr>
              <w:jc w:val="both"/>
              <w:rPr>
                <w:rFonts w:asciiTheme="majorHAnsi" w:hAnsiTheme="majorHAnsi" w:cstheme="majorHAnsi"/>
                <w:sz w:val="24"/>
                <w:szCs w:val="24"/>
              </w:rPr>
            </w:pPr>
            <w:r>
              <w:rPr>
                <w:rFonts w:asciiTheme="majorHAnsi" w:hAnsiTheme="majorHAnsi" w:cstheme="majorHAnsi"/>
                <w:sz w:val="24"/>
                <w:szCs w:val="24"/>
              </w:rPr>
              <w:t xml:space="preserve">Sugestões de recomendações sobre programa de integridade e de promoção da </w:t>
            </w:r>
            <w:r w:rsidRPr="007E5BF7">
              <w:rPr>
                <w:rFonts w:asciiTheme="majorHAnsi" w:hAnsiTheme="majorHAnsi" w:cstheme="majorHAnsi"/>
                <w:sz w:val="24"/>
                <w:szCs w:val="24"/>
              </w:rPr>
              <w:t>diversidade, equidade e inclusão – DEI.</w:t>
            </w:r>
          </w:p>
          <w:p w14:paraId="392A3AD5" w14:textId="77777777" w:rsidR="00A26CD8" w:rsidRPr="00D462F0" w:rsidRDefault="00A26CD8" w:rsidP="00D462F0">
            <w:pPr>
              <w:jc w:val="both"/>
              <w:rPr>
                <w:rFonts w:asciiTheme="majorHAnsi" w:hAnsiTheme="majorHAnsi" w:cstheme="majorHAnsi"/>
                <w:sz w:val="24"/>
                <w:szCs w:val="24"/>
              </w:rPr>
            </w:pPr>
          </w:p>
        </w:tc>
        <w:tc>
          <w:tcPr>
            <w:tcW w:w="4075" w:type="dxa"/>
          </w:tcPr>
          <w:p w14:paraId="241FD9D8" w14:textId="7F74C8C5" w:rsidR="00A26CD8" w:rsidRPr="00D462F0" w:rsidRDefault="00A26CD8" w:rsidP="00D462F0">
            <w:pPr>
              <w:jc w:val="both"/>
              <w:rPr>
                <w:rFonts w:asciiTheme="majorHAnsi" w:hAnsiTheme="majorHAnsi" w:cstheme="majorHAnsi"/>
                <w:bCs/>
                <w:sz w:val="24"/>
                <w:szCs w:val="24"/>
              </w:rPr>
            </w:pPr>
          </w:p>
        </w:tc>
      </w:tr>
      <w:tr w:rsidR="007E5BF7" w:rsidRPr="00C93770" w14:paraId="60F2470F" w14:textId="77777777" w:rsidTr="1756A420">
        <w:tc>
          <w:tcPr>
            <w:tcW w:w="4074" w:type="dxa"/>
          </w:tcPr>
          <w:p w14:paraId="4B3FF074" w14:textId="77777777" w:rsidR="007E5BF7" w:rsidRPr="00D462F0" w:rsidRDefault="007E5BF7" w:rsidP="00D462F0">
            <w:pPr>
              <w:jc w:val="both"/>
              <w:rPr>
                <w:rFonts w:asciiTheme="majorHAnsi" w:hAnsiTheme="majorHAnsi" w:cstheme="majorHAnsi"/>
                <w:color w:val="000000"/>
                <w:sz w:val="24"/>
                <w:szCs w:val="24"/>
              </w:rPr>
            </w:pPr>
          </w:p>
        </w:tc>
        <w:tc>
          <w:tcPr>
            <w:tcW w:w="4074" w:type="dxa"/>
          </w:tcPr>
          <w:p w14:paraId="6EF88082" w14:textId="6B7E1175" w:rsidR="007E5BF7" w:rsidRPr="00D462F0" w:rsidRDefault="007E5BF7" w:rsidP="00D462F0">
            <w:pPr>
              <w:jc w:val="both"/>
              <w:rPr>
                <w:rFonts w:asciiTheme="majorHAnsi" w:hAnsiTheme="majorHAnsi" w:cstheme="majorHAnsi"/>
                <w:bCs/>
                <w:color w:val="0000FF"/>
                <w:sz w:val="24"/>
                <w:szCs w:val="24"/>
              </w:rPr>
            </w:pPr>
            <w:r w:rsidRPr="007E5BF7">
              <w:rPr>
                <w:rFonts w:asciiTheme="majorHAnsi" w:hAnsiTheme="majorHAnsi" w:cstheme="majorHAnsi"/>
                <w:bCs/>
                <w:color w:val="0000FF"/>
                <w:sz w:val="24"/>
                <w:szCs w:val="24"/>
              </w:rPr>
              <w:t xml:space="preserve">I </w:t>
            </w:r>
            <w:r>
              <w:rPr>
                <w:rFonts w:asciiTheme="majorHAnsi" w:hAnsiTheme="majorHAnsi" w:cstheme="majorHAnsi"/>
                <w:bCs/>
                <w:color w:val="0000FF"/>
                <w:sz w:val="24"/>
                <w:szCs w:val="24"/>
              </w:rPr>
              <w:t>–</w:t>
            </w:r>
            <w:r w:rsidRPr="007E5BF7">
              <w:rPr>
                <w:rFonts w:asciiTheme="majorHAnsi" w:hAnsiTheme="majorHAnsi" w:cstheme="majorHAnsi"/>
                <w:bCs/>
                <w:color w:val="0000FF"/>
                <w:sz w:val="24"/>
                <w:szCs w:val="24"/>
              </w:rPr>
              <w:t xml:space="preserve"> </w:t>
            </w:r>
            <w:proofErr w:type="gramStart"/>
            <w:r w:rsidRPr="007E5BF7">
              <w:rPr>
                <w:rFonts w:asciiTheme="majorHAnsi" w:hAnsiTheme="majorHAnsi" w:cstheme="majorHAnsi"/>
                <w:bCs/>
                <w:color w:val="0000FF"/>
                <w:sz w:val="24"/>
                <w:szCs w:val="24"/>
              </w:rPr>
              <w:t>a</w:t>
            </w:r>
            <w:proofErr w:type="gramEnd"/>
            <w:r>
              <w:rPr>
                <w:rFonts w:asciiTheme="majorHAnsi" w:hAnsiTheme="majorHAnsi" w:cstheme="majorHAnsi"/>
                <w:bCs/>
                <w:color w:val="0000FF"/>
                <w:sz w:val="24"/>
                <w:szCs w:val="24"/>
              </w:rPr>
              <w:t xml:space="preserve"> </w:t>
            </w:r>
            <w:r w:rsidRPr="007E5BF7">
              <w:rPr>
                <w:rFonts w:asciiTheme="majorHAnsi" w:hAnsiTheme="majorHAnsi" w:cstheme="majorHAnsi"/>
                <w:bCs/>
                <w:color w:val="0000FF"/>
                <w:sz w:val="24"/>
                <w:szCs w:val="24"/>
              </w:rPr>
              <w:t>adoção de programa de integridade</w:t>
            </w:r>
            <w:r>
              <w:rPr>
                <w:rFonts w:asciiTheme="majorHAnsi" w:hAnsiTheme="majorHAnsi" w:cstheme="majorHAnsi"/>
                <w:bCs/>
                <w:color w:val="0000FF"/>
                <w:sz w:val="24"/>
                <w:szCs w:val="24"/>
              </w:rPr>
              <w:t>,</w:t>
            </w:r>
            <w:r w:rsidRPr="007E5BF7">
              <w:rPr>
                <w:rFonts w:asciiTheme="majorHAnsi" w:hAnsiTheme="majorHAnsi" w:cstheme="majorHAnsi"/>
                <w:bCs/>
                <w:color w:val="0000FF"/>
                <w:sz w:val="24"/>
                <w:szCs w:val="24"/>
              </w:rPr>
              <w:t xml:space="preserve"> em observância ao disposto na Lei nº 12.846, de 2013; e</w:t>
            </w:r>
          </w:p>
        </w:tc>
        <w:tc>
          <w:tcPr>
            <w:tcW w:w="4074" w:type="dxa"/>
          </w:tcPr>
          <w:p w14:paraId="4E66EA6B" w14:textId="5F71E00C" w:rsidR="007E5BF7" w:rsidRPr="00D462F0" w:rsidRDefault="007E5BF7" w:rsidP="00D462F0">
            <w:pPr>
              <w:jc w:val="both"/>
              <w:rPr>
                <w:rFonts w:asciiTheme="majorHAnsi" w:hAnsiTheme="majorHAnsi" w:cstheme="majorHAnsi"/>
                <w:sz w:val="24"/>
                <w:szCs w:val="24"/>
              </w:rPr>
            </w:pPr>
            <w:r w:rsidRPr="00D462F0">
              <w:rPr>
                <w:rFonts w:asciiTheme="majorHAnsi" w:hAnsiTheme="majorHAnsi" w:cstheme="majorHAnsi"/>
                <w:sz w:val="24"/>
                <w:szCs w:val="24"/>
              </w:rPr>
              <w:t>Trata da recomendação da adoção de programa de integridade no âmbito das EFPC, especialmente as classificadas como S1. Além da legislação própria tratar da questão, Lei nº 12.846/2013 e Decreto nº 11.129, de 11/07/2022, que dispõe sobre a responsabilização administrativa e civil de pessoas jurídicas pela prática de atos contra a administração pública, nacional ou estrangeira</w:t>
            </w:r>
          </w:p>
        </w:tc>
        <w:tc>
          <w:tcPr>
            <w:tcW w:w="4075" w:type="dxa"/>
          </w:tcPr>
          <w:p w14:paraId="34CD8796" w14:textId="77777777" w:rsidR="007E5BF7" w:rsidRPr="00D462F0" w:rsidRDefault="007E5BF7" w:rsidP="007E5BF7">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Decreto nº 10.411, de 2020, art. 4º, inciso V, alínea a. </w:t>
            </w:r>
          </w:p>
          <w:p w14:paraId="4BD762DA" w14:textId="77777777" w:rsidR="007E5BF7" w:rsidRPr="00D462F0" w:rsidRDefault="007E5BF7" w:rsidP="007E5BF7">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alteração em questão, em caráter de recomendação, trata de diretriz tratada em normativos superiores, tais como a Lei 12.846, de 2013 e o Decreto 11.129, de 2022. </w:t>
            </w:r>
          </w:p>
          <w:p w14:paraId="20F82B7A" w14:textId="77777777" w:rsidR="007E5BF7" w:rsidRPr="00D462F0" w:rsidRDefault="007E5BF7" w:rsidP="007E5BF7">
            <w:pPr>
              <w:jc w:val="both"/>
              <w:rPr>
                <w:rFonts w:asciiTheme="majorHAnsi" w:hAnsiTheme="majorHAnsi" w:cstheme="majorHAnsi"/>
                <w:bCs/>
                <w:sz w:val="24"/>
                <w:szCs w:val="24"/>
              </w:rPr>
            </w:pPr>
            <w:r w:rsidRPr="00D462F0">
              <w:rPr>
                <w:rFonts w:asciiTheme="majorHAnsi" w:hAnsiTheme="majorHAnsi" w:cstheme="majorHAnsi"/>
                <w:bCs/>
                <w:sz w:val="24"/>
                <w:szCs w:val="24"/>
              </w:rPr>
              <w:t>A Lei 12.846, de 2013, incentiva a criação e implementação de programas de integridade pelas empresas, como forma de prevenir e combater a corrupção, e oferece benefícios como a atenuação das sanções em caso de sua existência e efetiva aplicação, </w:t>
            </w:r>
            <w:hyperlink r:id="rId8" w:history="1">
              <w:r w:rsidRPr="00D462F0">
                <w:rPr>
                  <w:rFonts w:asciiTheme="majorHAnsi" w:hAnsiTheme="majorHAnsi" w:cstheme="majorHAnsi"/>
                  <w:bCs/>
                  <w:sz w:val="24"/>
                  <w:szCs w:val="24"/>
                </w:rPr>
                <w:t>segundo o Pacto Global</w:t>
              </w:r>
            </w:hyperlink>
            <w:r w:rsidRPr="00D462F0">
              <w:rPr>
                <w:rFonts w:asciiTheme="majorHAnsi" w:hAnsiTheme="majorHAnsi" w:cstheme="majorHAnsi"/>
                <w:bCs/>
                <w:sz w:val="24"/>
                <w:szCs w:val="24"/>
              </w:rPr>
              <w:t>. </w:t>
            </w:r>
          </w:p>
          <w:p w14:paraId="6BA89879" w14:textId="77777777" w:rsidR="007E5BF7" w:rsidRPr="00D462F0" w:rsidRDefault="007E5BF7" w:rsidP="007E5BF7">
            <w:pPr>
              <w:jc w:val="both"/>
              <w:rPr>
                <w:rFonts w:asciiTheme="majorHAnsi" w:hAnsiTheme="majorHAnsi" w:cstheme="majorHAnsi"/>
                <w:bCs/>
                <w:sz w:val="24"/>
                <w:szCs w:val="24"/>
              </w:rPr>
            </w:pPr>
            <w:r w:rsidRPr="00D462F0">
              <w:rPr>
                <w:rFonts w:asciiTheme="majorHAnsi" w:hAnsiTheme="majorHAnsi" w:cstheme="majorHAnsi"/>
                <w:bCs/>
                <w:sz w:val="24"/>
                <w:szCs w:val="24"/>
              </w:rPr>
              <w:t>O Decreto nº 11.129, de 2022, reconhece a importância dos programas de integridade como atenuantes de responsabilidade e estabelece critérios para a sua avaliação. </w:t>
            </w:r>
          </w:p>
          <w:p w14:paraId="5D3BF9FD" w14:textId="3DEE39CA" w:rsidR="007E5BF7" w:rsidRPr="00D462F0" w:rsidRDefault="007E5BF7" w:rsidP="007E5BF7">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666A87" w:rsidRPr="00C93770" w14:paraId="17B7D8D0" w14:textId="77777777" w:rsidTr="1756A420">
        <w:tc>
          <w:tcPr>
            <w:tcW w:w="4074" w:type="dxa"/>
          </w:tcPr>
          <w:p w14:paraId="17BA6B60" w14:textId="77777777" w:rsidR="00666A87" w:rsidRPr="00D462F0" w:rsidRDefault="00666A87" w:rsidP="00666A87">
            <w:pPr>
              <w:jc w:val="both"/>
              <w:rPr>
                <w:rFonts w:asciiTheme="majorHAnsi" w:hAnsiTheme="majorHAnsi" w:cstheme="majorHAnsi"/>
                <w:color w:val="000000"/>
                <w:sz w:val="24"/>
                <w:szCs w:val="24"/>
              </w:rPr>
            </w:pPr>
          </w:p>
        </w:tc>
        <w:tc>
          <w:tcPr>
            <w:tcW w:w="4074" w:type="dxa"/>
          </w:tcPr>
          <w:p w14:paraId="65B5FC2B" w14:textId="4DD124D0" w:rsidR="00666A87" w:rsidRPr="00D462F0" w:rsidRDefault="00666A87" w:rsidP="00666A87">
            <w:pPr>
              <w:jc w:val="both"/>
              <w:rPr>
                <w:rFonts w:asciiTheme="majorHAnsi" w:hAnsiTheme="majorHAnsi" w:cstheme="majorHAnsi"/>
                <w:bCs/>
                <w:color w:val="0000FF"/>
                <w:sz w:val="24"/>
                <w:szCs w:val="24"/>
              </w:rPr>
            </w:pPr>
            <w:r w:rsidRPr="007E5BF7">
              <w:rPr>
                <w:rFonts w:asciiTheme="majorHAnsi" w:hAnsiTheme="majorHAnsi" w:cstheme="majorHAnsi"/>
                <w:bCs/>
                <w:color w:val="0000FF"/>
                <w:sz w:val="24"/>
                <w:szCs w:val="24"/>
              </w:rPr>
              <w:t xml:space="preserve">II – </w:t>
            </w:r>
            <w:proofErr w:type="gramStart"/>
            <w:r w:rsidRPr="007E5BF7">
              <w:rPr>
                <w:rFonts w:asciiTheme="majorHAnsi" w:hAnsiTheme="majorHAnsi" w:cstheme="majorHAnsi"/>
                <w:bCs/>
                <w:color w:val="0000FF"/>
                <w:sz w:val="24"/>
                <w:szCs w:val="24"/>
              </w:rPr>
              <w:t>a</w:t>
            </w:r>
            <w:proofErr w:type="gramEnd"/>
            <w:r w:rsidRPr="007E5BF7">
              <w:rPr>
                <w:rFonts w:asciiTheme="majorHAnsi" w:hAnsiTheme="majorHAnsi" w:cstheme="majorHAnsi"/>
                <w:bCs/>
                <w:color w:val="0000FF"/>
                <w:sz w:val="24"/>
                <w:szCs w:val="24"/>
              </w:rPr>
              <w:t xml:space="preserve"> adoção de programa que promova a diversidade, equidade e inclusão </w:t>
            </w:r>
            <w:r>
              <w:rPr>
                <w:rFonts w:asciiTheme="majorHAnsi" w:hAnsiTheme="majorHAnsi" w:cstheme="majorHAnsi"/>
                <w:bCs/>
                <w:color w:val="0000FF"/>
                <w:sz w:val="24"/>
                <w:szCs w:val="24"/>
              </w:rPr>
              <w:t xml:space="preserve">– DEI </w:t>
            </w:r>
            <w:r w:rsidRPr="007E5BF7">
              <w:rPr>
                <w:rFonts w:asciiTheme="majorHAnsi" w:hAnsiTheme="majorHAnsi" w:cstheme="majorHAnsi"/>
                <w:bCs/>
                <w:color w:val="0000FF"/>
                <w:sz w:val="24"/>
                <w:szCs w:val="24"/>
              </w:rPr>
              <w:t>na estrutura de governança da EFPC, inclusive para sua política de pessoal.</w:t>
            </w:r>
          </w:p>
        </w:tc>
        <w:tc>
          <w:tcPr>
            <w:tcW w:w="4074" w:type="dxa"/>
          </w:tcPr>
          <w:p w14:paraId="2C98F2EE" w14:textId="701B3D49" w:rsidR="00666A87" w:rsidRPr="00FB3502" w:rsidRDefault="00666A87" w:rsidP="00FB3502">
            <w:pPr>
              <w:jc w:val="both"/>
              <w:rPr>
                <w:rFonts w:asciiTheme="majorHAnsi" w:hAnsiTheme="majorHAnsi" w:cstheme="majorHAnsi"/>
                <w:bCs/>
                <w:sz w:val="24"/>
                <w:szCs w:val="24"/>
              </w:rPr>
            </w:pPr>
            <w:r w:rsidRPr="00FB3502">
              <w:rPr>
                <w:rFonts w:asciiTheme="majorHAnsi" w:hAnsiTheme="majorHAnsi" w:cstheme="majorHAnsi"/>
                <w:bCs/>
                <w:sz w:val="24"/>
                <w:szCs w:val="24"/>
              </w:rPr>
              <w:t>Trata da recomendação da adoção de política de gênero e diversidade no âmbito das EFPC.</w:t>
            </w:r>
          </w:p>
          <w:p w14:paraId="02AC6C35" w14:textId="77777777" w:rsidR="00666A87" w:rsidRPr="00FB3502" w:rsidRDefault="00666A87" w:rsidP="00FB3502">
            <w:pPr>
              <w:jc w:val="both"/>
              <w:rPr>
                <w:rFonts w:asciiTheme="majorHAnsi" w:hAnsiTheme="majorHAnsi" w:cstheme="majorHAnsi"/>
                <w:bCs/>
                <w:sz w:val="24"/>
                <w:szCs w:val="24"/>
              </w:rPr>
            </w:pPr>
            <w:r w:rsidRPr="00FB3502">
              <w:rPr>
                <w:rFonts w:asciiTheme="majorHAnsi" w:hAnsiTheme="majorHAnsi" w:cstheme="majorHAnsi"/>
                <w:bCs/>
                <w:sz w:val="24"/>
                <w:szCs w:val="24"/>
              </w:rPr>
              <w:t xml:space="preserve">Diversidade e equidade de gênero são princípios reconhecidos por organismos como a OCDE e a ONU como essenciais </w:t>
            </w:r>
            <w:r w:rsidRPr="00FB3502">
              <w:rPr>
                <w:rFonts w:asciiTheme="majorHAnsi" w:hAnsiTheme="majorHAnsi" w:cstheme="majorHAnsi"/>
                <w:bCs/>
                <w:sz w:val="24"/>
                <w:szCs w:val="24"/>
              </w:rPr>
              <w:lastRenderedPageBreak/>
              <w:t>para a transparência, a legitimidade institucional e a sustentabilidade de longo prazo, além de integrarem a agenda ASG.</w:t>
            </w:r>
          </w:p>
          <w:p w14:paraId="2BBFD544" w14:textId="77777777" w:rsidR="00666A87" w:rsidRPr="00FB3502" w:rsidRDefault="00666A87" w:rsidP="00FB3502">
            <w:pPr>
              <w:jc w:val="both"/>
              <w:rPr>
                <w:rFonts w:asciiTheme="majorHAnsi" w:hAnsiTheme="majorHAnsi" w:cstheme="majorHAnsi"/>
                <w:bCs/>
                <w:sz w:val="24"/>
                <w:szCs w:val="24"/>
              </w:rPr>
            </w:pPr>
            <w:r w:rsidRPr="00FB3502">
              <w:rPr>
                <w:rFonts w:asciiTheme="majorHAnsi" w:hAnsiTheme="majorHAnsi" w:cstheme="majorHAnsi"/>
                <w:bCs/>
                <w:sz w:val="24"/>
                <w:szCs w:val="24"/>
              </w:rPr>
              <w:t>Por exemplo, os Objetivos para Desenvolvimento Sustentável – ODS cita o “ODS 5 – Igualdade de gênero: alcançar a igualdade de gênero e empoderar todas as mulheres e meninas.”</w:t>
            </w:r>
          </w:p>
          <w:p w14:paraId="1197E39A" w14:textId="79656B64" w:rsidR="00666A87" w:rsidRPr="00666A87" w:rsidRDefault="00666A87" w:rsidP="00666A87">
            <w:pPr>
              <w:jc w:val="both"/>
              <w:rPr>
                <w:rFonts w:asciiTheme="majorHAnsi" w:hAnsiTheme="majorHAnsi" w:cstheme="majorHAnsi"/>
                <w:bCs/>
                <w:sz w:val="24"/>
                <w:szCs w:val="24"/>
              </w:rPr>
            </w:pPr>
            <w:r w:rsidRPr="00FB3502">
              <w:rPr>
                <w:rFonts w:asciiTheme="majorHAnsi" w:hAnsiTheme="majorHAnsi" w:cstheme="majorHAnsi"/>
                <w:bCs/>
                <w:sz w:val="24"/>
                <w:szCs w:val="24"/>
              </w:rPr>
              <w:t>Além de ampliar a confiança dos participantes, a adoção dessas práticas contribui para decisões mais qualificadas, mitigação de riscos reputacionais e fortalecimento da imagem institucional. A medida tem caráter orientador e respeita a realidade de cada entidade, estimulando a implementação progressiva de iniciativas que reforcem a responsabilidade social, a inclusão e a eficiência da governança previdenciária.</w:t>
            </w:r>
          </w:p>
        </w:tc>
        <w:tc>
          <w:tcPr>
            <w:tcW w:w="4075" w:type="dxa"/>
          </w:tcPr>
          <w:p w14:paraId="42D5DC6E" w14:textId="77777777" w:rsidR="00666A87" w:rsidRPr="00FB3502" w:rsidRDefault="00666A87" w:rsidP="00FB3502">
            <w:pPr>
              <w:jc w:val="both"/>
              <w:rPr>
                <w:rFonts w:asciiTheme="majorHAnsi" w:hAnsiTheme="majorHAnsi" w:cstheme="majorHAnsi"/>
                <w:bCs/>
                <w:sz w:val="24"/>
                <w:szCs w:val="24"/>
              </w:rPr>
            </w:pPr>
            <w:r w:rsidRPr="00FB3502">
              <w:rPr>
                <w:rFonts w:asciiTheme="majorHAnsi" w:hAnsiTheme="majorHAnsi" w:cstheme="majorHAnsi"/>
                <w:bCs/>
                <w:sz w:val="24"/>
                <w:szCs w:val="24"/>
              </w:rPr>
              <w:lastRenderedPageBreak/>
              <w:t xml:space="preserve">Decreto nº 10.411, de 2020, art. 4º, inciso V, alínea a. </w:t>
            </w:r>
          </w:p>
          <w:p w14:paraId="2176409A" w14:textId="77777777" w:rsidR="00666A87" w:rsidRPr="00FB3502" w:rsidRDefault="00666A87" w:rsidP="00FB3502">
            <w:pPr>
              <w:jc w:val="both"/>
              <w:rPr>
                <w:rFonts w:asciiTheme="majorHAnsi" w:hAnsiTheme="majorHAnsi" w:cstheme="majorHAnsi"/>
                <w:bCs/>
                <w:sz w:val="24"/>
                <w:szCs w:val="24"/>
              </w:rPr>
            </w:pPr>
            <w:r w:rsidRPr="00FB3502">
              <w:rPr>
                <w:rFonts w:asciiTheme="majorHAnsi" w:hAnsiTheme="majorHAnsi" w:cstheme="majorHAnsi"/>
                <w:bCs/>
                <w:sz w:val="24"/>
                <w:szCs w:val="24"/>
              </w:rPr>
              <w:t xml:space="preserve">A alteração em questão, em caráter de recomendação, trata de diretriz para promoção da equidade de gênero e diversidade. </w:t>
            </w:r>
          </w:p>
          <w:p w14:paraId="50992937" w14:textId="77777777" w:rsidR="00666A87" w:rsidRPr="00FB3502" w:rsidRDefault="00666A87" w:rsidP="00FB3502">
            <w:pPr>
              <w:ind w:right="-108"/>
              <w:jc w:val="both"/>
              <w:rPr>
                <w:rFonts w:asciiTheme="majorHAnsi" w:hAnsiTheme="majorHAnsi" w:cstheme="majorHAnsi"/>
                <w:bCs/>
                <w:sz w:val="24"/>
                <w:szCs w:val="24"/>
              </w:rPr>
            </w:pPr>
            <w:r w:rsidRPr="00FB3502">
              <w:rPr>
                <w:rFonts w:asciiTheme="majorHAnsi" w:hAnsiTheme="majorHAnsi" w:cstheme="majorHAnsi"/>
                <w:bCs/>
                <w:sz w:val="24"/>
                <w:szCs w:val="24"/>
              </w:rPr>
              <w:lastRenderedPageBreak/>
              <w:t xml:space="preserve">Tal medida pretende preservar a higidez da entidade assim como de todo o sistema. </w:t>
            </w:r>
          </w:p>
          <w:p w14:paraId="1ECEF195" w14:textId="77777777" w:rsidR="00666A87" w:rsidRPr="00FB3502" w:rsidRDefault="00666A87" w:rsidP="00FB3502">
            <w:pPr>
              <w:jc w:val="both"/>
              <w:rPr>
                <w:rFonts w:asciiTheme="majorHAnsi" w:hAnsiTheme="majorHAnsi" w:cstheme="majorHAnsi"/>
                <w:bCs/>
                <w:sz w:val="24"/>
                <w:szCs w:val="24"/>
              </w:rPr>
            </w:pPr>
            <w:r w:rsidRPr="00FB3502">
              <w:rPr>
                <w:rFonts w:asciiTheme="majorHAnsi" w:hAnsiTheme="majorHAnsi" w:cstheme="majorHAnsi"/>
                <w:bCs/>
                <w:sz w:val="24"/>
                <w:szCs w:val="24"/>
              </w:rPr>
              <w:t>Conceitualmente higidez é a condição de uma entidade que demonstra equilíbrio atuarial, sustentabilidade de longo prazo e conformidade regulatória.  Nesse sentido, a promoção dessas práticas objetiva fortalecer a governança, transparência e sustentabilidade institucional, que são pilares da higidez previdenciária. Ou seja, a inclusão dessas políticas não só não compromete o ambiente regulatório, como o fortalece, promovendo decisões mais equilibradas, mitigação de riscos e maior legitimidade.</w:t>
            </w:r>
          </w:p>
          <w:p w14:paraId="0B034697" w14:textId="0416A95D" w:rsidR="00666A87" w:rsidRPr="00D462F0" w:rsidRDefault="00666A87" w:rsidP="00666A87">
            <w:pPr>
              <w:jc w:val="both"/>
              <w:rPr>
                <w:rFonts w:asciiTheme="majorHAnsi" w:hAnsiTheme="majorHAnsi" w:cstheme="majorHAnsi"/>
                <w:bCs/>
                <w:sz w:val="24"/>
                <w:szCs w:val="24"/>
              </w:rPr>
            </w:pPr>
            <w:r w:rsidRPr="00FB3502">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014F0A" w:rsidRPr="00C93770" w14:paraId="41900700" w14:textId="77777777" w:rsidTr="1756A420">
        <w:tc>
          <w:tcPr>
            <w:tcW w:w="4074" w:type="dxa"/>
          </w:tcPr>
          <w:p w14:paraId="6E8E85D4" w14:textId="27553080" w:rsidR="00014F0A" w:rsidRPr="00D462F0" w:rsidRDefault="00014F0A" w:rsidP="0028717C">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lastRenderedPageBreak/>
              <w:t>...</w:t>
            </w:r>
          </w:p>
        </w:tc>
        <w:tc>
          <w:tcPr>
            <w:tcW w:w="4074" w:type="dxa"/>
          </w:tcPr>
          <w:p w14:paraId="6CB0F998" w14:textId="1D80A99A" w:rsidR="00014F0A" w:rsidRPr="00D462F0" w:rsidRDefault="00014F0A" w:rsidP="0028717C">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vAlign w:val="center"/>
          </w:tcPr>
          <w:p w14:paraId="5C64257E" w14:textId="77777777" w:rsidR="00014F0A" w:rsidRPr="00D462F0" w:rsidRDefault="00014F0A" w:rsidP="00D462F0">
            <w:pPr>
              <w:jc w:val="both"/>
              <w:rPr>
                <w:rFonts w:asciiTheme="majorHAnsi" w:hAnsiTheme="majorHAnsi" w:cstheme="majorHAnsi"/>
                <w:sz w:val="24"/>
                <w:szCs w:val="24"/>
              </w:rPr>
            </w:pPr>
          </w:p>
        </w:tc>
        <w:tc>
          <w:tcPr>
            <w:tcW w:w="4075" w:type="dxa"/>
          </w:tcPr>
          <w:p w14:paraId="08FF348F" w14:textId="77777777" w:rsidR="00014F0A" w:rsidRPr="00D462F0" w:rsidRDefault="00014F0A" w:rsidP="00D462F0">
            <w:pPr>
              <w:jc w:val="both"/>
              <w:rPr>
                <w:rFonts w:asciiTheme="majorHAnsi" w:hAnsiTheme="majorHAnsi" w:cstheme="majorHAnsi"/>
                <w:bCs/>
                <w:sz w:val="24"/>
                <w:szCs w:val="24"/>
              </w:rPr>
            </w:pPr>
          </w:p>
        </w:tc>
      </w:tr>
      <w:tr w:rsidR="00014F0A" w:rsidRPr="00C93770" w14:paraId="13CA1667" w14:textId="77777777" w:rsidTr="1756A420">
        <w:tc>
          <w:tcPr>
            <w:tcW w:w="4074" w:type="dxa"/>
          </w:tcPr>
          <w:p w14:paraId="69D5E127" w14:textId="77777777" w:rsidR="00014F0A" w:rsidRPr="00D462F0" w:rsidRDefault="00014F0A" w:rsidP="0028717C">
            <w:pPr>
              <w:jc w:val="center"/>
              <w:rPr>
                <w:rFonts w:asciiTheme="majorHAnsi" w:eastAsia="Times New Roman" w:hAnsiTheme="majorHAnsi" w:cstheme="majorHAnsi"/>
                <w:b/>
                <w:bCs/>
                <w:sz w:val="24"/>
                <w:szCs w:val="24"/>
              </w:rPr>
            </w:pPr>
            <w:r w:rsidRPr="00D462F0">
              <w:rPr>
                <w:rFonts w:asciiTheme="majorHAnsi" w:eastAsia="Times New Roman" w:hAnsiTheme="majorHAnsi" w:cstheme="majorHAnsi"/>
                <w:b/>
                <w:bCs/>
                <w:sz w:val="24"/>
                <w:szCs w:val="24"/>
              </w:rPr>
              <w:t>Seção V</w:t>
            </w:r>
          </w:p>
          <w:p w14:paraId="5BB4990C" w14:textId="2381724A" w:rsidR="00014F0A" w:rsidRPr="00D462F0" w:rsidRDefault="00014F0A" w:rsidP="0028717C">
            <w:pPr>
              <w:jc w:val="center"/>
              <w:rPr>
                <w:rFonts w:asciiTheme="majorHAnsi" w:eastAsia="Times New Roman" w:hAnsiTheme="majorHAnsi" w:cstheme="majorHAnsi"/>
                <w:b/>
                <w:bCs/>
                <w:sz w:val="24"/>
                <w:szCs w:val="24"/>
              </w:rPr>
            </w:pPr>
            <w:r w:rsidRPr="00D462F0">
              <w:rPr>
                <w:rFonts w:asciiTheme="majorHAnsi" w:eastAsia="Times New Roman" w:hAnsiTheme="majorHAnsi" w:cstheme="majorHAnsi"/>
                <w:b/>
                <w:bCs/>
                <w:sz w:val="24"/>
                <w:szCs w:val="24"/>
              </w:rPr>
              <w:t>Auditor Independente</w:t>
            </w:r>
          </w:p>
        </w:tc>
        <w:tc>
          <w:tcPr>
            <w:tcW w:w="4074" w:type="dxa"/>
          </w:tcPr>
          <w:p w14:paraId="0C1FD7DC" w14:textId="77777777" w:rsidR="00014F0A" w:rsidRPr="00D462F0" w:rsidRDefault="00014F0A" w:rsidP="0028717C">
            <w:pPr>
              <w:jc w:val="center"/>
              <w:rPr>
                <w:rFonts w:asciiTheme="majorHAnsi" w:eastAsia="Times New Roman" w:hAnsiTheme="majorHAnsi" w:cstheme="majorHAnsi"/>
                <w:b/>
                <w:bCs/>
                <w:sz w:val="24"/>
                <w:szCs w:val="24"/>
              </w:rPr>
            </w:pPr>
            <w:r w:rsidRPr="00D462F0">
              <w:rPr>
                <w:rFonts w:asciiTheme="majorHAnsi" w:eastAsia="Times New Roman" w:hAnsiTheme="majorHAnsi" w:cstheme="majorHAnsi"/>
                <w:b/>
                <w:bCs/>
                <w:sz w:val="24"/>
                <w:szCs w:val="24"/>
              </w:rPr>
              <w:t>Seção V</w:t>
            </w:r>
          </w:p>
          <w:p w14:paraId="3A6050EE" w14:textId="3CA8D1A3" w:rsidR="00014F0A" w:rsidRPr="00D462F0" w:rsidRDefault="00014F0A" w:rsidP="0028717C">
            <w:pPr>
              <w:jc w:val="center"/>
              <w:rPr>
                <w:rFonts w:asciiTheme="majorHAnsi" w:eastAsia="Times New Roman" w:hAnsiTheme="majorHAnsi" w:cstheme="majorHAnsi"/>
                <w:b/>
                <w:bCs/>
                <w:sz w:val="24"/>
                <w:szCs w:val="24"/>
              </w:rPr>
            </w:pPr>
            <w:r w:rsidRPr="00D462F0">
              <w:rPr>
                <w:rFonts w:asciiTheme="majorHAnsi" w:eastAsia="Times New Roman" w:hAnsiTheme="majorHAnsi" w:cstheme="majorHAnsi"/>
                <w:b/>
                <w:bCs/>
                <w:sz w:val="24"/>
                <w:szCs w:val="24"/>
              </w:rPr>
              <w:t>Auditor Independente</w:t>
            </w:r>
          </w:p>
        </w:tc>
        <w:tc>
          <w:tcPr>
            <w:tcW w:w="4074" w:type="dxa"/>
            <w:vAlign w:val="center"/>
          </w:tcPr>
          <w:p w14:paraId="1C0D7FB2" w14:textId="77777777" w:rsidR="00014F0A" w:rsidRPr="00D462F0" w:rsidRDefault="00014F0A" w:rsidP="00D462F0">
            <w:pPr>
              <w:jc w:val="both"/>
              <w:rPr>
                <w:rFonts w:asciiTheme="majorHAnsi" w:hAnsiTheme="majorHAnsi" w:cstheme="majorHAnsi"/>
                <w:sz w:val="24"/>
                <w:szCs w:val="24"/>
              </w:rPr>
            </w:pPr>
          </w:p>
        </w:tc>
        <w:tc>
          <w:tcPr>
            <w:tcW w:w="4075" w:type="dxa"/>
          </w:tcPr>
          <w:p w14:paraId="4CE8A335" w14:textId="77777777" w:rsidR="00014F0A" w:rsidRPr="00D462F0" w:rsidRDefault="00014F0A" w:rsidP="00D462F0">
            <w:pPr>
              <w:jc w:val="both"/>
              <w:rPr>
                <w:rFonts w:asciiTheme="majorHAnsi" w:hAnsiTheme="majorHAnsi" w:cstheme="majorHAnsi"/>
                <w:bCs/>
                <w:sz w:val="24"/>
                <w:szCs w:val="24"/>
              </w:rPr>
            </w:pPr>
          </w:p>
        </w:tc>
      </w:tr>
      <w:tr w:rsidR="00A26CD8" w:rsidRPr="00C93770" w14:paraId="4A0B652C" w14:textId="77777777" w:rsidTr="1756A420">
        <w:tc>
          <w:tcPr>
            <w:tcW w:w="4074" w:type="dxa"/>
          </w:tcPr>
          <w:p w14:paraId="027F0368" w14:textId="787B6046" w:rsidR="00A26CD8" w:rsidRPr="00D462F0" w:rsidRDefault="00A26CD8" w:rsidP="00D462F0">
            <w:pPr>
              <w:jc w:val="both"/>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Art. 20.</w:t>
            </w:r>
            <w:r w:rsidR="00D1730A" w:rsidRPr="00D462F0">
              <w:rPr>
                <w:rFonts w:asciiTheme="majorHAnsi" w:eastAsia="Times New Roman" w:hAnsiTheme="majorHAnsi" w:cstheme="majorHAnsi"/>
                <w:sz w:val="24"/>
                <w:szCs w:val="24"/>
              </w:rPr>
              <w:t xml:space="preserve">  </w:t>
            </w:r>
            <w:r w:rsidRPr="00D462F0">
              <w:rPr>
                <w:rFonts w:asciiTheme="majorHAnsi" w:eastAsia="Times New Roman" w:hAnsiTheme="majorHAnsi" w:cstheme="majorHAnsi"/>
                <w:sz w:val="24"/>
                <w:szCs w:val="24"/>
              </w:rPr>
              <w:t>As EFPC devem contratar auditor independente para produzir, anualmente, os seguintes relatórios:</w:t>
            </w:r>
          </w:p>
          <w:p w14:paraId="366F45AE" w14:textId="7E2C1A2D" w:rsidR="00A26CD8" w:rsidRPr="00D462F0" w:rsidRDefault="00A26CD8" w:rsidP="00D462F0">
            <w:pPr>
              <w:jc w:val="both"/>
              <w:rPr>
                <w:rFonts w:asciiTheme="majorHAnsi" w:hAnsiTheme="majorHAnsi" w:cstheme="majorHAnsi"/>
                <w:color w:val="000000"/>
                <w:sz w:val="24"/>
                <w:szCs w:val="24"/>
              </w:rPr>
            </w:pPr>
          </w:p>
        </w:tc>
        <w:tc>
          <w:tcPr>
            <w:tcW w:w="4074" w:type="dxa"/>
          </w:tcPr>
          <w:p w14:paraId="59401670" w14:textId="3141A4AD" w:rsidR="00A26CD8" w:rsidRPr="00D462F0" w:rsidRDefault="00D1730A" w:rsidP="00D462F0">
            <w:pPr>
              <w:jc w:val="both"/>
              <w:rPr>
                <w:rFonts w:asciiTheme="majorHAnsi" w:eastAsia="Times New Roman" w:hAnsiTheme="majorHAnsi" w:cstheme="majorHAnsi"/>
                <w:bCs/>
                <w:sz w:val="24"/>
                <w:szCs w:val="24"/>
              </w:rPr>
            </w:pPr>
            <w:r w:rsidRPr="00D462F0">
              <w:rPr>
                <w:rFonts w:asciiTheme="majorHAnsi" w:eastAsia="Times New Roman" w:hAnsiTheme="majorHAnsi" w:cstheme="majorHAnsi"/>
                <w:sz w:val="24"/>
                <w:szCs w:val="24"/>
              </w:rPr>
              <w:t>Art. 20.  ...</w:t>
            </w:r>
          </w:p>
          <w:p w14:paraId="65D0F668" w14:textId="2FE36267" w:rsidR="00A26CD8" w:rsidRPr="00D462F0" w:rsidRDefault="00A26CD8" w:rsidP="00D462F0">
            <w:pPr>
              <w:jc w:val="both"/>
              <w:rPr>
                <w:rFonts w:asciiTheme="majorHAnsi" w:hAnsiTheme="majorHAnsi" w:cstheme="majorHAnsi"/>
                <w:bCs/>
                <w:color w:val="000000"/>
                <w:sz w:val="24"/>
                <w:szCs w:val="24"/>
              </w:rPr>
            </w:pPr>
          </w:p>
        </w:tc>
        <w:tc>
          <w:tcPr>
            <w:tcW w:w="4074" w:type="dxa"/>
            <w:vAlign w:val="center"/>
          </w:tcPr>
          <w:p w14:paraId="1C89D797" w14:textId="3285161F" w:rsidR="00A26CD8" w:rsidRPr="00D462F0" w:rsidRDefault="00D1730A"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6F206D3B" w14:textId="77777777" w:rsidR="00A26CD8" w:rsidRPr="00D462F0" w:rsidRDefault="00A26CD8" w:rsidP="00D462F0">
            <w:pPr>
              <w:jc w:val="both"/>
              <w:rPr>
                <w:rFonts w:asciiTheme="majorHAnsi" w:hAnsiTheme="majorHAnsi" w:cstheme="majorHAnsi"/>
                <w:bCs/>
                <w:sz w:val="24"/>
                <w:szCs w:val="24"/>
              </w:rPr>
            </w:pPr>
          </w:p>
        </w:tc>
      </w:tr>
      <w:tr w:rsidR="00A26CD8" w:rsidRPr="00C93770" w14:paraId="031325D0" w14:textId="77777777" w:rsidTr="1756A420">
        <w:tc>
          <w:tcPr>
            <w:tcW w:w="4074" w:type="dxa"/>
          </w:tcPr>
          <w:p w14:paraId="6723E5EB" w14:textId="7F1EEB44" w:rsidR="00A26CD8" w:rsidRPr="00D462F0" w:rsidRDefault="00A26CD8" w:rsidP="00D462F0">
            <w:pPr>
              <w:jc w:val="both"/>
              <w:rPr>
                <w:rFonts w:asciiTheme="majorHAnsi" w:eastAsia="Times New Roman" w:hAnsiTheme="majorHAnsi" w:cstheme="majorHAnsi"/>
                <w:sz w:val="24"/>
                <w:szCs w:val="24"/>
              </w:rPr>
            </w:pPr>
            <w:r w:rsidRPr="00D462F0">
              <w:rPr>
                <w:rFonts w:asciiTheme="majorHAnsi" w:eastAsia="Times New Roman" w:hAnsiTheme="majorHAnsi" w:cstheme="majorHAnsi"/>
                <w:color w:val="EE0000"/>
                <w:sz w:val="24"/>
                <w:szCs w:val="24"/>
              </w:rPr>
              <w:t xml:space="preserve">Parágrafo único. </w:t>
            </w:r>
            <w:r w:rsidR="0091362C" w:rsidRPr="00D462F0">
              <w:rPr>
                <w:rFonts w:asciiTheme="majorHAnsi" w:eastAsia="Times New Roman" w:hAnsiTheme="majorHAnsi" w:cstheme="majorHAnsi"/>
                <w:color w:val="EE0000"/>
                <w:sz w:val="24"/>
                <w:szCs w:val="24"/>
              </w:rPr>
              <w:t xml:space="preserve"> </w:t>
            </w:r>
            <w:r w:rsidRPr="00D462F0">
              <w:rPr>
                <w:rFonts w:asciiTheme="majorHAnsi" w:eastAsia="Times New Roman" w:hAnsiTheme="majorHAnsi" w:cstheme="majorHAnsi"/>
                <w:sz w:val="24"/>
                <w:szCs w:val="24"/>
              </w:rPr>
              <w:t xml:space="preserve">O relatório requerido no inciso III é exigido, em observância ao disposto no § 2º do art. </w:t>
            </w:r>
          </w:p>
          <w:p w14:paraId="3BD9F396" w14:textId="67385AB6" w:rsidR="00A26CD8" w:rsidRPr="00D462F0" w:rsidRDefault="00A26CD8" w:rsidP="00D462F0">
            <w:pPr>
              <w:jc w:val="both"/>
              <w:rPr>
                <w:rFonts w:asciiTheme="majorHAnsi" w:hAnsiTheme="majorHAnsi" w:cstheme="majorHAnsi"/>
                <w:color w:val="000000"/>
                <w:sz w:val="24"/>
                <w:szCs w:val="24"/>
              </w:rPr>
            </w:pPr>
            <w:r w:rsidRPr="00D462F0">
              <w:rPr>
                <w:rFonts w:asciiTheme="majorHAnsi" w:eastAsia="Times New Roman" w:hAnsiTheme="majorHAnsi" w:cstheme="majorHAnsi"/>
                <w:sz w:val="24"/>
                <w:szCs w:val="24"/>
              </w:rPr>
              <w:t>13 da Resolução CNPC nº 44, de 2021, apenas para as EFPC classificadas pela Previc no segmento S1.</w:t>
            </w:r>
          </w:p>
        </w:tc>
        <w:tc>
          <w:tcPr>
            <w:tcW w:w="4074" w:type="dxa"/>
          </w:tcPr>
          <w:p w14:paraId="3362A4C6" w14:textId="32DBF1D1"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w:t>
            </w:r>
            <w:proofErr w:type="gramStart"/>
            <w:r w:rsidRPr="00D462F0">
              <w:rPr>
                <w:rFonts w:asciiTheme="majorHAnsi" w:hAnsiTheme="majorHAnsi" w:cstheme="majorHAnsi"/>
                <w:bCs/>
                <w:color w:val="0000FF"/>
                <w:sz w:val="24"/>
                <w:szCs w:val="24"/>
              </w:rPr>
              <w:t>º</w:t>
            </w:r>
            <w:r w:rsidRPr="00D462F0">
              <w:rPr>
                <w:rFonts w:asciiTheme="majorHAnsi" w:eastAsia="Times New Roman" w:hAnsiTheme="majorHAnsi" w:cstheme="majorHAnsi"/>
                <w:bCs/>
                <w:color w:val="002060"/>
                <w:sz w:val="24"/>
                <w:szCs w:val="24"/>
              </w:rPr>
              <w:t xml:space="preserve"> </w:t>
            </w:r>
            <w:r w:rsidR="00D1730A" w:rsidRPr="00D462F0">
              <w:rPr>
                <w:rFonts w:asciiTheme="majorHAnsi" w:eastAsia="Times New Roman" w:hAnsiTheme="majorHAnsi" w:cstheme="majorHAnsi"/>
                <w:bCs/>
                <w:color w:val="002060"/>
                <w:sz w:val="24"/>
                <w:szCs w:val="24"/>
              </w:rPr>
              <w:t xml:space="preserve"> </w:t>
            </w:r>
            <w:r w:rsidRPr="00D462F0">
              <w:rPr>
                <w:rFonts w:asciiTheme="majorHAnsi" w:eastAsia="Times New Roman" w:hAnsiTheme="majorHAnsi" w:cstheme="majorHAnsi"/>
                <w:bCs/>
                <w:sz w:val="24"/>
                <w:szCs w:val="24"/>
              </w:rPr>
              <w:t>O</w:t>
            </w:r>
            <w:proofErr w:type="gramEnd"/>
            <w:r w:rsidRPr="00D462F0">
              <w:rPr>
                <w:rFonts w:asciiTheme="majorHAnsi" w:eastAsia="Times New Roman" w:hAnsiTheme="majorHAnsi" w:cstheme="majorHAnsi"/>
                <w:bCs/>
                <w:sz w:val="24"/>
                <w:szCs w:val="24"/>
              </w:rPr>
              <w:t xml:space="preserve"> relatório requerido no inciso III é exigido, em observância ao disposto no § 2º do art. 13 da Resolução CNPC nº 44, de 2021, apenas para as EFPC classificadas pela Previc no segmento S1.</w:t>
            </w:r>
          </w:p>
        </w:tc>
        <w:tc>
          <w:tcPr>
            <w:tcW w:w="4074" w:type="dxa"/>
            <w:vAlign w:val="center"/>
          </w:tcPr>
          <w:p w14:paraId="6A580D41" w14:textId="77777777" w:rsidR="00A26CD8" w:rsidRPr="00D462F0" w:rsidRDefault="00A26CD8" w:rsidP="00D462F0">
            <w:pPr>
              <w:jc w:val="both"/>
              <w:rPr>
                <w:rFonts w:asciiTheme="majorHAnsi" w:hAnsiTheme="majorHAnsi" w:cstheme="majorHAnsi"/>
                <w:sz w:val="24"/>
                <w:szCs w:val="24"/>
              </w:rPr>
            </w:pPr>
          </w:p>
        </w:tc>
        <w:tc>
          <w:tcPr>
            <w:tcW w:w="4075" w:type="dxa"/>
          </w:tcPr>
          <w:p w14:paraId="4F0161D6" w14:textId="77777777" w:rsidR="00A26CD8" w:rsidRPr="00D462F0" w:rsidRDefault="00A26CD8" w:rsidP="00D462F0">
            <w:pPr>
              <w:jc w:val="both"/>
              <w:rPr>
                <w:rFonts w:asciiTheme="majorHAnsi" w:hAnsiTheme="majorHAnsi" w:cstheme="majorHAnsi"/>
                <w:bCs/>
                <w:sz w:val="24"/>
                <w:szCs w:val="24"/>
              </w:rPr>
            </w:pPr>
          </w:p>
        </w:tc>
      </w:tr>
      <w:tr w:rsidR="00A26CD8" w:rsidRPr="00C93770" w14:paraId="1DE579DB" w14:textId="77777777" w:rsidTr="1756A420">
        <w:tc>
          <w:tcPr>
            <w:tcW w:w="4074" w:type="dxa"/>
          </w:tcPr>
          <w:p w14:paraId="7222A7BB" w14:textId="40A7C4B0"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3689A586" w14:textId="3339488F"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 xml:space="preserve">º </w:t>
            </w:r>
            <w:r w:rsidR="00D1730A"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Para</w:t>
            </w:r>
            <w:proofErr w:type="gramEnd"/>
            <w:r w:rsidRPr="00D462F0">
              <w:rPr>
                <w:rFonts w:asciiTheme="majorHAnsi" w:hAnsiTheme="majorHAnsi" w:cstheme="majorHAnsi"/>
                <w:bCs/>
                <w:color w:val="0000FF"/>
                <w:sz w:val="24"/>
                <w:szCs w:val="24"/>
              </w:rPr>
              <w:t xml:space="preserve"> as EFPC classificadas pela Previc nos segmentos S1 e S2 é também recomendada a realização, pelo menos a cada cinco exercícios, de auditorias atuariais e de benefícios nos seus planos de benefícios, com a produção dos respectivos relatórios por auditores independentes.</w:t>
            </w:r>
          </w:p>
        </w:tc>
        <w:tc>
          <w:tcPr>
            <w:tcW w:w="4074" w:type="dxa"/>
          </w:tcPr>
          <w:p w14:paraId="599FD16E" w14:textId="5B970813"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Recomendar a realização, pelo menos a cada cinco anos, de auditorias atuariais e de benefícios para os planos de benefícios classificados nos segmentos S1 e S2, visando a fortalecer os mecanismos de governança e a prestação de contas das EFPC, dando maior segurança aos patrocinadores, participantes e assistidos, bem como permitir a identificação de inconsistências ou riscos atuariais e operacionais pela Previc.</w:t>
            </w:r>
          </w:p>
        </w:tc>
        <w:tc>
          <w:tcPr>
            <w:tcW w:w="4075" w:type="dxa"/>
          </w:tcPr>
          <w:p w14:paraId="63325B4D" w14:textId="77777777" w:rsidR="00A26CD8" w:rsidRPr="00D462F0" w:rsidRDefault="00A26CD8" w:rsidP="00D462F0">
            <w:pPr>
              <w:jc w:val="both"/>
              <w:rPr>
                <w:rFonts w:asciiTheme="majorHAnsi" w:hAnsiTheme="majorHAnsi" w:cstheme="majorHAnsi"/>
                <w:bCs/>
                <w:sz w:val="24"/>
                <w:szCs w:val="24"/>
              </w:rPr>
            </w:pPr>
          </w:p>
        </w:tc>
      </w:tr>
      <w:tr w:rsidR="00014F0A" w:rsidRPr="00C93770" w14:paraId="6D8120D7" w14:textId="77777777" w:rsidTr="1756A420">
        <w:tc>
          <w:tcPr>
            <w:tcW w:w="4074" w:type="dxa"/>
          </w:tcPr>
          <w:p w14:paraId="5EE943BF" w14:textId="1F25BA9E" w:rsidR="00014F0A" w:rsidRPr="00D462F0" w:rsidRDefault="00014F0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35D8E37C" w14:textId="0C3E0100" w:rsidR="00014F0A" w:rsidRPr="00D462F0" w:rsidRDefault="00014F0A"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5C9BD181" w14:textId="77777777" w:rsidR="00014F0A" w:rsidRPr="00D462F0" w:rsidRDefault="00014F0A" w:rsidP="00D462F0">
            <w:pPr>
              <w:jc w:val="both"/>
              <w:rPr>
                <w:rFonts w:asciiTheme="majorHAnsi" w:hAnsiTheme="majorHAnsi" w:cstheme="majorHAnsi"/>
                <w:sz w:val="24"/>
                <w:szCs w:val="24"/>
              </w:rPr>
            </w:pPr>
          </w:p>
        </w:tc>
        <w:tc>
          <w:tcPr>
            <w:tcW w:w="4075" w:type="dxa"/>
          </w:tcPr>
          <w:p w14:paraId="60C12A50" w14:textId="77777777" w:rsidR="00014F0A" w:rsidRPr="00D462F0" w:rsidRDefault="00014F0A" w:rsidP="00D462F0">
            <w:pPr>
              <w:jc w:val="both"/>
              <w:rPr>
                <w:rFonts w:asciiTheme="majorHAnsi" w:hAnsiTheme="majorHAnsi" w:cstheme="majorHAnsi"/>
                <w:bCs/>
                <w:sz w:val="24"/>
                <w:szCs w:val="24"/>
              </w:rPr>
            </w:pPr>
          </w:p>
        </w:tc>
      </w:tr>
      <w:tr w:rsidR="00A26CD8" w:rsidRPr="00C93770" w14:paraId="17B4F012" w14:textId="77777777" w:rsidTr="1756A420">
        <w:tc>
          <w:tcPr>
            <w:tcW w:w="4074" w:type="dxa"/>
          </w:tcPr>
          <w:p w14:paraId="0074D63B" w14:textId="3021D9E0"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22. </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A EFPC deverá enviar à Previc, para fins de habilitação, a documentação comprobatória de atendimento aos requisitos exigidos para o exercício dos cargos definidos na legislação. </w:t>
            </w:r>
          </w:p>
          <w:p w14:paraId="68B4A75A" w14:textId="77777777" w:rsidR="00A26CD8" w:rsidRPr="00D462F0" w:rsidRDefault="00A26CD8" w:rsidP="00D462F0">
            <w:pPr>
              <w:jc w:val="both"/>
              <w:rPr>
                <w:rFonts w:asciiTheme="majorHAnsi" w:hAnsiTheme="majorHAnsi" w:cstheme="majorHAnsi"/>
                <w:color w:val="000000"/>
                <w:sz w:val="24"/>
                <w:szCs w:val="24"/>
              </w:rPr>
            </w:pPr>
          </w:p>
        </w:tc>
        <w:tc>
          <w:tcPr>
            <w:tcW w:w="4074" w:type="dxa"/>
          </w:tcPr>
          <w:p w14:paraId="6961B409" w14:textId="4C5CCDE8"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22. </w:t>
            </w:r>
            <w:r w:rsidR="007E378D"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A EFPC</w:t>
            </w:r>
            <w:r w:rsidRPr="00D462F0">
              <w:rPr>
                <w:rFonts w:asciiTheme="majorHAnsi" w:hAnsiTheme="majorHAnsi" w:cstheme="majorHAnsi"/>
                <w:bCs/>
                <w:color w:val="0000FF"/>
                <w:sz w:val="24"/>
                <w:szCs w:val="24"/>
              </w:rPr>
              <w:t xml:space="preserve">, observado plano de sucessão, deverá enviar à Previc, para fins de habilitação, no prazo mínimo de trinta dias antes da posse, </w:t>
            </w:r>
            <w:r w:rsidRPr="00D462F0">
              <w:rPr>
                <w:rFonts w:asciiTheme="majorHAnsi" w:hAnsiTheme="majorHAnsi" w:cstheme="majorHAnsi"/>
                <w:bCs/>
                <w:color w:val="000000"/>
                <w:sz w:val="24"/>
                <w:szCs w:val="24"/>
              </w:rPr>
              <w:t>a documentação comprobatória</w:t>
            </w:r>
            <w:r w:rsidRPr="00D462F0">
              <w:rPr>
                <w:rFonts w:asciiTheme="majorHAnsi" w:hAnsiTheme="majorHAnsi" w:cstheme="majorHAnsi"/>
                <w:bCs/>
                <w:sz w:val="24"/>
                <w:szCs w:val="24"/>
              </w:rPr>
              <w:t xml:space="preserve"> </w:t>
            </w:r>
            <w:r w:rsidRPr="00D462F0">
              <w:rPr>
                <w:rFonts w:asciiTheme="majorHAnsi" w:hAnsiTheme="majorHAnsi" w:cstheme="majorHAnsi"/>
                <w:bCs/>
                <w:color w:val="000000"/>
                <w:sz w:val="24"/>
                <w:szCs w:val="24"/>
              </w:rPr>
              <w:t xml:space="preserve">de atendimento aos requisitos exigidos para o exercício dos cargos definidos na legislação. </w:t>
            </w:r>
          </w:p>
          <w:p w14:paraId="75851516" w14:textId="77777777" w:rsidR="00A26CD8" w:rsidRPr="00D462F0" w:rsidRDefault="00A26CD8" w:rsidP="00D462F0">
            <w:pPr>
              <w:jc w:val="both"/>
              <w:rPr>
                <w:rFonts w:asciiTheme="majorHAnsi" w:hAnsiTheme="majorHAnsi" w:cstheme="majorHAnsi"/>
                <w:bCs/>
                <w:color w:val="000000"/>
                <w:sz w:val="24"/>
                <w:szCs w:val="24"/>
              </w:rPr>
            </w:pPr>
          </w:p>
        </w:tc>
        <w:tc>
          <w:tcPr>
            <w:tcW w:w="4074" w:type="dxa"/>
          </w:tcPr>
          <w:p w14:paraId="0D86F4B1" w14:textId="4AC84D66"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prazo mínimo para enviar a documentação para fins de habilitação.</w:t>
            </w:r>
          </w:p>
        </w:tc>
        <w:tc>
          <w:tcPr>
            <w:tcW w:w="4075" w:type="dxa"/>
          </w:tcPr>
          <w:p w14:paraId="2329EC42"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1A595AA6"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artigo destinado a assegurar a comprovação prévia de requisitos para posse e exercício nos cargos designados no âmbito da EFPC. </w:t>
            </w:r>
          </w:p>
          <w:p w14:paraId="70F74E65"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5A876C74" w14:textId="77777777" w:rsidR="00A26CD8" w:rsidRPr="00D462F0" w:rsidRDefault="00A26CD8"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18589069" w14:textId="77777777" w:rsidR="00A26CD8" w:rsidRPr="00D462F0" w:rsidRDefault="00A26CD8"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processo de habilitação pretende mitigar riscos na administração segura e eficiente dos ativos, assegurando inclusive que a posse e exercício desse dirigente ocorra apenas quando devidamente habilitado. </w:t>
            </w:r>
          </w:p>
          <w:p w14:paraId="0D65DBFB" w14:textId="18A8BFB3"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Por isso, o artigo em questão se enquadra na dispensa de análise de </w:t>
            </w:r>
            <w:r w:rsidRPr="00D462F0">
              <w:rPr>
                <w:rFonts w:asciiTheme="majorHAnsi" w:hAnsiTheme="majorHAnsi" w:cstheme="majorHAnsi"/>
                <w:bCs/>
                <w:sz w:val="24"/>
                <w:szCs w:val="24"/>
              </w:rPr>
              <w:lastRenderedPageBreak/>
              <w:t>impacto regulatório, por visar preservar a liquidez, solvência ou higidez, conforme art. 4º, inciso V, alínea “a”, do Decreto nº 10.411, de 2020.</w:t>
            </w:r>
          </w:p>
        </w:tc>
      </w:tr>
      <w:tr w:rsidR="00A26CD8" w:rsidRPr="00C93770" w14:paraId="395150BE" w14:textId="77777777" w:rsidTr="1756A420">
        <w:tc>
          <w:tcPr>
            <w:tcW w:w="4074" w:type="dxa"/>
          </w:tcPr>
          <w:p w14:paraId="6FE3D90C" w14:textId="65901ADF"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xml:space="preserve">Parágrafo único. </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A EFPC enquadrada nos segmentos S3 ou S4 deverá enviar os dados relativos aos membros do conselho fiscal e do conselho deliberativo apenas por meio do Cadastro Nacional de Dirigentes (</w:t>
            </w:r>
            <w:proofErr w:type="spellStart"/>
            <w:r w:rsidRPr="00D462F0">
              <w:rPr>
                <w:rFonts w:asciiTheme="majorHAnsi" w:hAnsiTheme="majorHAnsi" w:cstheme="majorHAnsi"/>
                <w:color w:val="000000"/>
                <w:sz w:val="24"/>
                <w:szCs w:val="24"/>
              </w:rPr>
              <w:t>Cand</w:t>
            </w:r>
            <w:proofErr w:type="spellEnd"/>
            <w:r w:rsidRPr="00D462F0">
              <w:rPr>
                <w:rFonts w:asciiTheme="majorHAnsi" w:hAnsiTheme="majorHAnsi" w:cstheme="majorHAnsi"/>
                <w:color w:val="000000"/>
                <w:sz w:val="24"/>
                <w:szCs w:val="24"/>
              </w:rPr>
              <w:t>), considerando-se automaticamente habilitado o dirigente, o que não exime o cumprimento de todos os requisitos exigidos pela legislação, que poderão ser aferidos a qualquer tempo pela Previc.</w:t>
            </w:r>
          </w:p>
        </w:tc>
        <w:tc>
          <w:tcPr>
            <w:tcW w:w="4074" w:type="dxa"/>
          </w:tcPr>
          <w:p w14:paraId="317A0A16" w14:textId="226BEB1B"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w:t>
            </w:r>
            <w:proofErr w:type="gramStart"/>
            <w:r w:rsidRPr="00D462F0">
              <w:rPr>
                <w:rFonts w:asciiTheme="majorHAnsi" w:hAnsiTheme="majorHAnsi" w:cstheme="majorHAnsi"/>
                <w:bCs/>
                <w:color w:val="0000FF"/>
                <w:sz w:val="24"/>
                <w:szCs w:val="24"/>
              </w:rPr>
              <w:t>º</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A</w:t>
            </w:r>
            <w:proofErr w:type="gramEnd"/>
            <w:r w:rsidRPr="00D462F0">
              <w:rPr>
                <w:rFonts w:asciiTheme="majorHAnsi" w:hAnsiTheme="majorHAnsi" w:cstheme="majorHAnsi"/>
                <w:bCs/>
                <w:color w:val="000000"/>
                <w:sz w:val="24"/>
                <w:szCs w:val="24"/>
              </w:rPr>
              <w:t xml:space="preserve"> EFPC enquadrada nos segmentos S3 ou S4 deverá enviar os dados relativos aos membros do conselho fiscal e do conselho deliberativo apenas por meio </w:t>
            </w:r>
            <w:r w:rsidR="00C93770" w:rsidRPr="00D462F0">
              <w:rPr>
                <w:rFonts w:asciiTheme="majorHAnsi" w:hAnsiTheme="majorHAnsi" w:cstheme="majorHAnsi"/>
                <w:color w:val="000000"/>
                <w:sz w:val="24"/>
                <w:szCs w:val="24"/>
              </w:rPr>
              <w:t>do</w:t>
            </w:r>
            <w:r w:rsidR="00C93770" w:rsidRPr="00D462F0">
              <w:rPr>
                <w:rFonts w:asciiTheme="majorHAnsi" w:hAnsiTheme="majorHAnsi" w:cstheme="majorHAnsi"/>
                <w:b/>
                <w:bCs/>
                <w:color w:val="000000"/>
                <w:sz w:val="24"/>
                <w:szCs w:val="24"/>
              </w:rPr>
              <w:t xml:space="preserve"> </w:t>
            </w:r>
            <w:r w:rsidR="00C93770" w:rsidRPr="00D462F0">
              <w:rPr>
                <w:rFonts w:asciiTheme="majorHAnsi" w:hAnsiTheme="majorHAnsi" w:cstheme="majorHAnsi"/>
                <w:strike/>
                <w:color w:val="EE0000"/>
                <w:sz w:val="24"/>
                <w:szCs w:val="24"/>
              </w:rPr>
              <w:t>Cadastro Nacional de Dirigentes (</w:t>
            </w:r>
            <w:proofErr w:type="spellStart"/>
            <w:r w:rsidR="00C93770" w:rsidRPr="00D462F0">
              <w:rPr>
                <w:rFonts w:asciiTheme="majorHAnsi" w:hAnsiTheme="majorHAnsi" w:cstheme="majorHAnsi"/>
                <w:strike/>
                <w:color w:val="EE0000"/>
                <w:sz w:val="24"/>
                <w:szCs w:val="24"/>
              </w:rPr>
              <w:t>Cand</w:t>
            </w:r>
            <w:proofErr w:type="spellEnd"/>
            <w:r w:rsidR="00C93770" w:rsidRPr="00D462F0">
              <w:rPr>
                <w:rFonts w:asciiTheme="majorHAnsi" w:hAnsiTheme="majorHAnsi" w:cstheme="majorHAnsi"/>
                <w:strike/>
                <w:color w:val="EE0000"/>
                <w:sz w:val="24"/>
                <w:szCs w:val="24"/>
              </w:rPr>
              <w:t>),</w:t>
            </w:r>
            <w:r w:rsidR="00C93770" w:rsidRPr="00D462F0">
              <w:rPr>
                <w:rFonts w:asciiTheme="majorHAnsi" w:hAnsiTheme="majorHAnsi" w:cstheme="majorHAnsi"/>
                <w:color w:val="EE0000"/>
                <w:sz w:val="24"/>
                <w:szCs w:val="24"/>
              </w:rPr>
              <w:t xml:space="preserve"> </w:t>
            </w:r>
            <w:r w:rsidR="006D4320" w:rsidRPr="006D4320">
              <w:rPr>
                <w:rFonts w:asciiTheme="majorHAnsi" w:hAnsiTheme="majorHAnsi" w:cstheme="majorHAnsi"/>
                <w:color w:val="0000FF"/>
                <w:sz w:val="24"/>
                <w:szCs w:val="24"/>
              </w:rPr>
              <w:t>d</w:t>
            </w:r>
            <w:r w:rsidR="008361AB">
              <w:rPr>
                <w:rFonts w:asciiTheme="majorHAnsi" w:hAnsiTheme="majorHAnsi" w:cstheme="majorHAnsi"/>
                <w:color w:val="0000FF"/>
                <w:sz w:val="24"/>
                <w:szCs w:val="24"/>
              </w:rPr>
              <w:t>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sistema informatizado indicado no sítio eletrônico da autarquia,</w:t>
            </w:r>
            <w:r w:rsidRPr="00D462F0">
              <w:rPr>
                <w:rFonts w:asciiTheme="majorHAnsi" w:hAnsiTheme="majorHAnsi" w:cstheme="majorHAnsi"/>
                <w:bCs/>
                <w:color w:val="000000"/>
                <w:sz w:val="24"/>
                <w:szCs w:val="24"/>
              </w:rPr>
              <w:t xml:space="preserve"> considerando-se automaticamente habilitado o dirigente, o que não exime o cumprimento de todos os requisitos exigidos pela legislação, que poderão ser aferidos a qualquer tempo pela Previc.</w:t>
            </w:r>
          </w:p>
          <w:p w14:paraId="130A94C1" w14:textId="31A7D5A7" w:rsidR="00A26CD8" w:rsidRPr="00D462F0" w:rsidRDefault="00A26CD8" w:rsidP="00D462F0">
            <w:pPr>
              <w:jc w:val="both"/>
              <w:rPr>
                <w:rFonts w:asciiTheme="majorHAnsi" w:hAnsiTheme="majorHAnsi" w:cstheme="majorHAnsi"/>
                <w:bCs/>
                <w:color w:val="000000"/>
                <w:sz w:val="24"/>
                <w:szCs w:val="24"/>
              </w:rPr>
            </w:pPr>
          </w:p>
        </w:tc>
        <w:tc>
          <w:tcPr>
            <w:tcW w:w="4074" w:type="dxa"/>
          </w:tcPr>
          <w:p w14:paraId="64E8A173"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Exclusão do nome do sistema, para deixar flexível.</w:t>
            </w:r>
          </w:p>
          <w:p w14:paraId="17F9591A" w14:textId="6A3DEE37" w:rsidR="00A26CD8" w:rsidRPr="00D462F0" w:rsidRDefault="00A26CD8" w:rsidP="00D462F0">
            <w:pPr>
              <w:jc w:val="both"/>
              <w:rPr>
                <w:rFonts w:asciiTheme="majorHAnsi" w:hAnsiTheme="majorHAnsi" w:cstheme="majorHAnsi"/>
                <w:sz w:val="24"/>
                <w:szCs w:val="24"/>
              </w:rPr>
            </w:pPr>
          </w:p>
        </w:tc>
        <w:tc>
          <w:tcPr>
            <w:tcW w:w="4075" w:type="dxa"/>
          </w:tcPr>
          <w:p w14:paraId="3C6E17A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53DBFBA2" w14:textId="6F4E1FE1" w:rsidR="00A26CD8" w:rsidRPr="00D462F0" w:rsidRDefault="00A26CD8" w:rsidP="00D462F0">
            <w:pPr>
              <w:jc w:val="both"/>
              <w:rPr>
                <w:rFonts w:asciiTheme="majorHAnsi" w:hAnsiTheme="majorHAnsi" w:cstheme="majorHAnsi"/>
                <w:bCs/>
                <w:sz w:val="24"/>
                <w:szCs w:val="24"/>
              </w:rPr>
            </w:pPr>
          </w:p>
        </w:tc>
      </w:tr>
      <w:tr w:rsidR="00A26CD8" w:rsidRPr="00C93770" w14:paraId="55005ABB" w14:textId="77777777" w:rsidTr="1756A420">
        <w:tc>
          <w:tcPr>
            <w:tcW w:w="4074" w:type="dxa"/>
          </w:tcPr>
          <w:p w14:paraId="2AA10799" w14:textId="0DC620B1"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EAD3605" w14:textId="0EBC31A0"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º  É</w:t>
            </w:r>
            <w:proofErr w:type="gramEnd"/>
            <w:r w:rsidRPr="00D462F0">
              <w:rPr>
                <w:rFonts w:asciiTheme="majorHAnsi" w:hAnsiTheme="majorHAnsi" w:cstheme="majorHAnsi"/>
                <w:bCs/>
                <w:color w:val="0000FF"/>
                <w:sz w:val="24"/>
                <w:szCs w:val="24"/>
              </w:rPr>
              <w:t xml:space="preserve"> vedada a posse e entrada em exercício antes da conclusão do processo de habilitação.</w:t>
            </w:r>
          </w:p>
        </w:tc>
        <w:tc>
          <w:tcPr>
            <w:tcW w:w="4074" w:type="dxa"/>
          </w:tcPr>
          <w:p w14:paraId="014E1A66" w14:textId="2E646086"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deixar expresso que a habilitação é requisito para a posse e entrada em exercício.</w:t>
            </w:r>
          </w:p>
          <w:p w14:paraId="55FE5BEB" w14:textId="77777777" w:rsidR="00A26CD8" w:rsidRPr="00D462F0" w:rsidRDefault="00A26CD8" w:rsidP="00D462F0">
            <w:pPr>
              <w:jc w:val="both"/>
              <w:rPr>
                <w:rFonts w:asciiTheme="majorHAnsi" w:hAnsiTheme="majorHAnsi" w:cstheme="majorHAnsi"/>
                <w:sz w:val="24"/>
                <w:szCs w:val="24"/>
              </w:rPr>
            </w:pPr>
          </w:p>
        </w:tc>
        <w:tc>
          <w:tcPr>
            <w:tcW w:w="4075" w:type="dxa"/>
          </w:tcPr>
          <w:p w14:paraId="5066654E"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1A193B30" w14:textId="77777777" w:rsidR="00A26CD8" w:rsidRPr="00D462F0" w:rsidRDefault="00A26CD8" w:rsidP="00D462F0">
            <w:pPr>
              <w:jc w:val="both"/>
              <w:rPr>
                <w:rFonts w:asciiTheme="majorHAnsi" w:hAnsiTheme="majorHAnsi" w:cstheme="majorHAnsi"/>
                <w:bCs/>
                <w:sz w:val="24"/>
                <w:szCs w:val="24"/>
              </w:rPr>
            </w:pPr>
          </w:p>
        </w:tc>
      </w:tr>
      <w:tr w:rsidR="00716A03" w:rsidRPr="00C93770" w14:paraId="615E0724" w14:textId="77777777" w:rsidTr="1756A420">
        <w:tc>
          <w:tcPr>
            <w:tcW w:w="4074" w:type="dxa"/>
          </w:tcPr>
          <w:p w14:paraId="61CAE48D" w14:textId="77777777" w:rsidR="00716A03" w:rsidRPr="00D462F0" w:rsidRDefault="00716A03"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VI</w:t>
            </w:r>
          </w:p>
          <w:p w14:paraId="4F52D092" w14:textId="5F215639" w:rsidR="00716A03" w:rsidRPr="00D462F0" w:rsidRDefault="00716A03" w:rsidP="0028717C">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t>Habilitação de Dirigente</w:t>
            </w:r>
          </w:p>
        </w:tc>
        <w:tc>
          <w:tcPr>
            <w:tcW w:w="4074" w:type="dxa"/>
          </w:tcPr>
          <w:p w14:paraId="52D1FC75" w14:textId="77777777" w:rsidR="00716A03" w:rsidRPr="00D462F0" w:rsidRDefault="00716A03"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VI</w:t>
            </w:r>
          </w:p>
          <w:p w14:paraId="37186059" w14:textId="5CCEE56D" w:rsidR="00716A03" w:rsidRPr="00D462F0" w:rsidRDefault="00716A03" w:rsidP="0028717C">
            <w:pPr>
              <w:jc w:val="center"/>
              <w:rPr>
                <w:rFonts w:asciiTheme="majorHAnsi" w:hAnsiTheme="majorHAnsi" w:cstheme="majorHAnsi"/>
                <w:bCs/>
                <w:color w:val="0000FF"/>
                <w:sz w:val="24"/>
                <w:szCs w:val="24"/>
              </w:rPr>
            </w:pPr>
            <w:r w:rsidRPr="00D462F0">
              <w:rPr>
                <w:rFonts w:asciiTheme="majorHAnsi" w:hAnsiTheme="majorHAnsi" w:cstheme="majorHAnsi"/>
                <w:b/>
                <w:color w:val="000000"/>
                <w:sz w:val="24"/>
                <w:szCs w:val="24"/>
              </w:rPr>
              <w:t>Habilitação de Dirigente</w:t>
            </w:r>
          </w:p>
        </w:tc>
        <w:tc>
          <w:tcPr>
            <w:tcW w:w="4074" w:type="dxa"/>
          </w:tcPr>
          <w:p w14:paraId="3D34F652" w14:textId="77777777" w:rsidR="00716A03" w:rsidRPr="00D462F0" w:rsidRDefault="00716A03" w:rsidP="00D462F0">
            <w:pPr>
              <w:jc w:val="both"/>
              <w:rPr>
                <w:rFonts w:asciiTheme="majorHAnsi" w:hAnsiTheme="majorHAnsi" w:cstheme="majorHAnsi"/>
                <w:sz w:val="24"/>
                <w:szCs w:val="24"/>
              </w:rPr>
            </w:pPr>
          </w:p>
        </w:tc>
        <w:tc>
          <w:tcPr>
            <w:tcW w:w="4075" w:type="dxa"/>
          </w:tcPr>
          <w:p w14:paraId="33DA8646" w14:textId="77777777" w:rsidR="00716A03" w:rsidRPr="00D462F0" w:rsidRDefault="00716A03" w:rsidP="00D462F0">
            <w:pPr>
              <w:jc w:val="both"/>
              <w:rPr>
                <w:rFonts w:asciiTheme="majorHAnsi" w:hAnsiTheme="majorHAnsi" w:cstheme="majorHAnsi"/>
                <w:bCs/>
                <w:sz w:val="24"/>
                <w:szCs w:val="24"/>
              </w:rPr>
            </w:pPr>
          </w:p>
        </w:tc>
      </w:tr>
      <w:tr w:rsidR="00716A03" w:rsidRPr="00C93770" w14:paraId="392D2457" w14:textId="77777777" w:rsidTr="1756A420">
        <w:tc>
          <w:tcPr>
            <w:tcW w:w="4074" w:type="dxa"/>
          </w:tcPr>
          <w:p w14:paraId="24E04DA8" w14:textId="5DE63020" w:rsidR="00716A03" w:rsidRPr="00D462F0" w:rsidRDefault="00716A0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4C0FF48E" w14:textId="6400B41B" w:rsidR="00716A03" w:rsidRPr="00D462F0" w:rsidRDefault="00716A03" w:rsidP="0028717C">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1B25D337" w14:textId="77777777" w:rsidR="00716A03" w:rsidRPr="00D462F0" w:rsidRDefault="00716A03" w:rsidP="00D462F0">
            <w:pPr>
              <w:jc w:val="both"/>
              <w:rPr>
                <w:rFonts w:asciiTheme="majorHAnsi" w:hAnsiTheme="majorHAnsi" w:cstheme="majorHAnsi"/>
                <w:sz w:val="24"/>
                <w:szCs w:val="24"/>
              </w:rPr>
            </w:pPr>
          </w:p>
        </w:tc>
        <w:tc>
          <w:tcPr>
            <w:tcW w:w="4075" w:type="dxa"/>
          </w:tcPr>
          <w:p w14:paraId="1524A07A" w14:textId="77777777" w:rsidR="00716A03" w:rsidRPr="00D462F0" w:rsidRDefault="00716A03" w:rsidP="00D462F0">
            <w:pPr>
              <w:jc w:val="both"/>
              <w:rPr>
                <w:rFonts w:asciiTheme="majorHAnsi" w:hAnsiTheme="majorHAnsi" w:cstheme="majorHAnsi"/>
                <w:bCs/>
                <w:sz w:val="24"/>
                <w:szCs w:val="24"/>
              </w:rPr>
            </w:pPr>
          </w:p>
        </w:tc>
      </w:tr>
      <w:tr w:rsidR="00A26CD8" w:rsidRPr="00C93770" w14:paraId="7D98450F" w14:textId="77777777" w:rsidTr="1756A420">
        <w:tc>
          <w:tcPr>
            <w:tcW w:w="4074" w:type="dxa"/>
          </w:tcPr>
          <w:p w14:paraId="2354CA73" w14:textId="45D05956"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06E772E6" w14:textId="1E27FAA5"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Art. 27-A</w:t>
            </w:r>
            <w:r w:rsidR="007E378D" w:rsidRPr="00D462F0">
              <w:rPr>
                <w:rFonts w:asciiTheme="majorHAnsi" w:hAnsiTheme="majorHAnsi" w:cstheme="majorHAnsi"/>
                <w:bCs/>
                <w:color w:val="0000FF"/>
                <w:sz w:val="24"/>
                <w:szCs w:val="24"/>
              </w:rPr>
              <w:t>.</w:t>
            </w:r>
            <w:r w:rsidRPr="00D462F0">
              <w:rPr>
                <w:rFonts w:asciiTheme="majorHAnsi" w:hAnsiTheme="majorHAnsi" w:cstheme="majorHAnsi"/>
                <w:bCs/>
                <w:color w:val="0000FF"/>
                <w:sz w:val="24"/>
                <w:szCs w:val="24"/>
              </w:rPr>
              <w:t xml:space="preserve">  Mediante decisão fundamentada da Diretoria Colegiada, integrantes de diretoria-executiva e de conselhos deliberativo e fiscal de quaisquer EFPC, inclusive das que estiverem em processo de encerramento de regime especial, poderão ser convocados para a entrevista de que trata o art. 27.</w:t>
            </w:r>
          </w:p>
        </w:tc>
        <w:tc>
          <w:tcPr>
            <w:tcW w:w="4074" w:type="dxa"/>
          </w:tcPr>
          <w:p w14:paraId="771A2A38" w14:textId="77777777" w:rsidR="00A26CD8" w:rsidRPr="00D462F0" w:rsidRDefault="00A26CD8" w:rsidP="00D462F0">
            <w:pPr>
              <w:jc w:val="both"/>
              <w:rPr>
                <w:rFonts w:asciiTheme="majorHAnsi" w:hAnsiTheme="majorHAnsi" w:cstheme="majorHAnsi"/>
                <w:b/>
                <w:bCs/>
                <w:sz w:val="24"/>
                <w:szCs w:val="24"/>
                <w:u w:val="single"/>
              </w:rPr>
            </w:pPr>
            <w:r w:rsidRPr="00D462F0">
              <w:rPr>
                <w:rFonts w:asciiTheme="majorHAnsi" w:hAnsiTheme="majorHAnsi" w:cstheme="majorHAnsi"/>
                <w:sz w:val="24"/>
                <w:szCs w:val="24"/>
              </w:rPr>
              <w:t>Inclusão de artigo para permitir entrevistas de quais integrantes, inclusive de EFPC que estiveram encerrando regime especial, a requerimento da Dicol.</w:t>
            </w:r>
          </w:p>
          <w:p w14:paraId="782FA237" w14:textId="6031F1E8" w:rsidR="00A26CD8" w:rsidRPr="00D462F0" w:rsidRDefault="00A26CD8" w:rsidP="00D462F0">
            <w:pPr>
              <w:jc w:val="both"/>
              <w:rPr>
                <w:rFonts w:asciiTheme="majorHAnsi" w:hAnsiTheme="majorHAnsi" w:cstheme="majorHAnsi"/>
                <w:sz w:val="24"/>
                <w:szCs w:val="24"/>
              </w:rPr>
            </w:pPr>
          </w:p>
        </w:tc>
        <w:tc>
          <w:tcPr>
            <w:tcW w:w="4075" w:type="dxa"/>
          </w:tcPr>
          <w:p w14:paraId="2E4BC94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2C76127F"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artigo que pretende viabilizar a convocação para a entrevista, mediante decisão da DICOL, de integrantes de diretoria-executiva e de conselhos deliberativo e fiscal de quaisquer EFPC. </w:t>
            </w:r>
          </w:p>
          <w:p w14:paraId="48B05A38"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à medida que permite que </w:t>
            </w:r>
            <w:r w:rsidRPr="00D462F0">
              <w:rPr>
                <w:rFonts w:asciiTheme="majorHAnsi" w:hAnsiTheme="majorHAnsi" w:cstheme="majorHAnsi"/>
                <w:bCs/>
                <w:sz w:val="24"/>
                <w:szCs w:val="24"/>
              </w:rPr>
              <w:lastRenderedPageBreak/>
              <w:t>sejam analisados os ocupantes de cargos decisórios à frente da EFPC.</w:t>
            </w:r>
          </w:p>
          <w:p w14:paraId="3081E625" w14:textId="77777777" w:rsidR="00A26CD8" w:rsidRPr="00D462F0" w:rsidRDefault="00A26CD8"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0266DE14" w14:textId="77777777" w:rsidR="00A26CD8" w:rsidRPr="00D462F0" w:rsidRDefault="00A26CD8"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O processo de realização de entrevistas pretende mitigar riscos na administração segura e eficiente dos ativos.</w:t>
            </w:r>
          </w:p>
          <w:p w14:paraId="566F0ED1" w14:textId="3F62676D"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894D86" w:rsidRPr="00C93770" w14:paraId="764FE4EF" w14:textId="77777777" w:rsidTr="1756A420">
        <w:tc>
          <w:tcPr>
            <w:tcW w:w="4074" w:type="dxa"/>
          </w:tcPr>
          <w:p w14:paraId="39A2CF12" w14:textId="1CC3A2CF" w:rsidR="00894D86" w:rsidRPr="00D462F0" w:rsidRDefault="00894D8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35EEBB1C" w14:textId="766F569B" w:rsidR="00894D86" w:rsidRPr="00D462F0" w:rsidRDefault="00894D86"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28CE549" w14:textId="77777777" w:rsidR="00894D86" w:rsidRPr="00D462F0" w:rsidRDefault="00894D86" w:rsidP="00D462F0">
            <w:pPr>
              <w:jc w:val="both"/>
              <w:rPr>
                <w:rFonts w:asciiTheme="majorHAnsi" w:hAnsiTheme="majorHAnsi" w:cstheme="majorHAnsi"/>
                <w:sz w:val="24"/>
                <w:szCs w:val="24"/>
              </w:rPr>
            </w:pPr>
          </w:p>
        </w:tc>
        <w:tc>
          <w:tcPr>
            <w:tcW w:w="4075" w:type="dxa"/>
          </w:tcPr>
          <w:p w14:paraId="1244D945" w14:textId="77777777" w:rsidR="00894D86" w:rsidRPr="00D462F0" w:rsidRDefault="00894D86" w:rsidP="00D462F0">
            <w:pPr>
              <w:jc w:val="both"/>
              <w:rPr>
                <w:rFonts w:asciiTheme="majorHAnsi" w:hAnsiTheme="majorHAnsi" w:cstheme="majorHAnsi"/>
                <w:bCs/>
                <w:sz w:val="24"/>
                <w:szCs w:val="24"/>
              </w:rPr>
            </w:pPr>
          </w:p>
        </w:tc>
      </w:tr>
      <w:tr w:rsidR="00A26CD8" w:rsidRPr="00C93770" w14:paraId="0E5507E8" w14:textId="77777777" w:rsidTr="1756A420">
        <w:tc>
          <w:tcPr>
            <w:tcW w:w="4074" w:type="dxa"/>
          </w:tcPr>
          <w:p w14:paraId="7C17F0F6" w14:textId="1BC88108"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Sem referência anterior.</w:t>
            </w:r>
          </w:p>
        </w:tc>
        <w:tc>
          <w:tcPr>
            <w:tcW w:w="4074" w:type="dxa"/>
          </w:tcPr>
          <w:p w14:paraId="0BD75735" w14:textId="77777777" w:rsidR="007E378D" w:rsidRPr="00D462F0" w:rsidRDefault="00A26CD8" w:rsidP="004E06F1">
            <w:pPr>
              <w:jc w:val="center"/>
              <w:rPr>
                <w:rFonts w:asciiTheme="majorHAnsi" w:hAnsiTheme="majorHAnsi" w:cstheme="majorHAnsi"/>
                <w:b/>
                <w:bCs/>
                <w:color w:val="0000FF"/>
                <w:sz w:val="24"/>
                <w:szCs w:val="24"/>
              </w:rPr>
            </w:pPr>
            <w:r w:rsidRPr="00D462F0">
              <w:rPr>
                <w:rFonts w:asciiTheme="majorHAnsi" w:hAnsiTheme="majorHAnsi" w:cstheme="majorHAnsi"/>
                <w:b/>
                <w:bCs/>
                <w:color w:val="0000FF"/>
                <w:sz w:val="24"/>
                <w:szCs w:val="24"/>
              </w:rPr>
              <w:t>Seção VIII</w:t>
            </w:r>
          </w:p>
          <w:p w14:paraId="3D840720" w14:textId="5F911875" w:rsidR="00A26CD8" w:rsidRPr="00D462F0" w:rsidRDefault="00A26CD8" w:rsidP="004E06F1">
            <w:pPr>
              <w:jc w:val="center"/>
              <w:rPr>
                <w:rFonts w:asciiTheme="majorHAnsi" w:hAnsiTheme="majorHAnsi" w:cstheme="majorHAnsi"/>
                <w:b/>
                <w:bCs/>
                <w:color w:val="0000FF"/>
                <w:sz w:val="24"/>
                <w:szCs w:val="24"/>
              </w:rPr>
            </w:pPr>
            <w:r w:rsidRPr="00D462F0">
              <w:rPr>
                <w:rFonts w:asciiTheme="majorHAnsi" w:hAnsiTheme="majorHAnsi" w:cstheme="majorHAnsi"/>
                <w:b/>
                <w:bCs/>
                <w:color w:val="0000FF"/>
                <w:sz w:val="24"/>
                <w:szCs w:val="24"/>
              </w:rPr>
              <w:t>Comunicação e Atendimento aos Participantes</w:t>
            </w:r>
            <w:r w:rsidR="009D3088">
              <w:rPr>
                <w:rFonts w:asciiTheme="majorHAnsi" w:hAnsiTheme="majorHAnsi" w:cstheme="majorHAnsi"/>
                <w:b/>
                <w:bCs/>
                <w:color w:val="0000FF"/>
                <w:sz w:val="24"/>
                <w:szCs w:val="24"/>
              </w:rPr>
              <w:t xml:space="preserve"> e Assistidos</w:t>
            </w:r>
          </w:p>
        </w:tc>
        <w:tc>
          <w:tcPr>
            <w:tcW w:w="4074" w:type="dxa"/>
          </w:tcPr>
          <w:p w14:paraId="0D1236E9" w14:textId="77777777" w:rsidR="00A26CD8" w:rsidRPr="00D462F0" w:rsidRDefault="00A26CD8" w:rsidP="00D462F0">
            <w:pPr>
              <w:jc w:val="both"/>
              <w:rPr>
                <w:rFonts w:asciiTheme="majorHAnsi" w:hAnsiTheme="majorHAnsi" w:cstheme="majorHAnsi"/>
                <w:sz w:val="24"/>
                <w:szCs w:val="24"/>
              </w:rPr>
            </w:pPr>
          </w:p>
        </w:tc>
        <w:tc>
          <w:tcPr>
            <w:tcW w:w="4075" w:type="dxa"/>
          </w:tcPr>
          <w:p w14:paraId="0ED14BC9" w14:textId="77777777" w:rsidR="00A26CD8" w:rsidRPr="00D462F0" w:rsidRDefault="00A26CD8" w:rsidP="00D462F0">
            <w:pPr>
              <w:jc w:val="both"/>
              <w:rPr>
                <w:rFonts w:asciiTheme="majorHAnsi" w:hAnsiTheme="majorHAnsi" w:cstheme="majorHAnsi"/>
                <w:bCs/>
                <w:sz w:val="24"/>
                <w:szCs w:val="24"/>
              </w:rPr>
            </w:pPr>
          </w:p>
        </w:tc>
      </w:tr>
      <w:tr w:rsidR="00A26CD8" w:rsidRPr="00C93770" w14:paraId="72D55024" w14:textId="77777777" w:rsidTr="1756A420">
        <w:tc>
          <w:tcPr>
            <w:tcW w:w="4074" w:type="dxa"/>
          </w:tcPr>
          <w:p w14:paraId="38943DDD" w14:textId="77777777" w:rsidR="00A26CD8" w:rsidRPr="00D462F0" w:rsidRDefault="00A26CD8" w:rsidP="009C0A86">
            <w:pPr>
              <w:jc w:val="both"/>
              <w:rPr>
                <w:rFonts w:asciiTheme="majorHAnsi" w:hAnsiTheme="majorHAnsi" w:cstheme="majorHAnsi"/>
                <w:color w:val="000000"/>
                <w:sz w:val="24"/>
                <w:szCs w:val="24"/>
              </w:rPr>
            </w:pPr>
          </w:p>
          <w:p w14:paraId="6300E7BF" w14:textId="73E773E3" w:rsidR="00A26CD8" w:rsidRPr="00D462F0" w:rsidRDefault="00A26CD8" w:rsidP="009C0A86">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4C769EC" w14:textId="7D9FD831" w:rsidR="00A26CD8" w:rsidRPr="00D462F0" w:rsidRDefault="00A26CD8" w:rsidP="00FB3502">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Art. 46-A. </w:t>
            </w:r>
            <w:r w:rsidR="007E378D"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 xml:space="preserve">Nos termos do parágrafo único do art. 2º e do art. 17 da Resolução CNPC nº 32, de 2019, as EFPC devem ter uma política de comunicação assertiva e </w:t>
            </w:r>
            <w:r w:rsidR="00327569">
              <w:rPr>
                <w:rFonts w:asciiTheme="majorHAnsi" w:hAnsiTheme="majorHAnsi" w:cstheme="majorHAnsi"/>
                <w:bCs/>
                <w:color w:val="0000FF"/>
                <w:sz w:val="24"/>
                <w:szCs w:val="24"/>
              </w:rPr>
              <w:t xml:space="preserve">de </w:t>
            </w:r>
            <w:r w:rsidRPr="00D462F0">
              <w:rPr>
                <w:rFonts w:asciiTheme="majorHAnsi" w:hAnsiTheme="majorHAnsi" w:cstheme="majorHAnsi"/>
                <w:bCs/>
                <w:color w:val="0000FF"/>
                <w:sz w:val="24"/>
                <w:szCs w:val="24"/>
              </w:rPr>
              <w:t>atendimento acolhedor e resolutivo com os participantes, assistidos, patrocinadores e instituidores, observados os seguintes critérios:</w:t>
            </w:r>
          </w:p>
        </w:tc>
        <w:tc>
          <w:tcPr>
            <w:tcW w:w="4074" w:type="dxa"/>
          </w:tcPr>
          <w:p w14:paraId="30E992D3" w14:textId="77777777" w:rsidR="00A26CD8" w:rsidRPr="00D462F0" w:rsidRDefault="00A26CD8" w:rsidP="00FB3502">
            <w:pPr>
              <w:jc w:val="both"/>
              <w:rPr>
                <w:rFonts w:asciiTheme="majorHAnsi" w:hAnsiTheme="majorHAnsi" w:cstheme="majorHAnsi"/>
                <w:sz w:val="24"/>
                <w:szCs w:val="24"/>
              </w:rPr>
            </w:pPr>
            <w:r w:rsidRPr="00D462F0">
              <w:rPr>
                <w:rFonts w:asciiTheme="majorHAnsi" w:hAnsiTheme="majorHAnsi" w:cstheme="majorHAnsi"/>
                <w:sz w:val="24"/>
                <w:szCs w:val="24"/>
              </w:rPr>
              <w:t>Definição de uma política de comunicação assertivas e atendimento acolhedor e resolutivo aos participantes para as EFPC e recomendação de Ouvidoria nas EFPC com classificação de S1.</w:t>
            </w:r>
          </w:p>
          <w:p w14:paraId="61374CE9" w14:textId="2268FE1E" w:rsidR="00A26CD8" w:rsidRPr="00D462F0" w:rsidRDefault="00A26CD8" w:rsidP="009C0A86">
            <w:pPr>
              <w:jc w:val="both"/>
              <w:rPr>
                <w:rFonts w:asciiTheme="majorHAnsi" w:hAnsiTheme="majorHAnsi" w:cstheme="majorHAnsi"/>
                <w:sz w:val="24"/>
                <w:szCs w:val="24"/>
              </w:rPr>
            </w:pPr>
          </w:p>
        </w:tc>
        <w:tc>
          <w:tcPr>
            <w:tcW w:w="4075" w:type="dxa"/>
          </w:tcPr>
          <w:p w14:paraId="1A197246" w14:textId="77777777" w:rsidR="00A26CD8" w:rsidRPr="00D462F0" w:rsidRDefault="00A26CD8" w:rsidP="009C0A86">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II.</w:t>
            </w:r>
          </w:p>
          <w:p w14:paraId="5D41A625" w14:textId="77777777" w:rsidR="00A26CD8" w:rsidRPr="00D462F0" w:rsidRDefault="00A26CD8" w:rsidP="009C0A86">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alteração em questão trata de diretriz regulamentada em norma superior, a Resolução CNPC nº 32, de 2019. </w:t>
            </w:r>
          </w:p>
          <w:p w14:paraId="3A8FB48E" w14:textId="77777777" w:rsidR="00A26CD8" w:rsidRPr="00D462F0" w:rsidRDefault="00A26CD8" w:rsidP="009C0A86">
            <w:pPr>
              <w:jc w:val="both"/>
              <w:rPr>
                <w:rFonts w:asciiTheme="majorHAnsi" w:hAnsiTheme="majorHAnsi" w:cstheme="majorHAnsi"/>
                <w:bCs/>
                <w:sz w:val="24"/>
                <w:szCs w:val="24"/>
              </w:rPr>
            </w:pPr>
            <w:r w:rsidRPr="00D462F0">
              <w:rPr>
                <w:rFonts w:asciiTheme="majorHAnsi" w:hAnsiTheme="majorHAnsi" w:cstheme="majorHAnsi"/>
                <w:bCs/>
                <w:sz w:val="24"/>
                <w:szCs w:val="24"/>
              </w:rPr>
              <w:t>O artigo 2º da Resolução CNPC nº 32, de 2019, objetiva aprimorar a comunicação e a transparência das EFPC em relação aos participantes e assistidos, fornecendo informações relevantes sobre seus planos de benefícios.</w:t>
            </w:r>
          </w:p>
          <w:p w14:paraId="360E80A1" w14:textId="4A3452CB" w:rsidR="00A26CD8" w:rsidRPr="00D462F0" w:rsidRDefault="00A26CD8" w:rsidP="009C0A86">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art. 17 da Resolução CNPC nº 32, de 2019, por sua vez, autoriza o órgão </w:t>
            </w:r>
            <w:r w:rsidRPr="00D462F0">
              <w:rPr>
                <w:rFonts w:asciiTheme="majorHAnsi" w:hAnsiTheme="majorHAnsi" w:cstheme="majorHAnsi"/>
                <w:bCs/>
                <w:sz w:val="24"/>
                <w:szCs w:val="24"/>
              </w:rPr>
              <w:lastRenderedPageBreak/>
              <w:t xml:space="preserve">fiscalizador (Previc) a editar instruções complementares necessárias para a execução da resolução. </w:t>
            </w:r>
          </w:p>
          <w:p w14:paraId="6569808B" w14:textId="77777777" w:rsidR="00A26CD8" w:rsidRPr="00D462F0" w:rsidRDefault="00A26CD8" w:rsidP="009C0A86">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tratar o referido artigo da definição de uma política de comunicação e atendimento aos participantes para as EFPC, e da constituição de uma unidade de Ouvidoria nas EFPC com classificação de S1, essa em caráter de recomendação; o artigo em questão se enquadra na dispensa de AIR em função do art. 4º, inciso II, do Decreto nº 10.411, de 2020, por se tratar de “ato</w:t>
            </w:r>
            <w:r w:rsidRPr="00D462F0">
              <w:rPr>
                <w:rFonts w:asciiTheme="majorHAnsi" w:hAnsiTheme="majorHAnsi" w:cstheme="majorHAnsi"/>
                <w:bCs/>
                <w:i/>
                <w:iCs/>
                <w:sz w:val="24"/>
                <w:szCs w:val="24"/>
              </w:rPr>
              <w:t xml:space="preserve"> normativo destinado a disciplinar direitos ou obrigações definidos em norma hierarquicamente superior que não permita, técnica ou juridicamente, diferentes alternativas regulatórias”.  </w:t>
            </w:r>
          </w:p>
          <w:p w14:paraId="218E801B" w14:textId="2E3F4B40" w:rsidR="00A26CD8" w:rsidRPr="00D462F0" w:rsidRDefault="00A26CD8" w:rsidP="009C0A86">
            <w:pPr>
              <w:jc w:val="both"/>
              <w:rPr>
                <w:rFonts w:asciiTheme="majorHAnsi" w:hAnsiTheme="majorHAnsi" w:cstheme="majorHAnsi"/>
                <w:bCs/>
                <w:sz w:val="24"/>
                <w:szCs w:val="24"/>
              </w:rPr>
            </w:pPr>
          </w:p>
        </w:tc>
      </w:tr>
      <w:tr w:rsidR="00A26CD8" w:rsidRPr="00C93770" w14:paraId="3F16B504" w14:textId="77777777" w:rsidTr="1756A420">
        <w:tc>
          <w:tcPr>
            <w:tcW w:w="4074" w:type="dxa"/>
          </w:tcPr>
          <w:p w14:paraId="73532114" w14:textId="4841C13F"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60A5C20C" w14:textId="77777777"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adoção</w:t>
            </w:r>
            <w:proofErr w:type="gramEnd"/>
            <w:r w:rsidRPr="00D462F0">
              <w:rPr>
                <w:rFonts w:asciiTheme="majorHAnsi" w:hAnsiTheme="majorHAnsi" w:cstheme="majorHAnsi"/>
                <w:bCs/>
                <w:color w:val="0000FF"/>
                <w:sz w:val="24"/>
                <w:szCs w:val="24"/>
              </w:rPr>
              <w:t xml:space="preserve"> de linguagem simples, acessível, humanizada, com solução tempestiva das demandas dos participantes e assistidos;</w:t>
            </w:r>
          </w:p>
          <w:p w14:paraId="5728F114" w14:textId="619204CB" w:rsidR="00A26CD8" w:rsidRPr="00D462F0" w:rsidRDefault="00A26CD8" w:rsidP="00D462F0">
            <w:pPr>
              <w:jc w:val="both"/>
              <w:rPr>
                <w:rFonts w:asciiTheme="majorHAnsi" w:hAnsiTheme="majorHAnsi" w:cstheme="majorHAnsi"/>
                <w:bCs/>
                <w:color w:val="000000"/>
                <w:sz w:val="24"/>
                <w:szCs w:val="24"/>
              </w:rPr>
            </w:pPr>
          </w:p>
        </w:tc>
        <w:tc>
          <w:tcPr>
            <w:tcW w:w="4074" w:type="dxa"/>
          </w:tcPr>
          <w:p w14:paraId="60424FA9" w14:textId="483C5038"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Definição de uma política de comunicação assertiva e atendimento acolhedor e resolutivo aos participantes para as EFPC e recomendação de Ouvidoria nas EFPC com classificação de S1.</w:t>
            </w:r>
          </w:p>
          <w:p w14:paraId="58B56CFF" w14:textId="0D390A06" w:rsidR="00A26CD8" w:rsidRPr="00D462F0" w:rsidRDefault="00A26CD8" w:rsidP="00D462F0">
            <w:pPr>
              <w:jc w:val="both"/>
              <w:rPr>
                <w:rFonts w:asciiTheme="majorHAnsi" w:hAnsiTheme="majorHAnsi" w:cstheme="majorHAnsi"/>
                <w:sz w:val="24"/>
                <w:szCs w:val="24"/>
              </w:rPr>
            </w:pPr>
          </w:p>
        </w:tc>
        <w:tc>
          <w:tcPr>
            <w:tcW w:w="4075" w:type="dxa"/>
          </w:tcPr>
          <w:p w14:paraId="6F45DED9"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II.</w:t>
            </w:r>
          </w:p>
          <w:p w14:paraId="66831A19"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alteração em questão trata de diretriz regulamentada em norma superior, a Resolução CNPC nº 32, de 2019. </w:t>
            </w:r>
          </w:p>
          <w:p w14:paraId="4E8D273E"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artigo 2º da Resolução CNPC nº 32, de 2019, objetiva aprimorar a comunicação e a transparência das EFPC em relação aos participantes e assistidos, fornecendo informações relevantes sobre seus planos de benefícios.</w:t>
            </w:r>
          </w:p>
          <w:p w14:paraId="1827608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art. 17 da Resolução CNPC nº 32, de 2019, por sua vez, autoriza o órgão fiscalizador (Previc) a editar instruções complementares necessárias para a execução da resolução. </w:t>
            </w:r>
          </w:p>
          <w:p w14:paraId="39AEB6D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Nesse sentido, por tratar o referido artigo da definição de uma política de comunicação e atendimento aos participantes para as EFPC, e da constituição de uma unidade de Ouvidoria nas EFPC com classificação de S1, essa em caráter de recomendação; o artigo em questão se enquadra na dispensa de AIR em função do art. 4º, inciso II, do Decreto nº 10.411, de 2020, por se tratar de “ato</w:t>
            </w:r>
            <w:r w:rsidRPr="00D462F0">
              <w:rPr>
                <w:rFonts w:asciiTheme="majorHAnsi" w:hAnsiTheme="majorHAnsi" w:cstheme="majorHAnsi"/>
                <w:bCs/>
                <w:i/>
                <w:iCs/>
                <w:sz w:val="24"/>
                <w:szCs w:val="24"/>
              </w:rPr>
              <w:t xml:space="preserve"> normativo destinado a disciplinar direitos ou obrigações definidos em norma hierarquicamente superior que não permita, técnica ou juridicamente, diferentes alternativas regulatórias”.  </w:t>
            </w:r>
          </w:p>
          <w:p w14:paraId="43235F95" w14:textId="77777777" w:rsidR="00A26CD8" w:rsidRPr="00D462F0" w:rsidRDefault="00A26CD8" w:rsidP="00D462F0">
            <w:pPr>
              <w:jc w:val="both"/>
              <w:rPr>
                <w:rFonts w:asciiTheme="majorHAnsi" w:hAnsiTheme="majorHAnsi" w:cstheme="majorHAnsi"/>
                <w:bCs/>
                <w:sz w:val="24"/>
                <w:szCs w:val="24"/>
              </w:rPr>
            </w:pPr>
          </w:p>
        </w:tc>
      </w:tr>
      <w:tr w:rsidR="00A26CD8" w:rsidRPr="00C93770" w14:paraId="18EBF6F7" w14:textId="77777777" w:rsidTr="1756A420">
        <w:tc>
          <w:tcPr>
            <w:tcW w:w="4074" w:type="dxa"/>
          </w:tcPr>
          <w:p w14:paraId="28F4ABE9" w14:textId="76A787F6"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p w14:paraId="7576079E" w14:textId="4D73BFE4"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b/>
            </w:r>
          </w:p>
        </w:tc>
        <w:tc>
          <w:tcPr>
            <w:tcW w:w="4074" w:type="dxa"/>
          </w:tcPr>
          <w:p w14:paraId="4C0F38AD" w14:textId="443A216D"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zelo</w:t>
            </w:r>
            <w:proofErr w:type="gramEnd"/>
            <w:r w:rsidRPr="00D462F0">
              <w:rPr>
                <w:rFonts w:asciiTheme="majorHAnsi" w:hAnsiTheme="majorHAnsi" w:cstheme="majorHAnsi"/>
                <w:bCs/>
                <w:color w:val="0000FF"/>
                <w:sz w:val="24"/>
                <w:szCs w:val="24"/>
              </w:rPr>
              <w:t xml:space="preserve"> pela imagem institucional e pela reputação da EFPC</w:t>
            </w:r>
            <w:r w:rsidR="009C0A86">
              <w:rPr>
                <w:rFonts w:asciiTheme="majorHAnsi" w:hAnsiTheme="majorHAnsi" w:cstheme="majorHAnsi"/>
                <w:bCs/>
                <w:color w:val="0000FF"/>
                <w:sz w:val="24"/>
                <w:szCs w:val="24"/>
              </w:rPr>
              <w:t xml:space="preserve">, reconhecendo </w:t>
            </w:r>
            <w:r w:rsidR="00666A87">
              <w:rPr>
                <w:rFonts w:asciiTheme="majorHAnsi" w:hAnsiTheme="majorHAnsi" w:cstheme="majorHAnsi"/>
                <w:bCs/>
                <w:color w:val="0000FF"/>
                <w:sz w:val="24"/>
                <w:szCs w:val="24"/>
              </w:rPr>
              <w:t xml:space="preserve">os participantes e assistidos </w:t>
            </w:r>
            <w:r w:rsidRPr="00D462F0">
              <w:rPr>
                <w:rFonts w:asciiTheme="majorHAnsi" w:hAnsiTheme="majorHAnsi" w:cstheme="majorHAnsi"/>
                <w:bCs/>
                <w:color w:val="0000FF"/>
                <w:sz w:val="24"/>
                <w:szCs w:val="24"/>
              </w:rPr>
              <w:t>como sujeitos de direitos.</w:t>
            </w:r>
          </w:p>
        </w:tc>
        <w:tc>
          <w:tcPr>
            <w:tcW w:w="4074" w:type="dxa"/>
          </w:tcPr>
          <w:p w14:paraId="1FB584A3" w14:textId="740B0916"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Definição de uma política de </w:t>
            </w:r>
            <w:r w:rsidRPr="009C0A86">
              <w:rPr>
                <w:rFonts w:asciiTheme="majorHAnsi" w:hAnsiTheme="majorHAnsi" w:cstheme="majorHAnsi"/>
                <w:sz w:val="24"/>
                <w:szCs w:val="24"/>
              </w:rPr>
              <w:t>comunicação assertiva e atendimento acolhedor e resolutivo</w:t>
            </w:r>
            <w:r w:rsidRPr="00D462F0">
              <w:rPr>
                <w:rFonts w:asciiTheme="majorHAnsi" w:hAnsiTheme="majorHAnsi" w:cstheme="majorHAnsi"/>
                <w:sz w:val="24"/>
                <w:szCs w:val="24"/>
              </w:rPr>
              <w:t xml:space="preserve"> aos participantes para as EFPC e recomendação de Ouvidoria nas EFPC com classificação de S1.</w:t>
            </w:r>
          </w:p>
          <w:p w14:paraId="7EFE1D7C" w14:textId="555457B4" w:rsidR="00A26CD8" w:rsidRPr="00D462F0" w:rsidRDefault="00A26CD8" w:rsidP="00D462F0">
            <w:pPr>
              <w:jc w:val="both"/>
              <w:rPr>
                <w:rFonts w:asciiTheme="majorHAnsi" w:hAnsiTheme="majorHAnsi" w:cstheme="majorHAnsi"/>
                <w:sz w:val="24"/>
                <w:szCs w:val="24"/>
              </w:rPr>
            </w:pPr>
          </w:p>
        </w:tc>
        <w:tc>
          <w:tcPr>
            <w:tcW w:w="4075" w:type="dxa"/>
          </w:tcPr>
          <w:p w14:paraId="4D4EF001" w14:textId="18D30872" w:rsidR="00A26CD8" w:rsidRPr="00D462F0" w:rsidRDefault="00A26CD8" w:rsidP="00D462F0">
            <w:pPr>
              <w:jc w:val="both"/>
              <w:rPr>
                <w:rFonts w:asciiTheme="majorHAnsi" w:hAnsiTheme="majorHAnsi" w:cstheme="majorHAnsi"/>
                <w:bCs/>
                <w:i/>
                <w:iCs/>
                <w:sz w:val="24"/>
                <w:szCs w:val="24"/>
              </w:rPr>
            </w:pPr>
            <w:r w:rsidRPr="00D462F0">
              <w:rPr>
                <w:rFonts w:asciiTheme="majorHAnsi" w:hAnsiTheme="majorHAnsi" w:cstheme="majorHAnsi"/>
                <w:bCs/>
                <w:sz w:val="24"/>
                <w:szCs w:val="24"/>
              </w:rPr>
              <w:t>Decreto nº 10.411, de 2020, art. 4º, inciso II.</w:t>
            </w:r>
          </w:p>
          <w:p w14:paraId="75BE19AD" w14:textId="77777777" w:rsidR="00A26CD8" w:rsidRPr="00D462F0" w:rsidRDefault="00A26CD8" w:rsidP="00D462F0">
            <w:pPr>
              <w:jc w:val="both"/>
              <w:rPr>
                <w:rFonts w:asciiTheme="majorHAnsi" w:hAnsiTheme="majorHAnsi" w:cstheme="majorHAnsi"/>
                <w:bCs/>
                <w:sz w:val="24"/>
                <w:szCs w:val="24"/>
              </w:rPr>
            </w:pPr>
          </w:p>
        </w:tc>
      </w:tr>
      <w:tr w:rsidR="00A26CD8" w:rsidRPr="00C93770" w14:paraId="1EB39042" w14:textId="77777777" w:rsidTr="1756A420">
        <w:tc>
          <w:tcPr>
            <w:tcW w:w="4074" w:type="dxa"/>
          </w:tcPr>
          <w:p w14:paraId="2F6E119C" w14:textId="3CB0A9BA"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2CA66A23" w14:textId="6D8A379A"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III – utilização de canais de atendimento multimídias (voz, eletrônico, digital, presencial, </w:t>
            </w:r>
            <w:proofErr w:type="spellStart"/>
            <w:r w:rsidRPr="00D462F0">
              <w:rPr>
                <w:rFonts w:asciiTheme="majorHAnsi" w:hAnsiTheme="majorHAnsi" w:cstheme="majorHAnsi"/>
                <w:bCs/>
                <w:i/>
                <w:iCs/>
                <w:color w:val="0000FF"/>
                <w:sz w:val="24"/>
                <w:szCs w:val="24"/>
              </w:rPr>
              <w:t>chatbox</w:t>
            </w:r>
            <w:proofErr w:type="spellEnd"/>
            <w:r w:rsidRPr="00D462F0">
              <w:rPr>
                <w:rFonts w:asciiTheme="majorHAnsi" w:hAnsiTheme="majorHAnsi" w:cstheme="majorHAnsi"/>
                <w:bCs/>
                <w:color w:val="0000FF"/>
                <w:sz w:val="24"/>
                <w:szCs w:val="24"/>
              </w:rPr>
              <w:t>), observado o perfil (etário, renda) e a localização dos participantes e assistidos, escalonado por nível de respostas, com sistema de registro e identificação, no prazo máximo de trinta dias, conforme art. 10 da Resolução CNPC nº 32, de 2019.</w:t>
            </w:r>
          </w:p>
        </w:tc>
        <w:tc>
          <w:tcPr>
            <w:tcW w:w="4074" w:type="dxa"/>
          </w:tcPr>
          <w:p w14:paraId="1064A7D9"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Definição de uma política de comunicação assertivas e atendimento acolhedor e resolutivo aos participantes para as EFPC e recomendação de Ouvidoria nas EFPC com classificação de S1.</w:t>
            </w:r>
          </w:p>
          <w:p w14:paraId="074279BD" w14:textId="694ED595" w:rsidR="00A26CD8" w:rsidRPr="00D462F0" w:rsidRDefault="00A26CD8" w:rsidP="00D462F0">
            <w:pPr>
              <w:jc w:val="both"/>
              <w:rPr>
                <w:rFonts w:asciiTheme="majorHAnsi" w:hAnsiTheme="majorHAnsi" w:cstheme="majorHAnsi"/>
                <w:sz w:val="24"/>
                <w:szCs w:val="24"/>
              </w:rPr>
            </w:pPr>
          </w:p>
        </w:tc>
        <w:tc>
          <w:tcPr>
            <w:tcW w:w="4075" w:type="dxa"/>
          </w:tcPr>
          <w:p w14:paraId="04C3C103" w14:textId="77777777" w:rsidR="00A26CD8" w:rsidRPr="00D462F0" w:rsidRDefault="00A26CD8" w:rsidP="00D462F0">
            <w:pPr>
              <w:jc w:val="both"/>
              <w:rPr>
                <w:rFonts w:asciiTheme="majorHAnsi" w:hAnsiTheme="majorHAnsi" w:cstheme="majorHAnsi"/>
                <w:bCs/>
                <w:i/>
                <w:iCs/>
                <w:sz w:val="24"/>
                <w:szCs w:val="24"/>
              </w:rPr>
            </w:pPr>
            <w:r w:rsidRPr="00D462F0">
              <w:rPr>
                <w:rFonts w:asciiTheme="majorHAnsi" w:hAnsiTheme="majorHAnsi" w:cstheme="majorHAnsi"/>
                <w:bCs/>
                <w:sz w:val="24"/>
                <w:szCs w:val="24"/>
              </w:rPr>
              <w:t>Decreto nº 10.411, de 2020, art. 4º, inciso II.</w:t>
            </w:r>
          </w:p>
          <w:p w14:paraId="1C4503E8" w14:textId="77777777" w:rsidR="00A26CD8" w:rsidRPr="00D462F0" w:rsidRDefault="00A26CD8" w:rsidP="00D462F0">
            <w:pPr>
              <w:jc w:val="both"/>
              <w:rPr>
                <w:rFonts w:asciiTheme="majorHAnsi" w:hAnsiTheme="majorHAnsi" w:cstheme="majorHAnsi"/>
                <w:bCs/>
                <w:sz w:val="24"/>
                <w:szCs w:val="24"/>
              </w:rPr>
            </w:pPr>
          </w:p>
        </w:tc>
      </w:tr>
      <w:tr w:rsidR="00A26CD8" w:rsidRPr="00C93770" w14:paraId="171D8FEC" w14:textId="77777777" w:rsidTr="1756A420">
        <w:tc>
          <w:tcPr>
            <w:tcW w:w="4074" w:type="dxa"/>
          </w:tcPr>
          <w:p w14:paraId="25CBA485" w14:textId="54B3D239"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170DA1AF" w14:textId="1073503F"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b/>
            </w:r>
          </w:p>
        </w:tc>
        <w:tc>
          <w:tcPr>
            <w:tcW w:w="4074" w:type="dxa"/>
          </w:tcPr>
          <w:p w14:paraId="0100639C" w14:textId="1DEBC9F4"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1</w:t>
            </w:r>
            <w:proofErr w:type="gramStart"/>
            <w:r w:rsidRPr="00D462F0">
              <w:rPr>
                <w:rFonts w:asciiTheme="majorHAnsi" w:hAnsiTheme="majorHAnsi" w:cstheme="majorHAnsi"/>
                <w:bCs/>
                <w:color w:val="0000FF"/>
                <w:sz w:val="24"/>
                <w:szCs w:val="24"/>
              </w:rPr>
              <w:t>º  As</w:t>
            </w:r>
            <w:proofErr w:type="gramEnd"/>
            <w:r w:rsidRPr="00D462F0">
              <w:rPr>
                <w:rFonts w:asciiTheme="majorHAnsi" w:hAnsiTheme="majorHAnsi" w:cstheme="majorHAnsi"/>
                <w:bCs/>
                <w:color w:val="0000FF"/>
                <w:sz w:val="24"/>
                <w:szCs w:val="24"/>
              </w:rPr>
              <w:t xml:space="preserve"> EFPC do segmento S1 e S2 devem designar um diretor responsável pela comunicação e atendimento aos participantes e assistidos.</w:t>
            </w:r>
          </w:p>
        </w:tc>
        <w:tc>
          <w:tcPr>
            <w:tcW w:w="4074" w:type="dxa"/>
          </w:tcPr>
          <w:p w14:paraId="06FA1185" w14:textId="6A83EEDA"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Definição de uma política de comunicação assertivas e atendimento acolhedor e resolutivo aos participantes para as EFPC e recomendação de </w:t>
            </w:r>
            <w:r w:rsidRPr="00D462F0">
              <w:rPr>
                <w:rFonts w:asciiTheme="majorHAnsi" w:hAnsiTheme="majorHAnsi" w:cstheme="majorHAnsi"/>
                <w:sz w:val="24"/>
                <w:szCs w:val="24"/>
              </w:rPr>
              <w:lastRenderedPageBreak/>
              <w:t>Ouvidoria nas EFPC com classificação de S1.</w:t>
            </w:r>
          </w:p>
        </w:tc>
        <w:tc>
          <w:tcPr>
            <w:tcW w:w="4075" w:type="dxa"/>
          </w:tcPr>
          <w:p w14:paraId="64D038A0" w14:textId="77777777" w:rsidR="00A26CD8" w:rsidRPr="00D462F0" w:rsidRDefault="00A26CD8" w:rsidP="00D462F0">
            <w:pPr>
              <w:jc w:val="both"/>
              <w:rPr>
                <w:rFonts w:asciiTheme="majorHAnsi" w:hAnsiTheme="majorHAnsi" w:cstheme="majorHAnsi"/>
                <w:bCs/>
                <w:i/>
                <w:iCs/>
                <w:sz w:val="24"/>
                <w:szCs w:val="24"/>
              </w:rPr>
            </w:pPr>
            <w:r w:rsidRPr="00D462F0">
              <w:rPr>
                <w:rFonts w:asciiTheme="majorHAnsi" w:hAnsiTheme="majorHAnsi" w:cstheme="majorHAnsi"/>
                <w:bCs/>
                <w:sz w:val="24"/>
                <w:szCs w:val="24"/>
              </w:rPr>
              <w:lastRenderedPageBreak/>
              <w:t>Decreto nº 10.411, de 2020, art. 4º, inciso II.</w:t>
            </w:r>
          </w:p>
          <w:p w14:paraId="427ED77C" w14:textId="77777777" w:rsidR="00A26CD8" w:rsidRPr="00D462F0" w:rsidRDefault="00A26CD8" w:rsidP="00D462F0">
            <w:pPr>
              <w:jc w:val="both"/>
              <w:rPr>
                <w:rFonts w:asciiTheme="majorHAnsi" w:hAnsiTheme="majorHAnsi" w:cstheme="majorHAnsi"/>
                <w:bCs/>
                <w:sz w:val="24"/>
                <w:szCs w:val="24"/>
              </w:rPr>
            </w:pPr>
          </w:p>
        </w:tc>
      </w:tr>
      <w:tr w:rsidR="00A26CD8" w:rsidRPr="00C93770" w14:paraId="343A9471" w14:textId="77777777" w:rsidTr="1756A420">
        <w:tc>
          <w:tcPr>
            <w:tcW w:w="4074" w:type="dxa"/>
          </w:tcPr>
          <w:p w14:paraId="3E014630" w14:textId="2B1A32A5"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1EE8018" w14:textId="60DF88CA"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º  Às</w:t>
            </w:r>
            <w:proofErr w:type="gramEnd"/>
            <w:r w:rsidRPr="00D462F0">
              <w:rPr>
                <w:rFonts w:asciiTheme="majorHAnsi" w:hAnsiTheme="majorHAnsi" w:cstheme="majorHAnsi"/>
                <w:bCs/>
                <w:color w:val="0000FF"/>
                <w:sz w:val="24"/>
                <w:szCs w:val="24"/>
              </w:rPr>
              <w:t xml:space="preserve"> EFPC do segmento S1, recomenda-se constituir uma unidade de Ouvidoria, vinculada a alta administração e que desenvolva ações que busquem o reconhecimento e o respeito dos participantes e assistidos.</w:t>
            </w:r>
          </w:p>
        </w:tc>
        <w:tc>
          <w:tcPr>
            <w:tcW w:w="4074" w:type="dxa"/>
          </w:tcPr>
          <w:p w14:paraId="45B4FEB2" w14:textId="77777777" w:rsidR="00A26CD8" w:rsidRPr="00D462F0" w:rsidRDefault="00A26CD8" w:rsidP="00D462F0">
            <w:pPr>
              <w:jc w:val="both"/>
              <w:rPr>
                <w:rFonts w:asciiTheme="majorHAnsi" w:hAnsiTheme="majorHAnsi" w:cstheme="majorHAnsi"/>
                <w:sz w:val="24"/>
                <w:szCs w:val="24"/>
              </w:rPr>
            </w:pPr>
          </w:p>
        </w:tc>
        <w:tc>
          <w:tcPr>
            <w:tcW w:w="4075" w:type="dxa"/>
          </w:tcPr>
          <w:p w14:paraId="2319363B" w14:textId="77777777" w:rsidR="00A26CD8" w:rsidRPr="00D462F0" w:rsidRDefault="00A26CD8" w:rsidP="00D462F0">
            <w:pPr>
              <w:jc w:val="both"/>
              <w:rPr>
                <w:rFonts w:asciiTheme="majorHAnsi" w:hAnsiTheme="majorHAnsi" w:cstheme="majorHAnsi"/>
                <w:bCs/>
                <w:i/>
                <w:iCs/>
                <w:sz w:val="24"/>
                <w:szCs w:val="24"/>
              </w:rPr>
            </w:pPr>
            <w:r w:rsidRPr="00D462F0">
              <w:rPr>
                <w:rFonts w:asciiTheme="majorHAnsi" w:hAnsiTheme="majorHAnsi" w:cstheme="majorHAnsi"/>
                <w:bCs/>
                <w:sz w:val="24"/>
                <w:szCs w:val="24"/>
              </w:rPr>
              <w:t>Decreto nº 10.411, de 2020, art. 4º, inciso II.</w:t>
            </w:r>
          </w:p>
          <w:p w14:paraId="4B9BD4AB" w14:textId="77777777" w:rsidR="00A26CD8" w:rsidRPr="00D462F0" w:rsidRDefault="00A26CD8" w:rsidP="00D462F0">
            <w:pPr>
              <w:jc w:val="both"/>
              <w:rPr>
                <w:rFonts w:asciiTheme="majorHAnsi" w:hAnsiTheme="majorHAnsi" w:cstheme="majorHAnsi"/>
                <w:bCs/>
                <w:sz w:val="24"/>
                <w:szCs w:val="24"/>
              </w:rPr>
            </w:pPr>
          </w:p>
        </w:tc>
      </w:tr>
      <w:tr w:rsidR="00162A71" w:rsidRPr="00C93770" w14:paraId="36FFDE8E" w14:textId="77777777" w:rsidTr="1756A420">
        <w:tc>
          <w:tcPr>
            <w:tcW w:w="4074" w:type="dxa"/>
          </w:tcPr>
          <w:p w14:paraId="7CF6F867" w14:textId="23434998" w:rsidR="00162A71" w:rsidRPr="00D462F0" w:rsidRDefault="00162A71"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9A48380" w14:textId="46520BA9" w:rsidR="00162A71" w:rsidRPr="00D462F0" w:rsidRDefault="00162A71"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2755978C" w14:textId="77777777" w:rsidR="00162A71" w:rsidRPr="00D462F0" w:rsidRDefault="00162A71" w:rsidP="00D462F0">
            <w:pPr>
              <w:jc w:val="both"/>
              <w:rPr>
                <w:rFonts w:asciiTheme="majorHAnsi" w:hAnsiTheme="majorHAnsi" w:cstheme="majorHAnsi"/>
                <w:sz w:val="24"/>
                <w:szCs w:val="24"/>
              </w:rPr>
            </w:pPr>
          </w:p>
        </w:tc>
        <w:tc>
          <w:tcPr>
            <w:tcW w:w="4075" w:type="dxa"/>
          </w:tcPr>
          <w:p w14:paraId="19A3ABBB" w14:textId="77777777" w:rsidR="00162A71" w:rsidRPr="00D462F0" w:rsidRDefault="00162A71" w:rsidP="00D462F0">
            <w:pPr>
              <w:jc w:val="both"/>
              <w:rPr>
                <w:rFonts w:asciiTheme="majorHAnsi" w:hAnsiTheme="majorHAnsi" w:cstheme="majorHAnsi"/>
                <w:bCs/>
                <w:sz w:val="24"/>
                <w:szCs w:val="24"/>
              </w:rPr>
            </w:pPr>
          </w:p>
        </w:tc>
      </w:tr>
      <w:tr w:rsidR="00162A71" w:rsidRPr="00C93770" w14:paraId="0CD6819A" w14:textId="77777777" w:rsidTr="00D462F0">
        <w:trPr>
          <w:trHeight w:val="695"/>
        </w:trPr>
        <w:tc>
          <w:tcPr>
            <w:tcW w:w="4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66E89B" w14:textId="77777777" w:rsidR="00162A71"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CAPÍTULO IV</w:t>
            </w:r>
          </w:p>
          <w:p w14:paraId="78F447BB" w14:textId="05DCE6FB" w:rsidR="00AB5693"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DOS PROCEDIMENTOS DE LICENCIAMENTO</w:t>
            </w:r>
          </w:p>
        </w:tc>
        <w:tc>
          <w:tcPr>
            <w:tcW w:w="4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FCA1D0" w14:textId="77777777" w:rsidR="00AB5693"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CAPÍTULO IV</w:t>
            </w:r>
          </w:p>
          <w:p w14:paraId="4E70D435" w14:textId="5AD87C42" w:rsidR="00162A71" w:rsidRPr="00D462F0" w:rsidRDefault="00AB5693" w:rsidP="0028717C">
            <w:pPr>
              <w:jc w:val="center"/>
              <w:rPr>
                <w:rFonts w:asciiTheme="majorHAnsi" w:hAnsiTheme="majorHAnsi" w:cstheme="majorHAnsi"/>
                <w:bCs/>
                <w:color w:val="000000"/>
                <w:sz w:val="24"/>
                <w:szCs w:val="24"/>
              </w:rPr>
            </w:pPr>
            <w:r w:rsidRPr="00D462F0">
              <w:rPr>
                <w:rFonts w:asciiTheme="majorHAnsi" w:hAnsiTheme="majorHAnsi" w:cstheme="majorHAnsi"/>
                <w:color w:val="000000"/>
                <w:sz w:val="24"/>
                <w:szCs w:val="24"/>
              </w:rPr>
              <w:t>DOS PROCEDIMENTOS DE LICENCIAMENTO</w:t>
            </w:r>
          </w:p>
        </w:tc>
        <w:tc>
          <w:tcPr>
            <w:tcW w:w="40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89D815" w14:textId="77777777" w:rsidR="00162A71" w:rsidRPr="00D462F0" w:rsidRDefault="00162A71" w:rsidP="00D462F0">
            <w:pPr>
              <w:jc w:val="both"/>
              <w:rPr>
                <w:rFonts w:asciiTheme="majorHAnsi" w:hAnsiTheme="majorHAnsi" w:cstheme="majorHAnsi"/>
                <w:sz w:val="24"/>
                <w:szCs w:val="24"/>
              </w:rPr>
            </w:pPr>
          </w:p>
        </w:tc>
        <w:tc>
          <w:tcPr>
            <w:tcW w:w="407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338DE0" w14:textId="77777777" w:rsidR="00162A71" w:rsidRPr="00D462F0" w:rsidRDefault="00162A71" w:rsidP="00D462F0">
            <w:pPr>
              <w:jc w:val="both"/>
              <w:rPr>
                <w:rFonts w:asciiTheme="majorHAnsi" w:hAnsiTheme="majorHAnsi" w:cstheme="majorHAnsi"/>
                <w:bCs/>
                <w:sz w:val="24"/>
                <w:szCs w:val="24"/>
              </w:rPr>
            </w:pPr>
          </w:p>
        </w:tc>
      </w:tr>
      <w:tr w:rsidR="00162A71" w:rsidRPr="00C93770" w14:paraId="60CA36DD" w14:textId="77777777" w:rsidTr="1756A420">
        <w:tc>
          <w:tcPr>
            <w:tcW w:w="4074" w:type="dxa"/>
          </w:tcPr>
          <w:p w14:paraId="77CFDDE4" w14:textId="0A24654B" w:rsidR="00162A71"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C806D22" w14:textId="35A59E2D" w:rsidR="00162A71" w:rsidRPr="00D462F0" w:rsidRDefault="00EA698E" w:rsidP="0028717C">
            <w:pPr>
              <w:jc w:val="center"/>
              <w:rPr>
                <w:rFonts w:asciiTheme="majorHAnsi" w:hAnsiTheme="majorHAnsi" w:cstheme="majorHAnsi"/>
                <w:bCs/>
                <w:color w:val="000000"/>
                <w:sz w:val="24"/>
                <w:szCs w:val="24"/>
              </w:rPr>
            </w:pPr>
            <w:r>
              <w:rPr>
                <w:rFonts w:asciiTheme="majorHAnsi" w:hAnsiTheme="majorHAnsi" w:cstheme="majorHAnsi"/>
                <w:bCs/>
                <w:color w:val="000000"/>
                <w:sz w:val="24"/>
                <w:szCs w:val="24"/>
              </w:rPr>
              <w:t>...</w:t>
            </w:r>
          </w:p>
        </w:tc>
        <w:tc>
          <w:tcPr>
            <w:tcW w:w="4074" w:type="dxa"/>
          </w:tcPr>
          <w:p w14:paraId="65E7B48D" w14:textId="77777777" w:rsidR="00162A71" w:rsidRPr="00D462F0" w:rsidRDefault="00162A71" w:rsidP="00D462F0">
            <w:pPr>
              <w:jc w:val="both"/>
              <w:rPr>
                <w:rFonts w:asciiTheme="majorHAnsi" w:hAnsiTheme="majorHAnsi" w:cstheme="majorHAnsi"/>
                <w:sz w:val="24"/>
                <w:szCs w:val="24"/>
              </w:rPr>
            </w:pPr>
          </w:p>
        </w:tc>
        <w:tc>
          <w:tcPr>
            <w:tcW w:w="4075" w:type="dxa"/>
          </w:tcPr>
          <w:p w14:paraId="0506612A" w14:textId="77777777" w:rsidR="00162A71" w:rsidRPr="00D462F0" w:rsidRDefault="00162A71" w:rsidP="00D462F0">
            <w:pPr>
              <w:jc w:val="both"/>
              <w:rPr>
                <w:rFonts w:asciiTheme="majorHAnsi" w:hAnsiTheme="majorHAnsi" w:cstheme="majorHAnsi"/>
                <w:bCs/>
                <w:sz w:val="24"/>
                <w:szCs w:val="24"/>
              </w:rPr>
            </w:pPr>
          </w:p>
        </w:tc>
      </w:tr>
      <w:tr w:rsidR="00162A71" w:rsidRPr="00C93770" w14:paraId="6179D8FD" w14:textId="77777777" w:rsidTr="1756A420">
        <w:tc>
          <w:tcPr>
            <w:tcW w:w="4074" w:type="dxa"/>
          </w:tcPr>
          <w:p w14:paraId="672574F7" w14:textId="77777777" w:rsidR="00162A71" w:rsidRPr="00D462F0" w:rsidRDefault="00162A71"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Subseção IV</w:t>
            </w:r>
          </w:p>
          <w:p w14:paraId="69D13009" w14:textId="2A7C132F" w:rsidR="00162A71" w:rsidRPr="00D462F0" w:rsidRDefault="00162A71" w:rsidP="0028717C">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t>Plano Instituído</w:t>
            </w:r>
          </w:p>
        </w:tc>
        <w:tc>
          <w:tcPr>
            <w:tcW w:w="4074" w:type="dxa"/>
          </w:tcPr>
          <w:p w14:paraId="02677A50" w14:textId="77777777" w:rsidR="00162A71" w:rsidRPr="00D462F0" w:rsidRDefault="00162A71"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Subseção IV</w:t>
            </w:r>
          </w:p>
          <w:p w14:paraId="192CB9F7" w14:textId="56CBEEE8" w:rsidR="00162A71" w:rsidRPr="00D462F0" w:rsidRDefault="00162A71" w:rsidP="0028717C">
            <w:pPr>
              <w:jc w:val="center"/>
              <w:rPr>
                <w:rFonts w:asciiTheme="majorHAnsi" w:hAnsiTheme="majorHAnsi" w:cstheme="majorHAnsi"/>
                <w:bCs/>
                <w:color w:val="000000"/>
                <w:sz w:val="24"/>
                <w:szCs w:val="24"/>
              </w:rPr>
            </w:pPr>
            <w:r w:rsidRPr="00D462F0">
              <w:rPr>
                <w:rFonts w:asciiTheme="majorHAnsi" w:hAnsiTheme="majorHAnsi" w:cstheme="majorHAnsi"/>
                <w:b/>
                <w:color w:val="000000"/>
                <w:sz w:val="24"/>
                <w:szCs w:val="24"/>
              </w:rPr>
              <w:t>Plano Instituído</w:t>
            </w:r>
          </w:p>
        </w:tc>
        <w:tc>
          <w:tcPr>
            <w:tcW w:w="4074" w:type="dxa"/>
          </w:tcPr>
          <w:p w14:paraId="63E6F366" w14:textId="77777777" w:rsidR="00162A71" w:rsidRPr="00D462F0" w:rsidRDefault="00162A71" w:rsidP="00D462F0">
            <w:pPr>
              <w:jc w:val="both"/>
              <w:rPr>
                <w:rFonts w:asciiTheme="majorHAnsi" w:hAnsiTheme="majorHAnsi" w:cstheme="majorHAnsi"/>
                <w:sz w:val="24"/>
                <w:szCs w:val="24"/>
              </w:rPr>
            </w:pPr>
          </w:p>
        </w:tc>
        <w:tc>
          <w:tcPr>
            <w:tcW w:w="4075" w:type="dxa"/>
          </w:tcPr>
          <w:p w14:paraId="2E147283" w14:textId="77777777" w:rsidR="00162A71" w:rsidRPr="00D462F0" w:rsidRDefault="00162A71" w:rsidP="00D462F0">
            <w:pPr>
              <w:jc w:val="both"/>
              <w:rPr>
                <w:rFonts w:asciiTheme="majorHAnsi" w:hAnsiTheme="majorHAnsi" w:cstheme="majorHAnsi"/>
                <w:bCs/>
                <w:sz w:val="24"/>
                <w:szCs w:val="24"/>
              </w:rPr>
            </w:pPr>
          </w:p>
        </w:tc>
      </w:tr>
      <w:tr w:rsidR="00A26CD8" w:rsidRPr="00C93770" w14:paraId="606DFA45" w14:textId="77777777" w:rsidTr="1756A420">
        <w:tc>
          <w:tcPr>
            <w:tcW w:w="4074" w:type="dxa"/>
          </w:tcPr>
          <w:p w14:paraId="67558F7F" w14:textId="3CBACFE1"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109. </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O plano de benefícios instituído é exclusivo para instituidores e pode ser oferecido às seguintes pessoas físicas, em relação ao instituidor:</w:t>
            </w:r>
          </w:p>
        </w:tc>
        <w:tc>
          <w:tcPr>
            <w:tcW w:w="4074" w:type="dxa"/>
          </w:tcPr>
          <w:p w14:paraId="586EFA97" w14:textId="78F8425F"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109. </w:t>
            </w:r>
            <w:r w:rsidR="007E378D"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w:t>
            </w:r>
          </w:p>
        </w:tc>
        <w:tc>
          <w:tcPr>
            <w:tcW w:w="4074" w:type="dxa"/>
          </w:tcPr>
          <w:p w14:paraId="7223489B" w14:textId="056E372C" w:rsidR="00A26CD8" w:rsidRPr="00D462F0" w:rsidRDefault="0091362C"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p w14:paraId="34904B92" w14:textId="77777777" w:rsidR="00A26CD8" w:rsidRPr="00D462F0" w:rsidRDefault="00A26CD8" w:rsidP="00D462F0">
            <w:pPr>
              <w:jc w:val="both"/>
              <w:rPr>
                <w:rFonts w:asciiTheme="majorHAnsi" w:hAnsiTheme="majorHAnsi" w:cstheme="majorHAnsi"/>
                <w:sz w:val="24"/>
                <w:szCs w:val="24"/>
              </w:rPr>
            </w:pPr>
          </w:p>
        </w:tc>
        <w:tc>
          <w:tcPr>
            <w:tcW w:w="4075" w:type="dxa"/>
          </w:tcPr>
          <w:p w14:paraId="1EAFFC47" w14:textId="4D3699C3" w:rsidR="00A26CD8" w:rsidRPr="00D462F0" w:rsidRDefault="00A26CD8" w:rsidP="00D462F0">
            <w:pPr>
              <w:jc w:val="both"/>
              <w:rPr>
                <w:rFonts w:asciiTheme="majorHAnsi" w:hAnsiTheme="majorHAnsi" w:cstheme="majorHAnsi"/>
                <w:bCs/>
                <w:sz w:val="24"/>
                <w:szCs w:val="24"/>
              </w:rPr>
            </w:pPr>
          </w:p>
        </w:tc>
      </w:tr>
      <w:tr w:rsidR="00AB5693" w:rsidRPr="00C93770" w14:paraId="275A2CCB" w14:textId="77777777" w:rsidTr="1756A420">
        <w:tc>
          <w:tcPr>
            <w:tcW w:w="4074" w:type="dxa"/>
          </w:tcPr>
          <w:p w14:paraId="0CDF9CD6" w14:textId="7659598A" w:rsidR="00AB5693"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9906394" w14:textId="4611FB91" w:rsidR="00AB5693" w:rsidRPr="00D462F0" w:rsidRDefault="00AB5693"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33491A8E" w14:textId="77777777" w:rsidR="00AB5693" w:rsidRPr="00D462F0" w:rsidRDefault="00AB5693" w:rsidP="00D462F0">
            <w:pPr>
              <w:jc w:val="both"/>
              <w:rPr>
                <w:rFonts w:asciiTheme="majorHAnsi" w:hAnsiTheme="majorHAnsi" w:cstheme="majorHAnsi"/>
                <w:sz w:val="24"/>
                <w:szCs w:val="24"/>
              </w:rPr>
            </w:pPr>
          </w:p>
        </w:tc>
        <w:tc>
          <w:tcPr>
            <w:tcW w:w="4075" w:type="dxa"/>
          </w:tcPr>
          <w:p w14:paraId="168C81BF" w14:textId="77777777" w:rsidR="00AB5693" w:rsidRPr="00D462F0" w:rsidRDefault="00AB5693" w:rsidP="00D462F0">
            <w:pPr>
              <w:jc w:val="both"/>
              <w:rPr>
                <w:rFonts w:asciiTheme="majorHAnsi" w:hAnsiTheme="majorHAnsi" w:cstheme="majorHAnsi"/>
                <w:bCs/>
                <w:sz w:val="24"/>
                <w:szCs w:val="24"/>
              </w:rPr>
            </w:pPr>
          </w:p>
        </w:tc>
      </w:tr>
      <w:tr w:rsidR="00A26CD8" w:rsidRPr="00C93770" w14:paraId="5DC74F9F" w14:textId="77777777" w:rsidTr="1756A420">
        <w:tc>
          <w:tcPr>
            <w:tcW w:w="4074" w:type="dxa"/>
          </w:tcPr>
          <w:p w14:paraId="1D3CA01B" w14:textId="77777777"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IV - </w:t>
            </w:r>
            <w:proofErr w:type="gramStart"/>
            <w:r w:rsidRPr="00D462F0">
              <w:rPr>
                <w:rFonts w:asciiTheme="majorHAnsi" w:hAnsiTheme="majorHAnsi" w:cstheme="majorHAnsi"/>
                <w:color w:val="000000"/>
                <w:sz w:val="24"/>
                <w:szCs w:val="24"/>
              </w:rPr>
              <w:t>cônjuges</w:t>
            </w:r>
            <w:proofErr w:type="gramEnd"/>
            <w:r w:rsidRPr="00D462F0">
              <w:rPr>
                <w:rFonts w:asciiTheme="majorHAnsi" w:hAnsiTheme="majorHAnsi" w:cstheme="majorHAnsi"/>
                <w:color w:val="000000"/>
                <w:sz w:val="24"/>
                <w:szCs w:val="24"/>
              </w:rPr>
              <w:t xml:space="preserve"> e parentes consanguíneos ou afins, até o quarto grau </w:t>
            </w:r>
            <w:r w:rsidRPr="00D462F0">
              <w:rPr>
                <w:rFonts w:asciiTheme="majorHAnsi" w:hAnsiTheme="majorHAnsi" w:cstheme="majorHAnsi"/>
                <w:bCs/>
                <w:color w:val="000000"/>
                <w:sz w:val="24"/>
                <w:szCs w:val="24"/>
              </w:rPr>
              <w:t>ou por adoção,</w:t>
            </w:r>
            <w:r w:rsidRPr="00D462F0">
              <w:rPr>
                <w:rFonts w:asciiTheme="majorHAnsi" w:hAnsiTheme="majorHAnsi" w:cstheme="majorHAnsi"/>
                <w:color w:val="000000"/>
                <w:sz w:val="24"/>
                <w:szCs w:val="24"/>
              </w:rPr>
              <w:t xml:space="preserve"> das pessoas físicas referidas nos incisos I a III.</w:t>
            </w:r>
          </w:p>
          <w:p w14:paraId="641323BA" w14:textId="77777777" w:rsidR="00A26CD8" w:rsidRPr="00D462F0" w:rsidRDefault="00A26CD8" w:rsidP="00D462F0">
            <w:pPr>
              <w:jc w:val="both"/>
              <w:rPr>
                <w:rFonts w:asciiTheme="majorHAnsi" w:hAnsiTheme="majorHAnsi" w:cstheme="majorHAnsi"/>
                <w:color w:val="000000"/>
                <w:sz w:val="24"/>
                <w:szCs w:val="24"/>
              </w:rPr>
            </w:pPr>
          </w:p>
        </w:tc>
        <w:tc>
          <w:tcPr>
            <w:tcW w:w="4074" w:type="dxa"/>
          </w:tcPr>
          <w:p w14:paraId="1F13E5D9" w14:textId="5023F550"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IV - </w:t>
            </w:r>
            <w:proofErr w:type="gramStart"/>
            <w:r w:rsidRPr="00D462F0">
              <w:rPr>
                <w:rFonts w:asciiTheme="majorHAnsi" w:hAnsiTheme="majorHAnsi" w:cstheme="majorHAnsi"/>
                <w:bCs/>
                <w:color w:val="000000"/>
                <w:sz w:val="24"/>
                <w:szCs w:val="24"/>
              </w:rPr>
              <w:t>cônjuges</w:t>
            </w:r>
            <w:proofErr w:type="gramEnd"/>
            <w:r w:rsidRPr="00D462F0">
              <w:rPr>
                <w:rFonts w:asciiTheme="majorHAnsi" w:hAnsiTheme="majorHAnsi" w:cstheme="majorHAnsi"/>
                <w:bCs/>
                <w:color w:val="000000"/>
                <w:sz w:val="24"/>
                <w:szCs w:val="24"/>
              </w:rPr>
              <w:t xml:space="preserve"> e parentes consanguíneos ou afins, até o </w:t>
            </w:r>
            <w:r w:rsidRPr="00D462F0">
              <w:rPr>
                <w:rFonts w:asciiTheme="majorHAnsi" w:hAnsiTheme="majorHAnsi" w:cstheme="majorHAnsi"/>
                <w:bCs/>
                <w:sz w:val="24"/>
                <w:szCs w:val="24"/>
              </w:rPr>
              <w:t>quarto grau</w:t>
            </w:r>
            <w:r w:rsidR="004F0F51" w:rsidRPr="00D462F0">
              <w:rPr>
                <w:rFonts w:asciiTheme="majorHAnsi" w:hAnsiTheme="majorHAnsi" w:cstheme="majorHAnsi"/>
                <w:bCs/>
                <w:sz w:val="24"/>
                <w:szCs w:val="24"/>
              </w:rPr>
              <w:t xml:space="preserve"> </w:t>
            </w:r>
            <w:r w:rsidR="004F0F51" w:rsidRPr="00D462F0">
              <w:rPr>
                <w:rFonts w:asciiTheme="majorHAnsi" w:hAnsiTheme="majorHAnsi" w:cstheme="majorHAnsi"/>
                <w:bCs/>
                <w:strike/>
                <w:color w:val="EE0000"/>
                <w:sz w:val="24"/>
                <w:szCs w:val="24"/>
              </w:rPr>
              <w:t>ou por adoção</w:t>
            </w:r>
            <w:r w:rsidRPr="00D462F0">
              <w:rPr>
                <w:rFonts w:asciiTheme="majorHAnsi" w:hAnsiTheme="majorHAnsi" w:cstheme="majorHAnsi"/>
                <w:bCs/>
                <w:color w:val="0000FF"/>
                <w:sz w:val="24"/>
                <w:szCs w:val="24"/>
              </w:rPr>
              <w:t>,</w:t>
            </w:r>
            <w:r w:rsidRPr="00D462F0">
              <w:rPr>
                <w:rFonts w:asciiTheme="majorHAnsi" w:hAnsiTheme="majorHAnsi" w:cstheme="majorHAnsi"/>
                <w:bCs/>
                <w:color w:val="000000"/>
                <w:sz w:val="24"/>
                <w:szCs w:val="24"/>
              </w:rPr>
              <w:t xml:space="preserve"> das pessoas físicas referidas nos incisos I a III.</w:t>
            </w:r>
          </w:p>
          <w:p w14:paraId="4D4E7FEB" w14:textId="6376AD7B" w:rsidR="00A26CD8" w:rsidRPr="00D462F0" w:rsidRDefault="00A26CD8" w:rsidP="00D462F0">
            <w:pPr>
              <w:jc w:val="both"/>
              <w:rPr>
                <w:rFonts w:asciiTheme="majorHAnsi" w:hAnsiTheme="majorHAnsi" w:cstheme="majorHAnsi"/>
                <w:bCs/>
                <w:color w:val="000000"/>
                <w:sz w:val="24"/>
                <w:szCs w:val="24"/>
              </w:rPr>
            </w:pPr>
          </w:p>
        </w:tc>
        <w:tc>
          <w:tcPr>
            <w:tcW w:w="4074" w:type="dxa"/>
          </w:tcPr>
          <w:p w14:paraId="5AFAB95E"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Retirada de expressão sem valor jurídico.</w:t>
            </w:r>
          </w:p>
          <w:p w14:paraId="578E430B" w14:textId="77777777" w:rsidR="00A26CD8" w:rsidRPr="00D462F0" w:rsidRDefault="00A26CD8" w:rsidP="00D462F0">
            <w:pPr>
              <w:jc w:val="both"/>
              <w:rPr>
                <w:rFonts w:asciiTheme="majorHAnsi" w:hAnsiTheme="majorHAnsi" w:cstheme="majorHAnsi"/>
                <w:sz w:val="24"/>
                <w:szCs w:val="24"/>
              </w:rPr>
            </w:pPr>
          </w:p>
        </w:tc>
        <w:tc>
          <w:tcPr>
            <w:tcW w:w="4075" w:type="dxa"/>
          </w:tcPr>
          <w:p w14:paraId="7D2F5AC0"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1CB9804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atualização de artigo em razão de uso de termo que caiu em desuso, apenas no sentido de obter maior clareza e sem alteração de mérito.</w:t>
            </w:r>
          </w:p>
          <w:p w14:paraId="07AEF3B0" w14:textId="77777777" w:rsidR="00A26CD8" w:rsidRPr="00D462F0" w:rsidRDefault="00A26CD8" w:rsidP="00D462F0">
            <w:pPr>
              <w:jc w:val="both"/>
              <w:rPr>
                <w:rFonts w:asciiTheme="majorHAnsi" w:hAnsiTheme="majorHAnsi" w:cstheme="majorHAnsi"/>
                <w:bCs/>
                <w:sz w:val="24"/>
                <w:szCs w:val="24"/>
              </w:rPr>
            </w:pPr>
          </w:p>
        </w:tc>
      </w:tr>
      <w:tr w:rsidR="00A26CD8" w:rsidRPr="00C93770" w14:paraId="24CAC36E" w14:textId="77777777" w:rsidTr="1756A420">
        <w:tc>
          <w:tcPr>
            <w:tcW w:w="4074" w:type="dxa"/>
          </w:tcPr>
          <w:p w14:paraId="72A18E8A" w14:textId="781EE32F"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110. </w:t>
            </w:r>
            <w:r w:rsidR="00A65603"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A EFPC, quando autorizada pela Previc, pode assumir a qualidade de instituidor em planos de benefícios instituídos, em relação:</w:t>
            </w:r>
          </w:p>
        </w:tc>
        <w:tc>
          <w:tcPr>
            <w:tcW w:w="4074" w:type="dxa"/>
          </w:tcPr>
          <w:p w14:paraId="3AE635A6" w14:textId="6687E468" w:rsidR="00A26CD8" w:rsidRPr="00D462F0" w:rsidRDefault="0091362C"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Art. 110.  ...</w:t>
            </w:r>
          </w:p>
        </w:tc>
        <w:tc>
          <w:tcPr>
            <w:tcW w:w="4074" w:type="dxa"/>
          </w:tcPr>
          <w:p w14:paraId="2CA50257" w14:textId="2BDB744A" w:rsidR="00A26CD8" w:rsidRPr="00D462F0" w:rsidRDefault="0091362C"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1577FB2" w14:textId="77777777" w:rsidR="00A26CD8" w:rsidRPr="00D462F0" w:rsidRDefault="00A26CD8" w:rsidP="00D462F0">
            <w:pPr>
              <w:jc w:val="both"/>
              <w:rPr>
                <w:rFonts w:asciiTheme="majorHAnsi" w:hAnsiTheme="majorHAnsi" w:cstheme="majorHAnsi"/>
                <w:bCs/>
                <w:sz w:val="24"/>
                <w:szCs w:val="24"/>
              </w:rPr>
            </w:pPr>
          </w:p>
        </w:tc>
      </w:tr>
      <w:tr w:rsidR="00AB5693" w:rsidRPr="00C93770" w14:paraId="7E7100CE" w14:textId="77777777" w:rsidTr="1756A420">
        <w:tc>
          <w:tcPr>
            <w:tcW w:w="4074" w:type="dxa"/>
          </w:tcPr>
          <w:p w14:paraId="03030855" w14:textId="3CBD14CE" w:rsidR="00AB5693" w:rsidRPr="00D462F0" w:rsidRDefault="00AB5693"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663568F" w14:textId="4369555F" w:rsidR="00AB5693" w:rsidRPr="00D462F0" w:rsidRDefault="00AB5693"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4BFC6FD6" w14:textId="77777777" w:rsidR="00AB5693" w:rsidRPr="00D462F0" w:rsidRDefault="00AB5693" w:rsidP="00D462F0">
            <w:pPr>
              <w:jc w:val="both"/>
              <w:rPr>
                <w:rFonts w:asciiTheme="majorHAnsi" w:hAnsiTheme="majorHAnsi" w:cstheme="majorHAnsi"/>
                <w:sz w:val="24"/>
                <w:szCs w:val="24"/>
              </w:rPr>
            </w:pPr>
          </w:p>
        </w:tc>
        <w:tc>
          <w:tcPr>
            <w:tcW w:w="4075" w:type="dxa"/>
          </w:tcPr>
          <w:p w14:paraId="2E5B44F4" w14:textId="77777777" w:rsidR="00AB5693" w:rsidRPr="00D462F0" w:rsidRDefault="00AB5693" w:rsidP="00D462F0">
            <w:pPr>
              <w:jc w:val="both"/>
              <w:rPr>
                <w:rFonts w:asciiTheme="majorHAnsi" w:hAnsiTheme="majorHAnsi" w:cstheme="majorHAnsi"/>
                <w:bCs/>
                <w:sz w:val="24"/>
                <w:szCs w:val="24"/>
              </w:rPr>
            </w:pPr>
          </w:p>
        </w:tc>
      </w:tr>
      <w:tr w:rsidR="00A26CD8" w:rsidRPr="00C93770" w14:paraId="2D97E1E9" w14:textId="77777777" w:rsidTr="1756A420">
        <w:tc>
          <w:tcPr>
            <w:tcW w:w="4074" w:type="dxa"/>
          </w:tcPr>
          <w:p w14:paraId="7042A388" w14:textId="437AD945"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IV - </w:t>
            </w:r>
            <w:proofErr w:type="gramStart"/>
            <w:r w:rsidRPr="00D462F0">
              <w:rPr>
                <w:rFonts w:asciiTheme="majorHAnsi" w:hAnsiTheme="majorHAnsi" w:cstheme="majorHAnsi"/>
                <w:color w:val="000000"/>
                <w:sz w:val="24"/>
                <w:szCs w:val="24"/>
              </w:rPr>
              <w:t>aos</w:t>
            </w:r>
            <w:proofErr w:type="gramEnd"/>
            <w:r w:rsidRPr="00D462F0">
              <w:rPr>
                <w:rFonts w:asciiTheme="majorHAnsi" w:hAnsiTheme="majorHAnsi" w:cstheme="majorHAnsi"/>
                <w:color w:val="000000"/>
                <w:sz w:val="24"/>
                <w:szCs w:val="24"/>
              </w:rPr>
              <w:t xml:space="preserve"> cônjuges e aos parentes consanguíneos ou afins, até o quarto grau </w:t>
            </w:r>
            <w:r w:rsidRPr="00D462F0">
              <w:rPr>
                <w:rFonts w:asciiTheme="majorHAnsi" w:hAnsiTheme="majorHAnsi" w:cstheme="majorHAnsi"/>
                <w:bCs/>
                <w:color w:val="000000"/>
                <w:sz w:val="24"/>
                <w:szCs w:val="24"/>
              </w:rPr>
              <w:t>ou por adoção,</w:t>
            </w:r>
            <w:r w:rsidRPr="00D462F0">
              <w:rPr>
                <w:rFonts w:asciiTheme="majorHAnsi" w:hAnsiTheme="majorHAnsi" w:cstheme="majorHAnsi"/>
                <w:color w:val="000000"/>
                <w:sz w:val="24"/>
                <w:szCs w:val="24"/>
              </w:rPr>
              <w:t xml:space="preserve"> das pessoas físicas referidas nos incisos I a III.</w:t>
            </w:r>
          </w:p>
        </w:tc>
        <w:tc>
          <w:tcPr>
            <w:tcW w:w="4074" w:type="dxa"/>
          </w:tcPr>
          <w:p w14:paraId="47887F35" w14:textId="7C627FD8"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IV - </w:t>
            </w:r>
            <w:proofErr w:type="gramStart"/>
            <w:r w:rsidRPr="00D462F0">
              <w:rPr>
                <w:rFonts w:asciiTheme="majorHAnsi" w:hAnsiTheme="majorHAnsi" w:cstheme="majorHAnsi"/>
                <w:bCs/>
                <w:color w:val="000000"/>
                <w:sz w:val="24"/>
                <w:szCs w:val="24"/>
              </w:rPr>
              <w:t>aos</w:t>
            </w:r>
            <w:proofErr w:type="gramEnd"/>
            <w:r w:rsidRPr="00D462F0">
              <w:rPr>
                <w:rFonts w:asciiTheme="majorHAnsi" w:hAnsiTheme="majorHAnsi" w:cstheme="majorHAnsi"/>
                <w:bCs/>
                <w:color w:val="000000"/>
                <w:sz w:val="24"/>
                <w:szCs w:val="24"/>
              </w:rPr>
              <w:t xml:space="preserve"> cônjuges e aos parentes consanguíneos ou afins, até o quarto </w:t>
            </w:r>
            <w:r w:rsidRPr="00D462F0">
              <w:rPr>
                <w:rFonts w:asciiTheme="majorHAnsi" w:hAnsiTheme="majorHAnsi" w:cstheme="majorHAnsi"/>
                <w:bCs/>
                <w:sz w:val="24"/>
                <w:szCs w:val="24"/>
              </w:rPr>
              <w:t>grau</w:t>
            </w:r>
            <w:r w:rsidR="004F0F51" w:rsidRPr="00D462F0">
              <w:rPr>
                <w:rFonts w:asciiTheme="majorHAnsi" w:hAnsiTheme="majorHAnsi" w:cstheme="majorHAnsi"/>
                <w:bCs/>
                <w:sz w:val="24"/>
                <w:szCs w:val="24"/>
              </w:rPr>
              <w:t xml:space="preserve"> </w:t>
            </w:r>
            <w:r w:rsidR="004F0F51" w:rsidRPr="00D462F0">
              <w:rPr>
                <w:rFonts w:asciiTheme="majorHAnsi" w:hAnsiTheme="majorHAnsi" w:cstheme="majorHAnsi"/>
                <w:bCs/>
                <w:strike/>
                <w:color w:val="EE0000"/>
                <w:sz w:val="24"/>
                <w:szCs w:val="24"/>
              </w:rPr>
              <w:t>ou por adoção</w:t>
            </w:r>
            <w:r w:rsidRPr="00D462F0">
              <w:rPr>
                <w:rFonts w:asciiTheme="majorHAnsi" w:hAnsiTheme="majorHAnsi" w:cstheme="majorHAnsi"/>
                <w:bCs/>
                <w:sz w:val="24"/>
                <w:szCs w:val="24"/>
              </w:rPr>
              <w:t xml:space="preserve">, </w:t>
            </w:r>
            <w:r w:rsidRPr="00D462F0">
              <w:rPr>
                <w:rFonts w:asciiTheme="majorHAnsi" w:hAnsiTheme="majorHAnsi" w:cstheme="majorHAnsi"/>
                <w:bCs/>
                <w:color w:val="000000"/>
                <w:sz w:val="24"/>
                <w:szCs w:val="24"/>
              </w:rPr>
              <w:t>das pessoas físicas referidas nos incisos I a III.</w:t>
            </w:r>
          </w:p>
        </w:tc>
        <w:tc>
          <w:tcPr>
            <w:tcW w:w="4074" w:type="dxa"/>
          </w:tcPr>
          <w:p w14:paraId="5A84F62F" w14:textId="77777777" w:rsidR="00A26CD8" w:rsidRPr="00D462F0" w:rsidRDefault="00A26CD8" w:rsidP="00D462F0">
            <w:pPr>
              <w:jc w:val="both"/>
              <w:rPr>
                <w:rFonts w:asciiTheme="majorHAnsi" w:hAnsiTheme="majorHAnsi" w:cstheme="majorHAnsi"/>
                <w:sz w:val="24"/>
                <w:szCs w:val="24"/>
              </w:rPr>
            </w:pPr>
          </w:p>
        </w:tc>
        <w:tc>
          <w:tcPr>
            <w:tcW w:w="4075" w:type="dxa"/>
          </w:tcPr>
          <w:p w14:paraId="604B0E8D" w14:textId="77777777" w:rsidR="0091362C" w:rsidRPr="00D462F0" w:rsidRDefault="0091362C"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a alteração do artigo em questão dispensa-se a realização de AIR por se tratar de artigo que visa “(...) a atualização ou à revogação de normas </w:t>
            </w:r>
            <w:r w:rsidRPr="00D462F0">
              <w:rPr>
                <w:rFonts w:asciiTheme="majorHAnsi" w:hAnsiTheme="majorHAnsi" w:cstheme="majorHAnsi"/>
                <w:bCs/>
                <w:sz w:val="24"/>
                <w:szCs w:val="24"/>
              </w:rPr>
              <w:lastRenderedPageBreak/>
              <w:t>consideradas obsoletas, sem alteração de mérito”, conforme disposto no inciso IV, do art. 4º do Decreto nº 10.411, de 2020.</w:t>
            </w:r>
          </w:p>
          <w:p w14:paraId="39E5526D" w14:textId="77777777" w:rsidR="00A26CD8" w:rsidRPr="00D462F0" w:rsidRDefault="00A26CD8" w:rsidP="00D462F0">
            <w:pPr>
              <w:jc w:val="both"/>
              <w:rPr>
                <w:rFonts w:asciiTheme="majorHAnsi" w:hAnsiTheme="majorHAnsi" w:cstheme="majorHAnsi"/>
                <w:bCs/>
                <w:sz w:val="24"/>
                <w:szCs w:val="24"/>
              </w:rPr>
            </w:pPr>
          </w:p>
        </w:tc>
      </w:tr>
      <w:tr w:rsidR="00A26CD8" w:rsidRPr="00C93770" w14:paraId="690E3CCF" w14:textId="77777777" w:rsidTr="1756A420">
        <w:trPr>
          <w:trHeight w:val="1497"/>
        </w:trPr>
        <w:tc>
          <w:tcPr>
            <w:tcW w:w="4074" w:type="dxa"/>
          </w:tcPr>
          <w:p w14:paraId="5E206CC0" w14:textId="59299D6D"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lastRenderedPageBreak/>
              <w:t>Parágrafo único.</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 A EFPC, na condição de instituidor, não pode efetuar contribuições para o plano de benefícios</w:t>
            </w:r>
          </w:p>
        </w:tc>
        <w:tc>
          <w:tcPr>
            <w:tcW w:w="4074" w:type="dxa"/>
          </w:tcPr>
          <w:p w14:paraId="4DB43535" w14:textId="1E1BA0B9"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w:t>
            </w:r>
            <w:proofErr w:type="gramStart"/>
            <w:r w:rsidRPr="00D462F0">
              <w:rPr>
                <w:rFonts w:asciiTheme="majorHAnsi" w:hAnsiTheme="majorHAnsi" w:cstheme="majorHAnsi"/>
                <w:bCs/>
                <w:color w:val="0000FF"/>
                <w:sz w:val="24"/>
                <w:szCs w:val="24"/>
              </w:rPr>
              <w:t>º</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 xml:space="preserve"> A</w:t>
            </w:r>
            <w:proofErr w:type="gramEnd"/>
            <w:r w:rsidRPr="00D462F0">
              <w:rPr>
                <w:rFonts w:asciiTheme="majorHAnsi" w:hAnsiTheme="majorHAnsi" w:cstheme="majorHAnsi"/>
                <w:bCs/>
                <w:color w:val="000000"/>
                <w:sz w:val="24"/>
                <w:szCs w:val="24"/>
              </w:rPr>
              <w:t xml:space="preserve"> EFPC, na condição de instituidor, não pode efetuar contribuições para o plano de benefícios</w:t>
            </w:r>
            <w:r w:rsidR="0091362C" w:rsidRPr="00D462F0">
              <w:rPr>
                <w:rFonts w:asciiTheme="majorHAnsi" w:hAnsiTheme="majorHAnsi" w:cstheme="majorHAnsi"/>
                <w:bCs/>
                <w:color w:val="000000"/>
                <w:sz w:val="24"/>
                <w:szCs w:val="24"/>
              </w:rPr>
              <w:t>.</w:t>
            </w:r>
          </w:p>
          <w:p w14:paraId="1CF8F2F8" w14:textId="77777777" w:rsidR="00A26CD8" w:rsidRPr="00D462F0" w:rsidRDefault="00A26CD8" w:rsidP="00D462F0">
            <w:pPr>
              <w:jc w:val="both"/>
              <w:rPr>
                <w:rFonts w:asciiTheme="majorHAnsi" w:hAnsiTheme="majorHAnsi" w:cstheme="majorHAnsi"/>
                <w:bCs/>
                <w:sz w:val="24"/>
                <w:szCs w:val="24"/>
              </w:rPr>
            </w:pPr>
          </w:p>
        </w:tc>
        <w:tc>
          <w:tcPr>
            <w:tcW w:w="4074" w:type="dxa"/>
          </w:tcPr>
          <w:p w14:paraId="158DD92E" w14:textId="77777777" w:rsidR="00A26CD8" w:rsidRPr="00D462F0" w:rsidRDefault="00A26CD8" w:rsidP="00D462F0">
            <w:pPr>
              <w:jc w:val="both"/>
              <w:rPr>
                <w:rFonts w:asciiTheme="majorHAnsi" w:hAnsiTheme="majorHAnsi" w:cstheme="majorHAnsi"/>
                <w:sz w:val="24"/>
                <w:szCs w:val="24"/>
              </w:rPr>
            </w:pPr>
          </w:p>
        </w:tc>
        <w:tc>
          <w:tcPr>
            <w:tcW w:w="4075" w:type="dxa"/>
          </w:tcPr>
          <w:p w14:paraId="7DD17F51" w14:textId="77777777" w:rsidR="00A26CD8" w:rsidRPr="00D462F0" w:rsidRDefault="00A26CD8" w:rsidP="00D462F0">
            <w:pPr>
              <w:jc w:val="both"/>
              <w:rPr>
                <w:rFonts w:asciiTheme="majorHAnsi" w:hAnsiTheme="majorHAnsi" w:cstheme="majorHAnsi"/>
                <w:bCs/>
                <w:sz w:val="24"/>
                <w:szCs w:val="24"/>
              </w:rPr>
            </w:pPr>
          </w:p>
        </w:tc>
      </w:tr>
      <w:tr w:rsidR="00A26CD8" w:rsidRPr="00C93770" w14:paraId="2B4824BC" w14:textId="77777777" w:rsidTr="1756A420">
        <w:tc>
          <w:tcPr>
            <w:tcW w:w="4074" w:type="dxa"/>
          </w:tcPr>
          <w:p w14:paraId="4B34FEDF" w14:textId="0D88C7FA"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B2297BD" w14:textId="1CCCEEB1"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º  A</w:t>
            </w:r>
            <w:proofErr w:type="gramEnd"/>
            <w:r w:rsidRPr="00D462F0">
              <w:rPr>
                <w:rFonts w:asciiTheme="majorHAnsi" w:hAnsiTheme="majorHAnsi" w:cstheme="majorHAnsi"/>
                <w:bCs/>
                <w:color w:val="0000FF"/>
                <w:sz w:val="24"/>
                <w:szCs w:val="24"/>
              </w:rPr>
              <w:t xml:space="preserve"> EFPC, na condição de instituidor, não pode indicar membros para os Conselhos Deliberativo e Fiscal</w:t>
            </w:r>
            <w:r w:rsidR="00327569">
              <w:rPr>
                <w:rFonts w:asciiTheme="majorHAnsi" w:hAnsiTheme="majorHAnsi" w:cstheme="majorHAnsi"/>
                <w:bCs/>
                <w:color w:val="0000FF"/>
                <w:sz w:val="24"/>
                <w:szCs w:val="24"/>
              </w:rPr>
              <w:t>.</w:t>
            </w:r>
          </w:p>
        </w:tc>
        <w:tc>
          <w:tcPr>
            <w:tcW w:w="4074" w:type="dxa"/>
          </w:tcPr>
          <w:p w14:paraId="2203D1BA"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Conforme previsto no art. 11 da Resolução CNPC nº 54, de 18 de março de 2022, que estabelece competência à Previc para editar instruções complementares que se fizerem necessárias à execução do disposto, a atualização do art. 110 visa vedar a indicação da própria EFPC para membros dos Conselhos dela mesma a fim de evitar potencial conflito de interesses.</w:t>
            </w:r>
          </w:p>
          <w:p w14:paraId="092408A0" w14:textId="079198A0"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 designação de representantes para o Conselho Fiscal e Deliberativo pela própria EFPC pode gerar um conflito de interesses inerente, no qual o interesse desses dirigentes na indicação ou a contratação de empregados pode não estar alinhado com o que deveria ser interesse das patrocinadoras e instituidoras, bem como dos próprios participantes, conforme Despacho nº 0706446 da Coordenação-Geral de Fiscalização Direta no âmbito do SEI 44011.005407/2024-55.</w:t>
            </w:r>
          </w:p>
        </w:tc>
        <w:tc>
          <w:tcPr>
            <w:tcW w:w="4075" w:type="dxa"/>
          </w:tcPr>
          <w:p w14:paraId="7798F39C"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 alínea “a”.</w:t>
            </w:r>
          </w:p>
          <w:p w14:paraId="41C69E6F"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artigo que visa vedar a indicação da própria EFPC para membros dos Conselhos dela mesma a fim de evitar potencial conflito de interesses.</w:t>
            </w:r>
          </w:p>
          <w:p w14:paraId="7BB8DE6A"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Tal medida pretende preservar a higidez da entidade assim como de todo o sistema. Conceitualmente higidez é a condição de uma entidade que demonstra equilíbrio atuarial, sustentabilidade de longo prazo e conformidade regulatória. Nesse sentido, trata-se de componente da higidez a governança e controles internos, tendo como pilar as boas práticas de gestão e fiscalização dos processos decisórios.</w:t>
            </w:r>
          </w:p>
          <w:p w14:paraId="466BA93B" w14:textId="7E397D64"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524962" w:rsidRPr="00C93770" w14:paraId="0387C937" w14:textId="77777777" w:rsidTr="1756A420">
        <w:tc>
          <w:tcPr>
            <w:tcW w:w="4074" w:type="dxa"/>
          </w:tcPr>
          <w:p w14:paraId="49B8C3BE" w14:textId="1CAAB704"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03A3746" w14:textId="4CBE0330"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4675DCE" w14:textId="77777777" w:rsidR="00524962" w:rsidRPr="00D462F0" w:rsidRDefault="00524962" w:rsidP="00D462F0">
            <w:pPr>
              <w:jc w:val="both"/>
              <w:rPr>
                <w:rFonts w:asciiTheme="majorHAnsi" w:hAnsiTheme="majorHAnsi" w:cstheme="majorHAnsi"/>
                <w:sz w:val="24"/>
                <w:szCs w:val="24"/>
              </w:rPr>
            </w:pPr>
          </w:p>
        </w:tc>
        <w:tc>
          <w:tcPr>
            <w:tcW w:w="4075" w:type="dxa"/>
          </w:tcPr>
          <w:p w14:paraId="6C869ED2" w14:textId="77777777" w:rsidR="00524962" w:rsidRPr="00D462F0" w:rsidRDefault="00524962" w:rsidP="00D462F0">
            <w:pPr>
              <w:jc w:val="both"/>
              <w:rPr>
                <w:rFonts w:asciiTheme="majorHAnsi" w:hAnsiTheme="majorHAnsi" w:cstheme="majorHAnsi"/>
                <w:bCs/>
                <w:sz w:val="24"/>
                <w:szCs w:val="24"/>
              </w:rPr>
            </w:pPr>
          </w:p>
        </w:tc>
      </w:tr>
      <w:tr w:rsidR="00524962" w:rsidRPr="00C93770" w14:paraId="60EF7229" w14:textId="77777777" w:rsidTr="1756A420">
        <w:tc>
          <w:tcPr>
            <w:tcW w:w="4074" w:type="dxa"/>
          </w:tcPr>
          <w:p w14:paraId="2FA7114E" w14:textId="77777777" w:rsidR="00524962" w:rsidRPr="00D462F0" w:rsidRDefault="00524962"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V</w:t>
            </w:r>
          </w:p>
          <w:p w14:paraId="193313E6" w14:textId="503D7CF0"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b/>
                <w:sz w:val="24"/>
                <w:szCs w:val="24"/>
              </w:rPr>
              <w:lastRenderedPageBreak/>
              <w:t>Institutos Benefício Proporcional Diferido, Portabilidade, Resgate e Autopatrocínio</w:t>
            </w:r>
          </w:p>
        </w:tc>
        <w:tc>
          <w:tcPr>
            <w:tcW w:w="4074" w:type="dxa"/>
          </w:tcPr>
          <w:p w14:paraId="704BB9FD" w14:textId="77777777" w:rsidR="00524962" w:rsidRPr="00D462F0" w:rsidRDefault="00524962" w:rsidP="0028717C">
            <w:pPr>
              <w:jc w:val="center"/>
              <w:rPr>
                <w:rFonts w:asciiTheme="majorHAnsi" w:hAnsiTheme="majorHAnsi" w:cstheme="majorHAnsi"/>
                <w:b/>
                <w:sz w:val="24"/>
                <w:szCs w:val="24"/>
              </w:rPr>
            </w:pPr>
            <w:r w:rsidRPr="00D462F0">
              <w:rPr>
                <w:rFonts w:asciiTheme="majorHAnsi" w:hAnsiTheme="majorHAnsi" w:cstheme="majorHAnsi"/>
                <w:b/>
                <w:sz w:val="24"/>
                <w:szCs w:val="24"/>
              </w:rPr>
              <w:lastRenderedPageBreak/>
              <w:t>Subseção V</w:t>
            </w:r>
          </w:p>
          <w:p w14:paraId="578F2270" w14:textId="242B1A9E"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
                <w:sz w:val="24"/>
                <w:szCs w:val="24"/>
              </w:rPr>
              <w:lastRenderedPageBreak/>
              <w:t>Institutos Benefício Proporcional Diferido, Portabilidade, Resgate e Autopatrocínio</w:t>
            </w:r>
          </w:p>
        </w:tc>
        <w:tc>
          <w:tcPr>
            <w:tcW w:w="4074" w:type="dxa"/>
          </w:tcPr>
          <w:p w14:paraId="29291242" w14:textId="77777777" w:rsidR="00524962" w:rsidRPr="00D462F0" w:rsidRDefault="00524962" w:rsidP="00D462F0">
            <w:pPr>
              <w:jc w:val="both"/>
              <w:rPr>
                <w:rFonts w:asciiTheme="majorHAnsi" w:hAnsiTheme="majorHAnsi" w:cstheme="majorHAnsi"/>
                <w:sz w:val="24"/>
                <w:szCs w:val="24"/>
              </w:rPr>
            </w:pPr>
          </w:p>
        </w:tc>
        <w:tc>
          <w:tcPr>
            <w:tcW w:w="4075" w:type="dxa"/>
          </w:tcPr>
          <w:p w14:paraId="27AE3336" w14:textId="77777777" w:rsidR="00524962" w:rsidRPr="00D462F0" w:rsidRDefault="00524962" w:rsidP="00D462F0">
            <w:pPr>
              <w:jc w:val="both"/>
              <w:rPr>
                <w:rFonts w:asciiTheme="majorHAnsi" w:hAnsiTheme="majorHAnsi" w:cstheme="majorHAnsi"/>
                <w:bCs/>
                <w:sz w:val="24"/>
                <w:szCs w:val="24"/>
              </w:rPr>
            </w:pPr>
          </w:p>
        </w:tc>
      </w:tr>
      <w:tr w:rsidR="00524962" w:rsidRPr="00C93770" w14:paraId="22B09940" w14:textId="77777777" w:rsidTr="1756A420">
        <w:tc>
          <w:tcPr>
            <w:tcW w:w="4074" w:type="dxa"/>
          </w:tcPr>
          <w:p w14:paraId="37AB1AF6" w14:textId="4EBFE34E"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3A360E75" w14:textId="5CCA693E"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6D57618" w14:textId="77777777" w:rsidR="00524962" w:rsidRPr="00D462F0" w:rsidRDefault="00524962" w:rsidP="00D462F0">
            <w:pPr>
              <w:jc w:val="both"/>
              <w:rPr>
                <w:rFonts w:asciiTheme="majorHAnsi" w:hAnsiTheme="majorHAnsi" w:cstheme="majorHAnsi"/>
                <w:sz w:val="24"/>
                <w:szCs w:val="24"/>
              </w:rPr>
            </w:pPr>
          </w:p>
        </w:tc>
        <w:tc>
          <w:tcPr>
            <w:tcW w:w="4075" w:type="dxa"/>
          </w:tcPr>
          <w:p w14:paraId="06205D86" w14:textId="77777777" w:rsidR="00524962" w:rsidRPr="00D462F0" w:rsidRDefault="00524962" w:rsidP="00D462F0">
            <w:pPr>
              <w:jc w:val="both"/>
              <w:rPr>
                <w:rFonts w:asciiTheme="majorHAnsi" w:hAnsiTheme="majorHAnsi" w:cstheme="majorHAnsi"/>
                <w:bCs/>
                <w:sz w:val="24"/>
                <w:szCs w:val="24"/>
              </w:rPr>
            </w:pPr>
          </w:p>
        </w:tc>
      </w:tr>
      <w:tr w:rsidR="00A26CD8" w:rsidRPr="00C93770" w14:paraId="72915B87" w14:textId="77777777" w:rsidTr="1756A420">
        <w:tc>
          <w:tcPr>
            <w:tcW w:w="4074" w:type="dxa"/>
          </w:tcPr>
          <w:p w14:paraId="42EAED62" w14:textId="2E1F0563"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129.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As EFPC devem realizar as adaptações obrigatórias nos regulamentos dos planos de benefícios administrados, em razão das disposições da Resolução CNPC nº 50, de 16 de fevereiro de 2022, até o dia 31 de dezembro de </w:t>
            </w:r>
            <w:r w:rsidRPr="00D462F0">
              <w:rPr>
                <w:rFonts w:asciiTheme="majorHAnsi" w:hAnsiTheme="majorHAnsi" w:cstheme="majorHAnsi"/>
                <w:bCs/>
                <w:sz w:val="24"/>
                <w:szCs w:val="24"/>
              </w:rPr>
              <w:t>2025</w:t>
            </w:r>
            <w:r w:rsidRPr="00D462F0">
              <w:rPr>
                <w:rFonts w:asciiTheme="majorHAnsi" w:hAnsiTheme="majorHAnsi" w:cstheme="majorHAnsi"/>
                <w:sz w:val="24"/>
                <w:szCs w:val="24"/>
              </w:rPr>
              <w:t>, observado o disposto no art. 17 da Lei Complementar nº 109, de 2001.</w:t>
            </w:r>
          </w:p>
        </w:tc>
        <w:tc>
          <w:tcPr>
            <w:tcW w:w="4074" w:type="dxa"/>
          </w:tcPr>
          <w:p w14:paraId="49A19AF3" w14:textId="6086582E"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129. </w:t>
            </w:r>
            <w:r w:rsidR="0091362C"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As EFPC devem realizar as adaptações obrigatórias nos regulamentos dos planos de benefícios administrados, em razão das disposições da Resolução CNPC nº 50, de 16 de fevereiro de 2022, até o dia 31 de dezembro de </w:t>
            </w:r>
            <w:r w:rsidR="00C905A7" w:rsidRPr="00D462F0">
              <w:rPr>
                <w:rFonts w:asciiTheme="majorHAnsi" w:hAnsiTheme="majorHAnsi" w:cstheme="majorHAnsi"/>
                <w:bCs/>
                <w:strike/>
                <w:color w:val="EE0000"/>
                <w:sz w:val="24"/>
                <w:szCs w:val="24"/>
              </w:rPr>
              <w:t>2025</w:t>
            </w:r>
            <w:r w:rsidR="00C905A7"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2026</w:t>
            </w:r>
            <w:r w:rsidRPr="00D462F0">
              <w:rPr>
                <w:rFonts w:asciiTheme="majorHAnsi" w:hAnsiTheme="majorHAnsi" w:cstheme="majorHAnsi"/>
                <w:bCs/>
                <w:sz w:val="24"/>
                <w:szCs w:val="24"/>
              </w:rPr>
              <w:t>, observado o disposto no art. 17 da Lei Complementar nº 109, de 2001.</w:t>
            </w:r>
          </w:p>
        </w:tc>
        <w:tc>
          <w:tcPr>
            <w:tcW w:w="4074" w:type="dxa"/>
          </w:tcPr>
          <w:p w14:paraId="0CE24627"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Considerando que está tramitando no CNPC nova alteração à Resolução CNPC nº 50, de 2022, prorroga-se o prazo para as EFPC ajustarem os seus Regulamentos até 31 de dezembro de 2026.</w:t>
            </w:r>
          </w:p>
          <w:p w14:paraId="57C227A7" w14:textId="405B6298" w:rsidR="00A26CD8" w:rsidRPr="00D462F0" w:rsidRDefault="00A26CD8" w:rsidP="00D462F0">
            <w:pPr>
              <w:jc w:val="both"/>
              <w:rPr>
                <w:rFonts w:asciiTheme="majorHAnsi" w:hAnsiTheme="majorHAnsi" w:cstheme="majorHAnsi"/>
                <w:sz w:val="24"/>
                <w:szCs w:val="24"/>
              </w:rPr>
            </w:pPr>
          </w:p>
        </w:tc>
        <w:tc>
          <w:tcPr>
            <w:tcW w:w="4075" w:type="dxa"/>
          </w:tcPr>
          <w:p w14:paraId="2426E6CD" w14:textId="7205640C"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VII.</w:t>
            </w:r>
          </w:p>
          <w:p w14:paraId="03710F9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em questão tem intuito de reduzir exigências à medida que amplia o prazo para as entidades levando em consideração o andamento da tramitação no CNPC nova alteração à Resolução CNPC nº 50, de 2022, para atualização do seu regulamento. Nesse sentido, tal alteração reduz exigência à medida que amplia o prazo para ajuste dos regulamentos das EFPC até dezembro de 2026. </w:t>
            </w:r>
          </w:p>
          <w:p w14:paraId="23706B93"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Por isso, o artigo em questão se enquadra em uma dispensa de AIR </w:t>
            </w:r>
          </w:p>
          <w:p w14:paraId="4E782788" w14:textId="2ADBBE12"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“ato normativo que reduza exigências, obrigações, restrições, requerimentos ou especificações com o objetivo de diminuir os custos regulatórios”, conforme consta do art. 4º, inciso VII do Decreto nº 10.411, de 2020.</w:t>
            </w:r>
          </w:p>
        </w:tc>
      </w:tr>
      <w:tr w:rsidR="00524962" w:rsidRPr="00C93770" w14:paraId="0731E496" w14:textId="77777777" w:rsidTr="1756A420">
        <w:tc>
          <w:tcPr>
            <w:tcW w:w="4074" w:type="dxa"/>
          </w:tcPr>
          <w:p w14:paraId="5C9CADFA" w14:textId="14D262CB"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1CB44DD" w14:textId="4AB49A66"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E1D7B1E" w14:textId="77777777" w:rsidR="00524962" w:rsidRPr="00D462F0" w:rsidRDefault="00524962" w:rsidP="00D462F0">
            <w:pPr>
              <w:jc w:val="both"/>
              <w:rPr>
                <w:rFonts w:asciiTheme="majorHAnsi" w:hAnsiTheme="majorHAnsi" w:cstheme="majorHAnsi"/>
                <w:sz w:val="24"/>
                <w:szCs w:val="24"/>
              </w:rPr>
            </w:pPr>
          </w:p>
        </w:tc>
        <w:tc>
          <w:tcPr>
            <w:tcW w:w="4075" w:type="dxa"/>
          </w:tcPr>
          <w:p w14:paraId="7C092DE0" w14:textId="77777777" w:rsidR="00524962" w:rsidRPr="00D462F0" w:rsidRDefault="00524962" w:rsidP="00D462F0">
            <w:pPr>
              <w:jc w:val="both"/>
              <w:rPr>
                <w:rFonts w:asciiTheme="majorHAnsi" w:hAnsiTheme="majorHAnsi" w:cstheme="majorHAnsi"/>
                <w:bCs/>
                <w:sz w:val="24"/>
                <w:szCs w:val="24"/>
              </w:rPr>
            </w:pPr>
          </w:p>
        </w:tc>
      </w:tr>
      <w:tr w:rsidR="00524962" w:rsidRPr="00C93770" w14:paraId="32A94FEC" w14:textId="77777777" w:rsidTr="1756A420">
        <w:tc>
          <w:tcPr>
            <w:tcW w:w="4074" w:type="dxa"/>
          </w:tcPr>
          <w:p w14:paraId="02EEB262" w14:textId="77777777" w:rsidR="00524962" w:rsidRPr="00D462F0" w:rsidRDefault="00524962"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VII</w:t>
            </w:r>
          </w:p>
          <w:p w14:paraId="2E3A159A" w14:textId="2A788C20"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b/>
                <w:sz w:val="24"/>
                <w:szCs w:val="24"/>
              </w:rPr>
              <w:t>Retirada de Patrocínio</w:t>
            </w:r>
          </w:p>
        </w:tc>
        <w:tc>
          <w:tcPr>
            <w:tcW w:w="4074" w:type="dxa"/>
          </w:tcPr>
          <w:p w14:paraId="787CC896" w14:textId="77777777" w:rsidR="00524962" w:rsidRPr="00D462F0" w:rsidRDefault="00524962"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VII</w:t>
            </w:r>
          </w:p>
          <w:p w14:paraId="055B83D9" w14:textId="66281E0C"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
                <w:sz w:val="24"/>
                <w:szCs w:val="24"/>
              </w:rPr>
              <w:t>Retirada de Patrocínio</w:t>
            </w:r>
          </w:p>
        </w:tc>
        <w:tc>
          <w:tcPr>
            <w:tcW w:w="4074" w:type="dxa"/>
          </w:tcPr>
          <w:p w14:paraId="22DDD993" w14:textId="77777777" w:rsidR="00524962" w:rsidRPr="00D462F0" w:rsidRDefault="00524962" w:rsidP="00D462F0">
            <w:pPr>
              <w:jc w:val="both"/>
              <w:rPr>
                <w:rFonts w:asciiTheme="majorHAnsi" w:hAnsiTheme="majorHAnsi" w:cstheme="majorHAnsi"/>
                <w:sz w:val="24"/>
                <w:szCs w:val="24"/>
              </w:rPr>
            </w:pPr>
          </w:p>
        </w:tc>
        <w:tc>
          <w:tcPr>
            <w:tcW w:w="4075" w:type="dxa"/>
          </w:tcPr>
          <w:p w14:paraId="33F0A9A8" w14:textId="77777777" w:rsidR="00524962" w:rsidRPr="00D462F0" w:rsidRDefault="00524962" w:rsidP="00D462F0">
            <w:pPr>
              <w:jc w:val="both"/>
              <w:rPr>
                <w:rFonts w:asciiTheme="majorHAnsi" w:hAnsiTheme="majorHAnsi" w:cstheme="majorHAnsi"/>
                <w:bCs/>
                <w:sz w:val="24"/>
                <w:szCs w:val="24"/>
              </w:rPr>
            </w:pPr>
          </w:p>
        </w:tc>
      </w:tr>
      <w:tr w:rsidR="00524962" w:rsidRPr="00C93770" w14:paraId="4158BB57" w14:textId="77777777" w:rsidTr="1756A420">
        <w:tc>
          <w:tcPr>
            <w:tcW w:w="4074" w:type="dxa"/>
          </w:tcPr>
          <w:p w14:paraId="651F9ECD" w14:textId="38676E3F"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91C1829" w14:textId="498C813A"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15D78FC6" w14:textId="77777777" w:rsidR="00524962" w:rsidRPr="00D462F0" w:rsidRDefault="00524962" w:rsidP="00D462F0">
            <w:pPr>
              <w:jc w:val="both"/>
              <w:rPr>
                <w:rFonts w:asciiTheme="majorHAnsi" w:hAnsiTheme="majorHAnsi" w:cstheme="majorHAnsi"/>
                <w:sz w:val="24"/>
                <w:szCs w:val="24"/>
              </w:rPr>
            </w:pPr>
          </w:p>
        </w:tc>
        <w:tc>
          <w:tcPr>
            <w:tcW w:w="4075" w:type="dxa"/>
          </w:tcPr>
          <w:p w14:paraId="09B35F39" w14:textId="77777777" w:rsidR="00524962" w:rsidRPr="00D462F0" w:rsidRDefault="00524962" w:rsidP="00D462F0">
            <w:pPr>
              <w:jc w:val="both"/>
              <w:rPr>
                <w:rFonts w:asciiTheme="majorHAnsi" w:hAnsiTheme="majorHAnsi" w:cstheme="majorHAnsi"/>
                <w:bCs/>
                <w:sz w:val="24"/>
                <w:szCs w:val="24"/>
              </w:rPr>
            </w:pPr>
          </w:p>
        </w:tc>
      </w:tr>
      <w:tr w:rsidR="00A26CD8" w:rsidRPr="00C93770" w14:paraId="52101E60" w14:textId="77777777" w:rsidTr="1756A420">
        <w:tc>
          <w:tcPr>
            <w:tcW w:w="4074" w:type="dxa"/>
          </w:tcPr>
          <w:p w14:paraId="450CD1E9" w14:textId="16400F89"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135.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Para os fins desta </w:t>
            </w:r>
            <w:r w:rsidRPr="00D462F0">
              <w:rPr>
                <w:rFonts w:asciiTheme="majorHAnsi" w:hAnsiTheme="majorHAnsi" w:cstheme="majorHAnsi"/>
                <w:bCs/>
                <w:sz w:val="24"/>
                <w:szCs w:val="24"/>
              </w:rPr>
              <w:t>Seção</w:t>
            </w:r>
            <w:r w:rsidRPr="00D462F0">
              <w:rPr>
                <w:rFonts w:asciiTheme="majorHAnsi" w:hAnsiTheme="majorHAnsi" w:cstheme="majorHAnsi"/>
                <w:sz w:val="24"/>
                <w:szCs w:val="24"/>
              </w:rPr>
              <w:t>, considera-se as seguintes definições: (Redação dada pela Resolução Previc nº 25, de 15 de outubro de 2024)</w:t>
            </w:r>
          </w:p>
        </w:tc>
        <w:tc>
          <w:tcPr>
            <w:tcW w:w="4074" w:type="dxa"/>
          </w:tcPr>
          <w:p w14:paraId="17DDB5AF" w14:textId="2CBC7298"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135. </w:t>
            </w:r>
            <w:r w:rsidR="0091362C"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Para os fins desta </w:t>
            </w:r>
            <w:r w:rsidR="00C905A7" w:rsidRPr="00D462F0">
              <w:rPr>
                <w:rFonts w:asciiTheme="majorHAnsi" w:hAnsiTheme="majorHAnsi" w:cstheme="majorHAnsi"/>
                <w:bCs/>
                <w:strike/>
                <w:color w:val="EE0000"/>
                <w:sz w:val="24"/>
                <w:szCs w:val="24"/>
              </w:rPr>
              <w:t>Seção</w:t>
            </w:r>
            <w:r w:rsidR="00C905A7"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Subseção</w:t>
            </w:r>
            <w:r w:rsidRPr="00D462F0">
              <w:rPr>
                <w:rFonts w:asciiTheme="majorHAnsi" w:hAnsiTheme="majorHAnsi" w:cstheme="majorHAnsi"/>
                <w:bCs/>
                <w:sz w:val="24"/>
                <w:szCs w:val="24"/>
              </w:rPr>
              <w:t xml:space="preserve">, considera-se as seguintes definições: </w:t>
            </w:r>
          </w:p>
        </w:tc>
        <w:tc>
          <w:tcPr>
            <w:tcW w:w="4074" w:type="dxa"/>
          </w:tcPr>
          <w:p w14:paraId="08B11393"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remissão da Subseção</w:t>
            </w:r>
          </w:p>
          <w:p w14:paraId="2F8FAC7A" w14:textId="3C7C540C" w:rsidR="00A26CD8" w:rsidRPr="00D462F0" w:rsidRDefault="00A26CD8" w:rsidP="00D462F0">
            <w:pPr>
              <w:jc w:val="both"/>
              <w:rPr>
                <w:rFonts w:asciiTheme="majorHAnsi" w:hAnsiTheme="majorHAnsi" w:cstheme="majorHAnsi"/>
                <w:sz w:val="24"/>
                <w:szCs w:val="24"/>
              </w:rPr>
            </w:pPr>
          </w:p>
        </w:tc>
        <w:tc>
          <w:tcPr>
            <w:tcW w:w="4075" w:type="dxa"/>
          </w:tcPr>
          <w:p w14:paraId="29F89E84"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54D90D5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atualização de artigo em razão de uso de termo inadequado, apenas no sentido de obter maior clareza e sem alteração de mérito.</w:t>
            </w:r>
          </w:p>
          <w:p w14:paraId="35D89D1C" w14:textId="700410FB"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a alteração do artigo em questão dispensa-se a realização de AIR </w:t>
            </w:r>
            <w:r w:rsidRPr="00D462F0">
              <w:rPr>
                <w:rFonts w:asciiTheme="majorHAnsi" w:hAnsiTheme="majorHAnsi" w:cstheme="majorHAnsi"/>
                <w:bCs/>
                <w:sz w:val="24"/>
                <w:szCs w:val="24"/>
              </w:rPr>
              <w:lastRenderedPageBreak/>
              <w:t>por se tratar de artigo que visa “(...) a atualização ou à revogação de normas consideradas obsoletas, sem alteração de mérito”, conforme disposto no inciso IV, do art. 4º do Decreto nº 10.411, de 2020.</w:t>
            </w:r>
          </w:p>
        </w:tc>
      </w:tr>
      <w:tr w:rsidR="00A26CD8" w:rsidRPr="00C93770" w14:paraId="5320C0BA" w14:textId="77777777" w:rsidTr="1756A420">
        <w:tc>
          <w:tcPr>
            <w:tcW w:w="4074" w:type="dxa"/>
          </w:tcPr>
          <w:p w14:paraId="0C966DFA" w14:textId="65C5C13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Art. 136.  A EFPC deve, no prazo de até dez dias úteis, contados da data da notificação do patrocinador: </w:t>
            </w:r>
          </w:p>
        </w:tc>
        <w:tc>
          <w:tcPr>
            <w:tcW w:w="4074" w:type="dxa"/>
          </w:tcPr>
          <w:p w14:paraId="49D794A8" w14:textId="634D2C18"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136.  </w:t>
            </w:r>
            <w:r w:rsidR="0091362C" w:rsidRPr="00D462F0">
              <w:rPr>
                <w:rFonts w:asciiTheme="majorHAnsi" w:hAnsiTheme="majorHAnsi" w:cstheme="majorHAnsi"/>
                <w:bCs/>
                <w:sz w:val="24"/>
                <w:szCs w:val="24"/>
              </w:rPr>
              <w:t>...</w:t>
            </w:r>
          </w:p>
          <w:p w14:paraId="0205DA14" w14:textId="31A3E4C3" w:rsidR="00A26CD8" w:rsidRPr="00D462F0" w:rsidRDefault="00A26CD8" w:rsidP="00D462F0">
            <w:pPr>
              <w:jc w:val="both"/>
              <w:rPr>
                <w:rFonts w:asciiTheme="majorHAnsi" w:hAnsiTheme="majorHAnsi" w:cstheme="majorHAnsi"/>
                <w:bCs/>
                <w:sz w:val="24"/>
                <w:szCs w:val="24"/>
              </w:rPr>
            </w:pPr>
          </w:p>
        </w:tc>
        <w:tc>
          <w:tcPr>
            <w:tcW w:w="4074" w:type="dxa"/>
          </w:tcPr>
          <w:p w14:paraId="358BE4F8" w14:textId="667485A4" w:rsidR="00A26CD8" w:rsidRPr="00D462F0" w:rsidRDefault="0091362C"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2DBBE4F" w14:textId="77777777" w:rsidR="00A26CD8" w:rsidRPr="00D462F0" w:rsidRDefault="00A26CD8" w:rsidP="00D462F0">
            <w:pPr>
              <w:jc w:val="both"/>
              <w:rPr>
                <w:rFonts w:asciiTheme="majorHAnsi" w:hAnsiTheme="majorHAnsi" w:cstheme="majorHAnsi"/>
                <w:bCs/>
                <w:sz w:val="24"/>
                <w:szCs w:val="24"/>
              </w:rPr>
            </w:pPr>
          </w:p>
        </w:tc>
      </w:tr>
      <w:tr w:rsidR="00524962" w:rsidRPr="00C93770" w14:paraId="636DD02E" w14:textId="77777777" w:rsidTr="1756A420">
        <w:tc>
          <w:tcPr>
            <w:tcW w:w="4074" w:type="dxa"/>
          </w:tcPr>
          <w:p w14:paraId="076630BB" w14:textId="659AEB2A"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76681CAB" w14:textId="2F02A56F"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1320C8CE" w14:textId="77777777" w:rsidR="00524962" w:rsidRPr="00D462F0" w:rsidRDefault="00524962" w:rsidP="00D462F0">
            <w:pPr>
              <w:jc w:val="both"/>
              <w:rPr>
                <w:rFonts w:asciiTheme="majorHAnsi" w:hAnsiTheme="majorHAnsi" w:cstheme="majorHAnsi"/>
                <w:sz w:val="24"/>
                <w:szCs w:val="24"/>
              </w:rPr>
            </w:pPr>
          </w:p>
        </w:tc>
        <w:tc>
          <w:tcPr>
            <w:tcW w:w="4075" w:type="dxa"/>
          </w:tcPr>
          <w:p w14:paraId="6BC443E6" w14:textId="77777777" w:rsidR="00524962" w:rsidRPr="00D462F0" w:rsidRDefault="00524962" w:rsidP="00D462F0">
            <w:pPr>
              <w:jc w:val="both"/>
              <w:rPr>
                <w:rFonts w:asciiTheme="majorHAnsi" w:hAnsiTheme="majorHAnsi" w:cstheme="majorHAnsi"/>
                <w:bCs/>
                <w:sz w:val="24"/>
                <w:szCs w:val="24"/>
              </w:rPr>
            </w:pPr>
          </w:p>
        </w:tc>
      </w:tr>
      <w:tr w:rsidR="00A26CD8" w:rsidRPr="00C93770" w14:paraId="480B3997" w14:textId="77777777" w:rsidTr="1756A420">
        <w:tc>
          <w:tcPr>
            <w:tcW w:w="4074" w:type="dxa"/>
          </w:tcPr>
          <w:p w14:paraId="1C5805A4" w14:textId="2B86B3B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§2</w:t>
            </w:r>
            <w:proofErr w:type="gramStart"/>
            <w:r w:rsidRPr="00D462F0">
              <w:rPr>
                <w:rFonts w:asciiTheme="majorHAnsi" w:hAnsiTheme="majorHAnsi" w:cstheme="majorHAnsi"/>
                <w:sz w:val="24"/>
                <w:szCs w:val="24"/>
              </w:rPr>
              <w:t>º  A</w:t>
            </w:r>
            <w:proofErr w:type="gramEnd"/>
            <w:r w:rsidRPr="00D462F0">
              <w:rPr>
                <w:rFonts w:asciiTheme="majorHAnsi" w:hAnsiTheme="majorHAnsi" w:cstheme="majorHAns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w:t>
            </w:r>
            <w:proofErr w:type="spellStart"/>
            <w:r w:rsidRPr="00D462F0">
              <w:rPr>
                <w:rFonts w:asciiTheme="majorHAnsi" w:hAnsiTheme="majorHAnsi" w:cstheme="majorHAnsi"/>
                <w:bCs/>
                <w:sz w:val="24"/>
                <w:szCs w:val="24"/>
              </w:rPr>
              <w:t>ex-participantes</w:t>
            </w:r>
            <w:proofErr w:type="spellEnd"/>
            <w:r w:rsidRPr="00D462F0">
              <w:rPr>
                <w:rFonts w:asciiTheme="majorHAnsi" w:hAnsiTheme="majorHAnsi" w:cstheme="majorHAnsi"/>
                <w:sz w:val="24"/>
                <w:szCs w:val="24"/>
              </w:rPr>
              <w:t xml:space="preserve"> com recursos financeiros no plano de benefícios, em, no máximo, trinta dias, contados da data da notificação.</w:t>
            </w:r>
          </w:p>
        </w:tc>
        <w:tc>
          <w:tcPr>
            <w:tcW w:w="4074" w:type="dxa"/>
          </w:tcPr>
          <w:p w14:paraId="77DD2025" w14:textId="19850103"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§2</w:t>
            </w:r>
            <w:proofErr w:type="gramStart"/>
            <w:r w:rsidRPr="00D462F0">
              <w:rPr>
                <w:rFonts w:asciiTheme="majorHAnsi" w:hAnsiTheme="majorHAnsi" w:cstheme="majorHAnsi"/>
                <w:bCs/>
                <w:sz w:val="24"/>
                <w:szCs w:val="24"/>
              </w:rPr>
              <w:t>º  A</w:t>
            </w:r>
            <w:proofErr w:type="gramEnd"/>
            <w:r w:rsidRPr="00D462F0">
              <w:rPr>
                <w:rFonts w:asciiTheme="majorHAnsi" w:hAnsiTheme="majorHAnsi" w:cstheme="majorHAnsi"/>
                <w:bCs/>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w:t>
            </w:r>
            <w:r w:rsidR="00C905A7" w:rsidRPr="00D462F0">
              <w:rPr>
                <w:rFonts w:asciiTheme="majorHAnsi" w:hAnsiTheme="majorHAnsi" w:cstheme="majorHAnsi"/>
                <w:bCs/>
                <w:color w:val="0000FF"/>
                <w:sz w:val="24"/>
                <w:szCs w:val="24"/>
              </w:rPr>
              <w:t xml:space="preserve"> </w:t>
            </w:r>
            <w:proofErr w:type="spellStart"/>
            <w:proofErr w:type="gramStart"/>
            <w:r w:rsidR="00C905A7" w:rsidRPr="00D462F0">
              <w:rPr>
                <w:rFonts w:asciiTheme="majorHAnsi" w:hAnsiTheme="majorHAnsi" w:cstheme="majorHAnsi"/>
                <w:bCs/>
                <w:strike/>
                <w:color w:val="EE0000"/>
                <w:sz w:val="24"/>
                <w:szCs w:val="24"/>
              </w:rPr>
              <w:t>ex-participantes</w:t>
            </w:r>
            <w:proofErr w:type="spellEnd"/>
            <w:proofErr w:type="gramEnd"/>
            <w:r w:rsidRPr="00D462F0">
              <w:rPr>
                <w:rFonts w:asciiTheme="majorHAnsi" w:hAnsiTheme="majorHAnsi" w:cstheme="majorHAnsi"/>
                <w:bCs/>
                <w:strike/>
                <w:color w:val="EE0000"/>
                <w:sz w:val="24"/>
                <w:szCs w:val="24"/>
              </w:rPr>
              <w:t xml:space="preserve"> </w:t>
            </w:r>
            <w:r w:rsidRPr="00D462F0">
              <w:rPr>
                <w:rFonts w:asciiTheme="majorHAnsi" w:hAnsiTheme="majorHAnsi" w:cstheme="majorHAnsi"/>
                <w:bCs/>
                <w:color w:val="0000FF"/>
                <w:sz w:val="24"/>
                <w:szCs w:val="24"/>
              </w:rPr>
              <w:t xml:space="preserve">participantes cancelados </w:t>
            </w:r>
            <w:r w:rsidRPr="00D462F0">
              <w:rPr>
                <w:rFonts w:asciiTheme="majorHAnsi" w:hAnsiTheme="majorHAnsi" w:cstheme="majorHAnsi"/>
                <w:bCs/>
                <w:sz w:val="24"/>
                <w:szCs w:val="24"/>
              </w:rPr>
              <w:t>com recursos financeiros no plano de benefícios, em, no máximo, trinta dias, contados da data da notificação.</w:t>
            </w:r>
          </w:p>
        </w:tc>
        <w:tc>
          <w:tcPr>
            <w:tcW w:w="4074" w:type="dxa"/>
          </w:tcPr>
          <w:p w14:paraId="556DE894"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Ajuste no termo técnico para definição clara dos participantes que tiveram seus planos cancelados, mas ainda possuam recursos a serem tratados.</w:t>
            </w:r>
          </w:p>
          <w:p w14:paraId="792714CA" w14:textId="3D648C7A" w:rsidR="00A26CD8" w:rsidRPr="00D462F0" w:rsidRDefault="00A26CD8" w:rsidP="00D462F0">
            <w:pPr>
              <w:jc w:val="both"/>
              <w:rPr>
                <w:rFonts w:asciiTheme="majorHAnsi" w:hAnsiTheme="majorHAnsi" w:cstheme="majorHAnsi"/>
                <w:sz w:val="24"/>
                <w:szCs w:val="24"/>
              </w:rPr>
            </w:pPr>
          </w:p>
        </w:tc>
        <w:tc>
          <w:tcPr>
            <w:tcW w:w="4075" w:type="dxa"/>
          </w:tcPr>
          <w:p w14:paraId="4B9D4ED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6CE63EF5"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atualização de artigo em razão de uso de termo inadequado, apenas no sentido de obter maior clareza e sem alteração de mérito.</w:t>
            </w:r>
          </w:p>
          <w:p w14:paraId="580A2753"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a alteração do artigo em questão dispensa-se a realização de AIR por se tratar de artigo que visa “(...) a atualização ou à revogação de normas consideradas obsoletas, sem alteração de mérito”, conforme disposto no inciso IV, do art. 4º do Decreto nº 10.411, de 2020.</w:t>
            </w:r>
          </w:p>
          <w:p w14:paraId="6B557235" w14:textId="77777777" w:rsidR="00A26CD8" w:rsidRPr="00D462F0" w:rsidRDefault="00A26CD8" w:rsidP="00D462F0">
            <w:pPr>
              <w:jc w:val="both"/>
              <w:rPr>
                <w:rFonts w:asciiTheme="majorHAnsi" w:hAnsiTheme="majorHAnsi" w:cstheme="majorHAnsi"/>
                <w:bCs/>
                <w:sz w:val="24"/>
                <w:szCs w:val="24"/>
              </w:rPr>
            </w:pPr>
          </w:p>
        </w:tc>
      </w:tr>
      <w:tr w:rsidR="00524962" w:rsidRPr="00C93770" w14:paraId="147702D0" w14:textId="77777777" w:rsidTr="1756A420">
        <w:tc>
          <w:tcPr>
            <w:tcW w:w="4074" w:type="dxa"/>
          </w:tcPr>
          <w:p w14:paraId="3912A034" w14:textId="2C48CC2A" w:rsidR="00524962" w:rsidRPr="00D462F0" w:rsidRDefault="00524962"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1A98C196" w14:textId="6B4C1600" w:rsidR="00524962" w:rsidRPr="00D462F0" w:rsidRDefault="00524962"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1475109" w14:textId="77777777" w:rsidR="00524962" w:rsidRPr="00D462F0" w:rsidRDefault="00524962" w:rsidP="00D462F0">
            <w:pPr>
              <w:jc w:val="both"/>
              <w:rPr>
                <w:rFonts w:asciiTheme="majorHAnsi" w:hAnsiTheme="majorHAnsi" w:cstheme="majorHAnsi"/>
                <w:sz w:val="24"/>
                <w:szCs w:val="24"/>
              </w:rPr>
            </w:pPr>
          </w:p>
        </w:tc>
        <w:tc>
          <w:tcPr>
            <w:tcW w:w="4075" w:type="dxa"/>
          </w:tcPr>
          <w:p w14:paraId="57FCB34A" w14:textId="77777777" w:rsidR="00524962" w:rsidRPr="00D462F0" w:rsidRDefault="00524962" w:rsidP="00D462F0">
            <w:pPr>
              <w:jc w:val="both"/>
              <w:rPr>
                <w:rFonts w:asciiTheme="majorHAnsi" w:hAnsiTheme="majorHAnsi" w:cstheme="majorHAnsi"/>
                <w:bCs/>
                <w:sz w:val="24"/>
                <w:szCs w:val="24"/>
              </w:rPr>
            </w:pPr>
          </w:p>
        </w:tc>
      </w:tr>
      <w:tr w:rsidR="00A26CD8" w:rsidRPr="00C93770" w14:paraId="23263692" w14:textId="77777777" w:rsidTr="1756A420">
        <w:tc>
          <w:tcPr>
            <w:tcW w:w="4074" w:type="dxa"/>
          </w:tcPr>
          <w:p w14:paraId="0AA64817" w14:textId="00514348"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142. </w:t>
            </w:r>
            <w:r w:rsidR="0091362C"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A EFPC deve encaminhar a documentação comprobatória da finalização da retirada de patrocínio em até noventa dias contados da data de conclusão da </w:t>
            </w:r>
            <w:r w:rsidRPr="00D462F0">
              <w:rPr>
                <w:rFonts w:asciiTheme="majorHAnsi" w:hAnsiTheme="majorHAnsi" w:cstheme="majorHAnsi"/>
                <w:bCs/>
                <w:sz w:val="24"/>
                <w:szCs w:val="24"/>
              </w:rPr>
              <w:t>retirada</w:t>
            </w:r>
            <w:r w:rsidRPr="00D462F0">
              <w:rPr>
                <w:rFonts w:asciiTheme="majorHAnsi" w:hAnsiTheme="majorHAnsi" w:cstheme="majorHAnsi"/>
                <w:sz w:val="24"/>
                <w:szCs w:val="24"/>
              </w:rPr>
              <w:t xml:space="preserve">. </w:t>
            </w:r>
          </w:p>
        </w:tc>
        <w:tc>
          <w:tcPr>
            <w:tcW w:w="4074" w:type="dxa"/>
          </w:tcPr>
          <w:p w14:paraId="282858D9" w14:textId="488ED395"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142. </w:t>
            </w:r>
            <w:r w:rsidR="0091362C"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A EFPC deve encaminhar a documentação comprobatória da finalização da retirada de patrocínio </w:t>
            </w:r>
            <w:r w:rsidRPr="00D462F0">
              <w:rPr>
                <w:rFonts w:asciiTheme="majorHAnsi" w:hAnsiTheme="majorHAnsi" w:cstheme="majorHAnsi"/>
                <w:bCs/>
                <w:color w:val="0000FF"/>
                <w:sz w:val="24"/>
                <w:szCs w:val="24"/>
              </w:rPr>
              <w:t>ou da rescisão de convênio de adesão por iniciativa da EFPC</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 xml:space="preserve">em até noventa dias contados da data de conclusão da </w:t>
            </w:r>
            <w:r w:rsidR="00C905A7" w:rsidRPr="00D462F0">
              <w:rPr>
                <w:rFonts w:asciiTheme="majorHAnsi" w:hAnsiTheme="majorHAnsi" w:cstheme="majorHAnsi"/>
                <w:bCs/>
                <w:strike/>
                <w:color w:val="EE0000"/>
                <w:sz w:val="24"/>
                <w:szCs w:val="24"/>
              </w:rPr>
              <w:t>retirada</w:t>
            </w:r>
            <w:r w:rsidR="00C905A7"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operação.</w:t>
            </w:r>
            <w:r w:rsidRPr="00D462F0">
              <w:rPr>
                <w:rFonts w:asciiTheme="majorHAnsi" w:hAnsiTheme="majorHAnsi" w:cstheme="majorHAnsi"/>
                <w:bCs/>
                <w:sz w:val="24"/>
                <w:szCs w:val="24"/>
              </w:rPr>
              <w:t xml:space="preserve"> </w:t>
            </w:r>
          </w:p>
        </w:tc>
        <w:tc>
          <w:tcPr>
            <w:tcW w:w="4074" w:type="dxa"/>
          </w:tcPr>
          <w:p w14:paraId="56CEFDE7"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Ajuste no dispositivo busca garantir maior clareza e conformidade legal nos processos de licenciamento da retirada de patrocínio e rescisão de convênio de adesão por iniciativa da EFPC, em conformidade com o que dispõe o art. 150 da Resolução Previc nº 23, de 2023.</w:t>
            </w:r>
          </w:p>
          <w:p w14:paraId="2EE5430B" w14:textId="77777777" w:rsidR="00A26CD8" w:rsidRPr="00D462F0" w:rsidRDefault="00A26CD8" w:rsidP="00D462F0">
            <w:pPr>
              <w:jc w:val="both"/>
              <w:rPr>
                <w:rFonts w:asciiTheme="majorHAnsi" w:hAnsiTheme="majorHAnsi" w:cstheme="majorHAnsi"/>
                <w:sz w:val="24"/>
                <w:szCs w:val="24"/>
              </w:rPr>
            </w:pPr>
          </w:p>
        </w:tc>
        <w:tc>
          <w:tcPr>
            <w:tcW w:w="4075" w:type="dxa"/>
          </w:tcPr>
          <w:p w14:paraId="19216F2E" w14:textId="1E008229"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32B2F28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referido artigo visa garantir maior clareza e conformidade legal nos processos de licenciamento da retirada de patrocínio e rescisão de convênio de adesão por iniciativa da EFPC, em conformidade com o que dispõe o art. 150 da Resolução Previc nº 23, de 2023.  </w:t>
            </w:r>
          </w:p>
          <w:p w14:paraId="160F23CE"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w:t>
            </w:r>
            <w:r w:rsidRPr="00D462F0">
              <w:rPr>
                <w:rFonts w:asciiTheme="majorHAnsi" w:hAnsiTheme="majorHAnsi" w:cstheme="majorHAnsi"/>
                <w:bCs/>
                <w:sz w:val="24"/>
                <w:szCs w:val="24"/>
              </w:rPr>
              <w:lastRenderedPageBreak/>
              <w:t xml:space="preserve">o sistema. Conceitualmente higidez é a condição de uma entidade que demonstra equilíbrio atuarial, sustentabilidade de longo prazo e conformidade regulatória. Nesse sentido, trata-se de componente da higidez a conformidade regulatória tendo como pilar a observância das normas da Previc e do CNPC. </w:t>
            </w:r>
          </w:p>
          <w:p w14:paraId="2C49B80B" w14:textId="5DDD5E11"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327569" w:rsidRPr="00C93770" w14:paraId="5174CE2A" w14:textId="77777777" w:rsidTr="009C0A86">
        <w:tc>
          <w:tcPr>
            <w:tcW w:w="4074" w:type="dxa"/>
          </w:tcPr>
          <w:p w14:paraId="0D1A9177" w14:textId="37AB408A" w:rsidR="00327569" w:rsidRPr="009C0A86" w:rsidRDefault="00327569" w:rsidP="009C0A86">
            <w:pPr>
              <w:rPr>
                <w:rFonts w:asciiTheme="majorHAnsi" w:hAnsiTheme="majorHAnsi" w:cstheme="majorHAnsi"/>
                <w:bCs/>
                <w:sz w:val="24"/>
                <w:szCs w:val="24"/>
              </w:rPr>
            </w:pPr>
            <w:r w:rsidRPr="009C0A86">
              <w:rPr>
                <w:rFonts w:asciiTheme="majorHAnsi" w:hAnsiTheme="majorHAnsi" w:cstheme="majorHAnsi"/>
                <w:bCs/>
                <w:sz w:val="24"/>
                <w:szCs w:val="24"/>
              </w:rPr>
              <w:lastRenderedPageBreak/>
              <w:t>Sem referência anterior.</w:t>
            </w:r>
          </w:p>
        </w:tc>
        <w:tc>
          <w:tcPr>
            <w:tcW w:w="4074" w:type="dxa"/>
          </w:tcPr>
          <w:p w14:paraId="4F4B46B7" w14:textId="6C95673A" w:rsidR="00A5659E" w:rsidRPr="00FB3502" w:rsidRDefault="00A5659E" w:rsidP="00FB3502">
            <w:pPr>
              <w:jc w:val="both"/>
              <w:rPr>
                <w:rFonts w:asciiTheme="majorHAnsi" w:hAnsiTheme="majorHAnsi" w:cstheme="majorHAnsi"/>
                <w:bCs/>
                <w:color w:val="0033CC"/>
                <w:sz w:val="24"/>
                <w:szCs w:val="24"/>
              </w:rPr>
            </w:pPr>
            <w:r w:rsidRPr="00887C1C">
              <w:rPr>
                <w:rFonts w:asciiTheme="majorHAnsi" w:hAnsiTheme="majorHAnsi" w:cstheme="majorHAnsi"/>
                <w:color w:val="0033CC"/>
                <w:sz w:val="24"/>
                <w:szCs w:val="24"/>
              </w:rPr>
              <w:t>Art. 150-D.</w:t>
            </w:r>
            <w:r w:rsidRPr="00FB3502">
              <w:rPr>
                <w:rFonts w:asciiTheme="majorHAnsi" w:hAnsiTheme="majorHAnsi" w:cstheme="majorHAnsi"/>
                <w:bCs/>
                <w:color w:val="0033CC"/>
                <w:sz w:val="24"/>
                <w:szCs w:val="24"/>
              </w:rPr>
              <w:t> </w:t>
            </w:r>
            <w:r w:rsidR="00887C1C">
              <w:rPr>
                <w:rFonts w:asciiTheme="majorHAnsi" w:hAnsiTheme="majorHAnsi" w:cstheme="majorHAnsi"/>
                <w:bCs/>
                <w:color w:val="0033CC"/>
                <w:sz w:val="24"/>
                <w:szCs w:val="24"/>
              </w:rPr>
              <w:t xml:space="preserve"> </w:t>
            </w:r>
            <w:r w:rsidRPr="00FB3502">
              <w:rPr>
                <w:rFonts w:asciiTheme="majorHAnsi" w:hAnsiTheme="majorHAnsi" w:cstheme="majorHAnsi"/>
                <w:bCs/>
                <w:color w:val="0033CC"/>
                <w:sz w:val="24"/>
                <w:szCs w:val="24"/>
              </w:rPr>
              <w:t>Para fins de cumprimento do disposto no art. 8º-A da Resolução CNPC nº 60, de 7 de fevereiro de 2024, com redação dada pela Resolução CNPC nº 63, de 8 de setembro de 2025, a EFPC deve manter os registros eletrônicos que comprovem a oferta dos planos de benefícios por ela administrados a todos os empregados, servidores e membros dos patrocinadores ou associados dos instituidores.</w:t>
            </w:r>
          </w:p>
        </w:tc>
        <w:tc>
          <w:tcPr>
            <w:tcW w:w="4074" w:type="dxa"/>
            <w:vAlign w:val="center"/>
          </w:tcPr>
          <w:p w14:paraId="15E4B512" w14:textId="7B0F66B1" w:rsidR="00327569" w:rsidRPr="00327569" w:rsidRDefault="00327569" w:rsidP="00FB3502">
            <w:pPr>
              <w:jc w:val="both"/>
              <w:rPr>
                <w:rFonts w:asciiTheme="majorHAnsi" w:hAnsiTheme="majorHAnsi" w:cstheme="majorHAnsi"/>
                <w:bCs/>
                <w:sz w:val="24"/>
                <w:szCs w:val="24"/>
              </w:rPr>
            </w:pPr>
            <w:r w:rsidRPr="009C0A86">
              <w:rPr>
                <w:rFonts w:asciiTheme="majorHAnsi" w:hAnsiTheme="majorHAnsi" w:cstheme="majorHAnsi"/>
                <w:bCs/>
                <w:sz w:val="24"/>
                <w:szCs w:val="24"/>
              </w:rPr>
              <w:t>A proposta visa regulamentar o cumprimento do art. 8º-A da Resolução CNPC nº 60</w:t>
            </w:r>
            <w:r>
              <w:rPr>
                <w:rFonts w:asciiTheme="majorHAnsi" w:hAnsiTheme="majorHAnsi" w:cstheme="majorHAnsi"/>
                <w:bCs/>
                <w:sz w:val="24"/>
                <w:szCs w:val="24"/>
              </w:rPr>
              <w:t xml:space="preserve">, de </w:t>
            </w:r>
            <w:r w:rsidRPr="009C0A86">
              <w:rPr>
                <w:rFonts w:asciiTheme="majorHAnsi" w:hAnsiTheme="majorHAnsi" w:cstheme="majorHAnsi"/>
                <w:bCs/>
                <w:sz w:val="24"/>
                <w:szCs w:val="24"/>
              </w:rPr>
              <w:t>2024, com a redação dada pela Resolução CNPC nº 63</w:t>
            </w:r>
            <w:r>
              <w:rPr>
                <w:rFonts w:asciiTheme="majorHAnsi" w:hAnsiTheme="majorHAnsi" w:cstheme="majorHAnsi"/>
                <w:bCs/>
                <w:sz w:val="24"/>
                <w:szCs w:val="24"/>
              </w:rPr>
              <w:t xml:space="preserve">, de </w:t>
            </w:r>
            <w:r w:rsidRPr="009C0A86">
              <w:rPr>
                <w:rFonts w:asciiTheme="majorHAnsi" w:hAnsiTheme="majorHAnsi" w:cstheme="majorHAnsi"/>
                <w:bCs/>
                <w:sz w:val="24"/>
                <w:szCs w:val="24"/>
              </w:rPr>
              <w:t>2025, no que tange à oferta obrigatória dos planos a todos os vínculos elegíveis nos patrocinadores ou instituidores.</w:t>
            </w:r>
            <w:r w:rsidRPr="009C0A86">
              <w:rPr>
                <w:rFonts w:asciiTheme="majorHAnsi" w:hAnsiTheme="majorHAnsi" w:cstheme="majorHAnsi"/>
                <w:bCs/>
                <w:sz w:val="24"/>
                <w:szCs w:val="24"/>
              </w:rPr>
              <w:br/>
              <w:t>A exigência de guarda eletrônica dos registros da oferta tem o objetivo de garantir a rastreabilidade e a efetiva comprovação do cumprimento do dever legal das EFPC de ofertarem os planos aos seus públicos-alvo, assegurando a transparência e a governança exigidas pela própria norma.</w:t>
            </w:r>
          </w:p>
        </w:tc>
        <w:tc>
          <w:tcPr>
            <w:tcW w:w="4075" w:type="dxa"/>
          </w:tcPr>
          <w:p w14:paraId="02033E2C" w14:textId="7EA4E369" w:rsidR="00327569" w:rsidRPr="00D462F0" w:rsidRDefault="00327569" w:rsidP="00FB3502">
            <w:pPr>
              <w:jc w:val="both"/>
              <w:rPr>
                <w:rFonts w:asciiTheme="majorHAnsi" w:hAnsiTheme="majorHAnsi" w:cstheme="majorHAnsi"/>
                <w:bCs/>
                <w:sz w:val="24"/>
                <w:szCs w:val="24"/>
              </w:rPr>
            </w:pPr>
            <w:r w:rsidRPr="009C0A86">
              <w:rPr>
                <w:rFonts w:asciiTheme="majorHAnsi" w:hAnsiTheme="majorHAnsi" w:cstheme="majorHAnsi"/>
                <w:bCs/>
                <w:sz w:val="24"/>
                <w:szCs w:val="24"/>
              </w:rPr>
              <w:t xml:space="preserve">Decreto nº 10.411, de 2020, art. 4º, inciso V, alínea a. </w:t>
            </w:r>
          </w:p>
        </w:tc>
      </w:tr>
      <w:tr w:rsidR="00524962" w:rsidRPr="00C93770" w14:paraId="7D0D1C56" w14:textId="77777777" w:rsidTr="1756A420">
        <w:tc>
          <w:tcPr>
            <w:tcW w:w="4074" w:type="dxa"/>
          </w:tcPr>
          <w:p w14:paraId="01AE90C8" w14:textId="4BDF220F" w:rsidR="00524962" w:rsidRPr="00D462F0" w:rsidRDefault="00524962"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0F4EEB9" w14:textId="0BE35677" w:rsidR="00524962" w:rsidRPr="00D462F0" w:rsidRDefault="00524962"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6F76ED2C" w14:textId="77777777" w:rsidR="00524962" w:rsidRPr="00D462F0" w:rsidRDefault="00524962" w:rsidP="00D462F0">
            <w:pPr>
              <w:jc w:val="both"/>
              <w:rPr>
                <w:rFonts w:asciiTheme="majorHAnsi" w:hAnsiTheme="majorHAnsi" w:cstheme="majorHAnsi"/>
                <w:sz w:val="24"/>
                <w:szCs w:val="24"/>
              </w:rPr>
            </w:pPr>
          </w:p>
        </w:tc>
        <w:tc>
          <w:tcPr>
            <w:tcW w:w="4075" w:type="dxa"/>
          </w:tcPr>
          <w:p w14:paraId="4075AA25" w14:textId="77777777" w:rsidR="00524962" w:rsidRPr="00D462F0" w:rsidRDefault="00524962" w:rsidP="00D462F0">
            <w:pPr>
              <w:jc w:val="both"/>
              <w:rPr>
                <w:rFonts w:asciiTheme="majorHAnsi" w:hAnsiTheme="majorHAnsi" w:cstheme="majorHAnsi"/>
                <w:bCs/>
                <w:sz w:val="24"/>
                <w:szCs w:val="24"/>
              </w:rPr>
            </w:pPr>
          </w:p>
        </w:tc>
      </w:tr>
      <w:tr w:rsidR="00524962" w:rsidRPr="00C93770" w14:paraId="67F475F5" w14:textId="77777777" w:rsidTr="1756A420">
        <w:tc>
          <w:tcPr>
            <w:tcW w:w="4074" w:type="dxa"/>
          </w:tcPr>
          <w:p w14:paraId="2E15EBA3" w14:textId="77777777" w:rsidR="00524962" w:rsidRPr="00D462F0" w:rsidRDefault="00524962"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w:t>
            </w:r>
          </w:p>
          <w:p w14:paraId="2646CBE3" w14:textId="7FA8798E" w:rsidR="000C2148" w:rsidRPr="00D462F0" w:rsidRDefault="000C2148" w:rsidP="0028717C">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t>Requerimentos de Licenciamento</w:t>
            </w:r>
          </w:p>
        </w:tc>
        <w:tc>
          <w:tcPr>
            <w:tcW w:w="4074" w:type="dxa"/>
          </w:tcPr>
          <w:p w14:paraId="1B235657" w14:textId="77777777" w:rsidR="000C2148" w:rsidRPr="00D462F0" w:rsidRDefault="000C2148"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w:t>
            </w:r>
          </w:p>
          <w:p w14:paraId="0508888D" w14:textId="35B4025A" w:rsidR="00524962" w:rsidRPr="00D462F0" w:rsidRDefault="000C2148" w:rsidP="0028717C">
            <w:pPr>
              <w:jc w:val="center"/>
              <w:rPr>
                <w:rFonts w:asciiTheme="majorHAnsi" w:hAnsiTheme="majorHAnsi" w:cstheme="majorHAnsi"/>
                <w:bCs/>
                <w:color w:val="000000"/>
                <w:sz w:val="24"/>
                <w:szCs w:val="24"/>
              </w:rPr>
            </w:pPr>
            <w:r w:rsidRPr="00D462F0">
              <w:rPr>
                <w:rFonts w:asciiTheme="majorHAnsi" w:hAnsiTheme="majorHAnsi" w:cstheme="majorHAnsi"/>
                <w:b/>
                <w:color w:val="000000"/>
                <w:sz w:val="24"/>
                <w:szCs w:val="24"/>
              </w:rPr>
              <w:t>Requerimentos de Licenciamento</w:t>
            </w:r>
          </w:p>
        </w:tc>
        <w:tc>
          <w:tcPr>
            <w:tcW w:w="4074" w:type="dxa"/>
          </w:tcPr>
          <w:p w14:paraId="336B4ED5" w14:textId="77777777" w:rsidR="00524962" w:rsidRPr="00D462F0" w:rsidRDefault="00524962" w:rsidP="00D462F0">
            <w:pPr>
              <w:jc w:val="both"/>
              <w:rPr>
                <w:rFonts w:asciiTheme="majorHAnsi" w:hAnsiTheme="majorHAnsi" w:cstheme="majorHAnsi"/>
                <w:sz w:val="24"/>
                <w:szCs w:val="24"/>
              </w:rPr>
            </w:pPr>
          </w:p>
        </w:tc>
        <w:tc>
          <w:tcPr>
            <w:tcW w:w="4075" w:type="dxa"/>
          </w:tcPr>
          <w:p w14:paraId="36BC1167" w14:textId="77777777" w:rsidR="00524962" w:rsidRPr="00D462F0" w:rsidRDefault="00524962" w:rsidP="00D462F0">
            <w:pPr>
              <w:jc w:val="both"/>
              <w:rPr>
                <w:rFonts w:asciiTheme="majorHAnsi" w:hAnsiTheme="majorHAnsi" w:cstheme="majorHAnsi"/>
                <w:bCs/>
                <w:sz w:val="24"/>
                <w:szCs w:val="24"/>
              </w:rPr>
            </w:pPr>
          </w:p>
        </w:tc>
      </w:tr>
      <w:tr w:rsidR="00A26CD8" w:rsidRPr="00C93770" w14:paraId="3779A516" w14:textId="77777777" w:rsidTr="1756A420">
        <w:tc>
          <w:tcPr>
            <w:tcW w:w="4074" w:type="dxa"/>
          </w:tcPr>
          <w:p w14:paraId="087463AA" w14:textId="00C6F79E"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151. </w:t>
            </w:r>
            <w:r w:rsidR="0091362C"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São operações sujeitas ao licenciamento da Previc:</w:t>
            </w:r>
          </w:p>
        </w:tc>
        <w:tc>
          <w:tcPr>
            <w:tcW w:w="4074" w:type="dxa"/>
          </w:tcPr>
          <w:p w14:paraId="547353DE" w14:textId="425A5C59"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151. </w:t>
            </w:r>
            <w:r w:rsidR="0091362C"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w:t>
            </w:r>
          </w:p>
          <w:p w14:paraId="74203790" w14:textId="021C8E94" w:rsidR="00A26CD8" w:rsidRPr="00D462F0" w:rsidRDefault="00A26CD8" w:rsidP="00D462F0">
            <w:pPr>
              <w:jc w:val="both"/>
              <w:rPr>
                <w:rFonts w:asciiTheme="majorHAnsi" w:hAnsiTheme="majorHAnsi" w:cstheme="majorHAnsi"/>
                <w:bCs/>
                <w:color w:val="000000"/>
                <w:sz w:val="24"/>
                <w:szCs w:val="24"/>
              </w:rPr>
            </w:pPr>
          </w:p>
        </w:tc>
        <w:tc>
          <w:tcPr>
            <w:tcW w:w="4074" w:type="dxa"/>
          </w:tcPr>
          <w:p w14:paraId="1300821B" w14:textId="4373326E" w:rsidR="00A26CD8" w:rsidRPr="00D462F0" w:rsidRDefault="0029794E"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158C03C7" w14:textId="673F3887" w:rsidR="00A26CD8" w:rsidRPr="00D462F0" w:rsidRDefault="00A26CD8" w:rsidP="00D462F0">
            <w:pPr>
              <w:jc w:val="both"/>
              <w:rPr>
                <w:rFonts w:asciiTheme="majorHAnsi" w:hAnsiTheme="majorHAnsi" w:cstheme="majorHAnsi"/>
                <w:bCs/>
                <w:sz w:val="24"/>
                <w:szCs w:val="24"/>
              </w:rPr>
            </w:pPr>
          </w:p>
        </w:tc>
      </w:tr>
      <w:tr w:rsidR="00B75A97" w:rsidRPr="00C93770" w14:paraId="18ACB5EC" w14:textId="77777777" w:rsidTr="1756A420">
        <w:tc>
          <w:tcPr>
            <w:tcW w:w="4074" w:type="dxa"/>
          </w:tcPr>
          <w:p w14:paraId="458361EB" w14:textId="62C6F01A" w:rsidR="00B75A97" w:rsidRPr="00D462F0" w:rsidRDefault="00B75A97"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C505554" w14:textId="389A61E9" w:rsidR="00B75A97" w:rsidRPr="00D462F0" w:rsidRDefault="00B75A97"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10E65302" w14:textId="77777777" w:rsidR="00B75A97" w:rsidRPr="00D462F0" w:rsidRDefault="00B75A97" w:rsidP="00D462F0">
            <w:pPr>
              <w:jc w:val="both"/>
              <w:rPr>
                <w:rFonts w:asciiTheme="majorHAnsi" w:hAnsiTheme="majorHAnsi" w:cstheme="majorHAnsi"/>
                <w:sz w:val="24"/>
                <w:szCs w:val="24"/>
              </w:rPr>
            </w:pPr>
          </w:p>
        </w:tc>
        <w:tc>
          <w:tcPr>
            <w:tcW w:w="4075" w:type="dxa"/>
          </w:tcPr>
          <w:p w14:paraId="6F0B1EE2" w14:textId="77777777" w:rsidR="00B75A97" w:rsidRPr="00D462F0" w:rsidRDefault="00B75A97" w:rsidP="00D462F0">
            <w:pPr>
              <w:jc w:val="both"/>
              <w:rPr>
                <w:rFonts w:asciiTheme="majorHAnsi" w:hAnsiTheme="majorHAnsi" w:cstheme="majorHAnsi"/>
                <w:bCs/>
                <w:sz w:val="24"/>
                <w:szCs w:val="24"/>
              </w:rPr>
            </w:pPr>
          </w:p>
        </w:tc>
      </w:tr>
      <w:tr w:rsidR="00A26CD8" w:rsidRPr="00C93770" w14:paraId="732B7247" w14:textId="77777777" w:rsidTr="1756A420">
        <w:tc>
          <w:tcPr>
            <w:tcW w:w="4074" w:type="dxa"/>
          </w:tcPr>
          <w:p w14:paraId="1AD8FE2F" w14:textId="7EAF770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119C0D65" w14:textId="4A79004B"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3</w:t>
            </w:r>
            <w:proofErr w:type="gramStart"/>
            <w:r w:rsidRPr="00D462F0">
              <w:rPr>
                <w:rFonts w:asciiTheme="majorHAnsi" w:hAnsiTheme="majorHAnsi" w:cstheme="majorHAnsi"/>
                <w:bCs/>
                <w:color w:val="0000FF"/>
                <w:sz w:val="24"/>
                <w:szCs w:val="24"/>
              </w:rPr>
              <w:t>º  O</w:t>
            </w:r>
            <w:proofErr w:type="gramEnd"/>
            <w:r w:rsidRPr="00D462F0">
              <w:rPr>
                <w:rFonts w:asciiTheme="majorHAnsi" w:hAnsiTheme="majorHAnsi" w:cstheme="majorHAnsi"/>
                <w:bCs/>
                <w:color w:val="0000FF"/>
                <w:sz w:val="24"/>
                <w:szCs w:val="24"/>
              </w:rPr>
              <w:t xml:space="preserve"> licenciamento das operações deve observar as diretrizes estabelecidas </w:t>
            </w:r>
            <w:r w:rsidR="00A67602">
              <w:rPr>
                <w:rFonts w:asciiTheme="majorHAnsi" w:hAnsiTheme="majorHAnsi" w:cstheme="majorHAnsi"/>
                <w:bCs/>
                <w:color w:val="0000FF"/>
                <w:sz w:val="24"/>
                <w:szCs w:val="24"/>
              </w:rPr>
              <w:t>nos manuais</w:t>
            </w:r>
            <w:r w:rsidRPr="00D462F0">
              <w:rPr>
                <w:rFonts w:asciiTheme="majorHAnsi" w:hAnsiTheme="majorHAnsi" w:cstheme="majorHAnsi"/>
                <w:bCs/>
                <w:color w:val="0000FF"/>
                <w:sz w:val="24"/>
                <w:szCs w:val="24"/>
              </w:rPr>
              <w:t xml:space="preserve"> de licenciamento aprovado pela Diretoria Colegiada.</w:t>
            </w:r>
          </w:p>
        </w:tc>
        <w:tc>
          <w:tcPr>
            <w:tcW w:w="4074" w:type="dxa"/>
          </w:tcPr>
          <w:p w14:paraId="2ABA97A3" w14:textId="63BF9DA9"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parágrafo para prever manuais de licenciamento, a serem aprovados pela Diretoria Colegiada.</w:t>
            </w:r>
          </w:p>
        </w:tc>
        <w:tc>
          <w:tcPr>
            <w:tcW w:w="4075" w:type="dxa"/>
          </w:tcPr>
          <w:p w14:paraId="491040A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535807AE" w14:textId="0F8CFB7F"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estabelece o manual de licenciamento como referência para a tramitação do fluxo operacional do licenciamento de operações. Nesse sentido, por se tratar de artigo de natureza administrativa, com efeitos diretos à Previc, o caso se enquadra em não aplicabilidade para a realização de AIR.</w:t>
            </w:r>
          </w:p>
        </w:tc>
      </w:tr>
      <w:tr w:rsidR="00A26CD8" w:rsidRPr="00C93770" w14:paraId="331981A4" w14:textId="77777777" w:rsidTr="1756A420">
        <w:tc>
          <w:tcPr>
            <w:tcW w:w="4074" w:type="dxa"/>
          </w:tcPr>
          <w:p w14:paraId="7F4FC5FF" w14:textId="01EB54AB"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Art. 152.</w:t>
            </w:r>
            <w:r w:rsidR="0029794E"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 Nos requerimentos de licenciamento que envolverem alteração de estatuto ou alteração de regulamento de plano de benefícios, a EFPC deve:</w:t>
            </w:r>
          </w:p>
        </w:tc>
        <w:tc>
          <w:tcPr>
            <w:tcW w:w="4074" w:type="dxa"/>
          </w:tcPr>
          <w:p w14:paraId="3CC2385A" w14:textId="648A9E66"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152.</w:t>
            </w:r>
            <w:r w:rsidR="0029794E"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w:t>
            </w:r>
          </w:p>
          <w:p w14:paraId="326BB8A1" w14:textId="1BC702C6" w:rsidR="00A26CD8" w:rsidRPr="00D462F0" w:rsidRDefault="00A26CD8" w:rsidP="00D462F0">
            <w:pPr>
              <w:jc w:val="both"/>
              <w:rPr>
                <w:rFonts w:asciiTheme="majorHAnsi" w:hAnsiTheme="majorHAnsi" w:cstheme="majorHAnsi"/>
                <w:bCs/>
                <w:color w:val="000000"/>
                <w:sz w:val="24"/>
                <w:szCs w:val="24"/>
              </w:rPr>
            </w:pPr>
          </w:p>
        </w:tc>
        <w:tc>
          <w:tcPr>
            <w:tcW w:w="4074" w:type="dxa"/>
          </w:tcPr>
          <w:p w14:paraId="6996CF07" w14:textId="32B9D0B2" w:rsidR="00A26CD8" w:rsidRPr="00D462F0" w:rsidRDefault="0029794E"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99137E0" w14:textId="5CD0CF06" w:rsidR="00A26CD8" w:rsidRPr="00D462F0" w:rsidRDefault="00A26CD8" w:rsidP="00D462F0">
            <w:pPr>
              <w:jc w:val="both"/>
              <w:rPr>
                <w:rFonts w:asciiTheme="majorHAnsi" w:hAnsiTheme="majorHAnsi" w:cstheme="majorHAnsi"/>
                <w:bCs/>
                <w:sz w:val="24"/>
                <w:szCs w:val="24"/>
              </w:rPr>
            </w:pPr>
          </w:p>
        </w:tc>
      </w:tr>
      <w:tr w:rsidR="00B75A97" w:rsidRPr="00C93770" w14:paraId="36E1F376" w14:textId="77777777" w:rsidTr="1756A420">
        <w:tc>
          <w:tcPr>
            <w:tcW w:w="4074" w:type="dxa"/>
          </w:tcPr>
          <w:p w14:paraId="543C6A79" w14:textId="125629AF" w:rsidR="00B75A97" w:rsidRPr="00D462F0" w:rsidRDefault="00B75A97"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2CCD8AAF" w14:textId="3C898AEE" w:rsidR="00B75A97" w:rsidRPr="00D462F0" w:rsidRDefault="00B75A97"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44E3689" w14:textId="77777777" w:rsidR="00B75A97" w:rsidRPr="00D462F0" w:rsidRDefault="00B75A97" w:rsidP="00D462F0">
            <w:pPr>
              <w:jc w:val="both"/>
              <w:rPr>
                <w:rFonts w:asciiTheme="majorHAnsi" w:hAnsiTheme="majorHAnsi" w:cstheme="majorHAnsi"/>
                <w:sz w:val="24"/>
                <w:szCs w:val="24"/>
              </w:rPr>
            </w:pPr>
          </w:p>
        </w:tc>
        <w:tc>
          <w:tcPr>
            <w:tcW w:w="4075" w:type="dxa"/>
          </w:tcPr>
          <w:p w14:paraId="278F133E" w14:textId="77777777" w:rsidR="00B75A97" w:rsidRPr="00D462F0" w:rsidRDefault="00B75A97" w:rsidP="00D462F0">
            <w:pPr>
              <w:jc w:val="both"/>
              <w:rPr>
                <w:rFonts w:asciiTheme="majorHAnsi" w:hAnsiTheme="majorHAnsi" w:cstheme="majorHAnsi"/>
                <w:bCs/>
                <w:sz w:val="24"/>
                <w:szCs w:val="24"/>
              </w:rPr>
            </w:pPr>
          </w:p>
        </w:tc>
      </w:tr>
      <w:tr w:rsidR="00A26CD8" w:rsidRPr="00C93770" w14:paraId="7B028C4C" w14:textId="77777777" w:rsidTr="1756A420">
        <w:tc>
          <w:tcPr>
            <w:tcW w:w="4074" w:type="dxa"/>
          </w:tcPr>
          <w:p w14:paraId="3A21192B" w14:textId="1D665B9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§2</w:t>
            </w:r>
            <w:proofErr w:type="gramStart"/>
            <w:r w:rsidRPr="00D462F0">
              <w:rPr>
                <w:rFonts w:asciiTheme="majorHAnsi" w:hAnsiTheme="majorHAnsi" w:cstheme="majorHAnsi"/>
                <w:sz w:val="24"/>
                <w:szCs w:val="24"/>
              </w:rPr>
              <w:t xml:space="preserve">º </w:t>
            </w:r>
            <w:r w:rsidR="0029794E" w:rsidRPr="00D462F0">
              <w:rPr>
                <w:rFonts w:asciiTheme="majorHAnsi" w:hAnsiTheme="majorHAnsi" w:cstheme="majorHAnsi"/>
                <w:sz w:val="24"/>
                <w:szCs w:val="24"/>
              </w:rPr>
              <w:t xml:space="preserve"> </w:t>
            </w:r>
            <w:r w:rsidRPr="00D462F0">
              <w:rPr>
                <w:rFonts w:asciiTheme="majorHAnsi" w:hAnsiTheme="majorHAnsi" w:cstheme="majorHAnsi"/>
                <w:sz w:val="24"/>
                <w:szCs w:val="24"/>
              </w:rPr>
              <w:t>As</w:t>
            </w:r>
            <w:proofErr w:type="gramEnd"/>
            <w:r w:rsidRPr="00D462F0">
              <w:rPr>
                <w:rFonts w:asciiTheme="majorHAnsi" w:hAnsiTheme="majorHAnsi" w:cstheme="majorHAnsi"/>
                <w:sz w:val="24"/>
                <w:szCs w:val="24"/>
              </w:rPr>
              <w:t xml:space="preserve"> associações de participantes e assistidos que demonstrem sua representatividade poderão ser legitimadas como interessados no processo, nos termos do art. 9º, incisos II e III, da Lei nº 9.784, de 1999, podendo solicitar sua admissão no processo a qualquer </w:t>
            </w:r>
            <w:r w:rsidRPr="00D462F0">
              <w:rPr>
                <w:rStyle w:val="nfaseSutil"/>
                <w:rFonts w:asciiTheme="majorHAnsi" w:hAnsiTheme="majorHAnsi" w:cstheme="majorHAnsi"/>
                <w:sz w:val="24"/>
                <w:szCs w:val="24"/>
              </w:rPr>
              <w:t>momento</w:t>
            </w:r>
            <w:r w:rsidRPr="00D462F0">
              <w:rPr>
                <w:rFonts w:asciiTheme="majorHAnsi" w:hAnsiTheme="majorHAnsi" w:cstheme="majorHAnsi"/>
                <w:sz w:val="24"/>
                <w:szCs w:val="24"/>
              </w:rPr>
              <w:t xml:space="preserve"> na fase de instrução, com direito a formular alegações e apresentar documentos antes da decisão final da Previc.</w:t>
            </w:r>
          </w:p>
        </w:tc>
        <w:tc>
          <w:tcPr>
            <w:tcW w:w="4074" w:type="dxa"/>
          </w:tcPr>
          <w:p w14:paraId="22CF65C8" w14:textId="5B0774B1" w:rsidR="009F4B20" w:rsidRPr="00257762" w:rsidRDefault="00972724" w:rsidP="00257762">
            <w:pPr>
              <w:jc w:val="both"/>
              <w:rPr>
                <w:rFonts w:ascii="Calibri" w:hAnsi="Calibri" w:cs="Calibri"/>
                <w:sz w:val="24"/>
                <w:szCs w:val="24"/>
              </w:rPr>
            </w:pPr>
            <w:r w:rsidRPr="00257762">
              <w:rPr>
                <w:rFonts w:ascii="Calibri" w:hAnsi="Calibri" w:cs="Calibri"/>
                <w:sz w:val="24"/>
                <w:szCs w:val="24"/>
              </w:rPr>
              <w:t>§2</w:t>
            </w:r>
            <w:proofErr w:type="gramStart"/>
            <w:r w:rsidRPr="00257762">
              <w:rPr>
                <w:rFonts w:ascii="Calibri" w:hAnsi="Calibri" w:cs="Calibri"/>
                <w:sz w:val="24"/>
                <w:szCs w:val="24"/>
              </w:rPr>
              <w:t>º  As</w:t>
            </w:r>
            <w:proofErr w:type="gramEnd"/>
            <w:r w:rsidRPr="00257762">
              <w:rPr>
                <w:rFonts w:ascii="Calibri" w:hAnsi="Calibri" w:cs="Calibri"/>
                <w:sz w:val="24"/>
                <w:szCs w:val="24"/>
              </w:rPr>
              <w:t xml:space="preserve"> associações de participantes e assistidos que demonstrem sua representatividade poderão </w:t>
            </w:r>
            <w:r w:rsidRPr="00257762">
              <w:rPr>
                <w:rFonts w:ascii="Calibri" w:hAnsi="Calibri" w:cs="Calibri"/>
                <w:strike/>
                <w:color w:val="EE0000"/>
                <w:sz w:val="24"/>
                <w:szCs w:val="24"/>
              </w:rPr>
              <w:t>ser</w:t>
            </w:r>
            <w:r w:rsidRPr="00257762">
              <w:rPr>
                <w:rFonts w:ascii="Calibri" w:hAnsi="Calibri" w:cs="Calibri"/>
                <w:sz w:val="24"/>
                <w:szCs w:val="24"/>
              </w:rPr>
              <w:t xml:space="preserve"> </w:t>
            </w:r>
            <w:r w:rsidR="00EE3188" w:rsidRPr="00257762">
              <w:rPr>
                <w:rFonts w:ascii="Calibri" w:hAnsi="Calibri" w:cs="Calibri"/>
                <w:color w:val="0000FF"/>
                <w:sz w:val="24"/>
                <w:szCs w:val="24"/>
              </w:rPr>
              <w:t xml:space="preserve">solicitar admissão </w:t>
            </w:r>
            <w:r w:rsidRPr="00257762">
              <w:rPr>
                <w:rFonts w:ascii="Calibri" w:hAnsi="Calibri" w:cs="Calibri"/>
                <w:strike/>
                <w:color w:val="EE0000"/>
                <w:sz w:val="24"/>
                <w:szCs w:val="24"/>
              </w:rPr>
              <w:t>legitimadas</w:t>
            </w:r>
            <w:r w:rsidRPr="00257762">
              <w:rPr>
                <w:rFonts w:ascii="Calibri" w:hAnsi="Calibri" w:cs="Calibri"/>
                <w:color w:val="EE0000"/>
                <w:sz w:val="24"/>
                <w:szCs w:val="24"/>
              </w:rPr>
              <w:t xml:space="preserve"> </w:t>
            </w:r>
            <w:r w:rsidRPr="00257762">
              <w:rPr>
                <w:rFonts w:ascii="Calibri" w:hAnsi="Calibri" w:cs="Calibri"/>
                <w:sz w:val="24"/>
                <w:szCs w:val="24"/>
              </w:rPr>
              <w:t>como interessados no processo,</w:t>
            </w:r>
            <w:r w:rsidR="00257762" w:rsidRPr="00257762">
              <w:rPr>
                <w:rFonts w:ascii="Calibri" w:hAnsi="Calibri" w:cs="Calibri"/>
                <w:sz w:val="24"/>
                <w:szCs w:val="24"/>
              </w:rPr>
              <w:t xml:space="preserve"> </w:t>
            </w:r>
            <w:r w:rsidR="00257762" w:rsidRPr="00257762">
              <w:rPr>
                <w:rFonts w:ascii="Calibri" w:hAnsi="Calibri" w:cs="Calibri"/>
                <w:color w:val="0000FF"/>
                <w:sz w:val="24"/>
                <w:szCs w:val="24"/>
              </w:rPr>
              <w:t>podendo formular alegações e apresentar documentos na fase de instrução</w:t>
            </w:r>
            <w:r w:rsidR="00257762" w:rsidRPr="00257762">
              <w:rPr>
                <w:rFonts w:ascii="Calibri" w:hAnsi="Calibri" w:cs="Calibri"/>
                <w:b/>
                <w:color w:val="0000FF"/>
                <w:sz w:val="24"/>
                <w:szCs w:val="24"/>
              </w:rPr>
              <w:t>,</w:t>
            </w:r>
            <w:r w:rsidRPr="00257762">
              <w:rPr>
                <w:rFonts w:ascii="Calibri" w:hAnsi="Calibri" w:cs="Calibri"/>
                <w:sz w:val="24"/>
                <w:szCs w:val="24"/>
              </w:rPr>
              <w:t xml:space="preserve"> nos termos do art. 9º, incisos II e III, da Lei nº 9.784, de 1999</w:t>
            </w:r>
            <w:r w:rsidRPr="00257762">
              <w:rPr>
                <w:rFonts w:ascii="Calibri" w:hAnsi="Calibri" w:cs="Calibri"/>
                <w:strike/>
                <w:color w:val="EE0000"/>
                <w:sz w:val="24"/>
                <w:szCs w:val="24"/>
              </w:rPr>
              <w:t xml:space="preserve">, podendo solicitar sua admissão no processo a qualquer </w:t>
            </w:r>
            <w:r w:rsidRPr="00257762">
              <w:rPr>
                <w:rStyle w:val="nfaseSutil"/>
                <w:rFonts w:ascii="Calibri" w:hAnsi="Calibri" w:cs="Calibri"/>
                <w:strike/>
                <w:color w:val="EE0000"/>
                <w:sz w:val="24"/>
                <w:szCs w:val="24"/>
              </w:rPr>
              <w:t>momento</w:t>
            </w:r>
            <w:r w:rsidRPr="00257762">
              <w:rPr>
                <w:rFonts w:ascii="Calibri" w:hAnsi="Calibri" w:cs="Calibri"/>
                <w:strike/>
                <w:color w:val="EE0000"/>
                <w:sz w:val="24"/>
                <w:szCs w:val="24"/>
              </w:rPr>
              <w:t xml:space="preserve"> na fase de instrução, com direito a formular alegações e apresentar documentos antes da decisão final da Previc</w:t>
            </w:r>
            <w:r w:rsidRPr="00257762">
              <w:rPr>
                <w:rFonts w:ascii="Calibri" w:hAnsi="Calibri" w:cs="Calibri"/>
                <w:sz w:val="24"/>
                <w:szCs w:val="24"/>
              </w:rPr>
              <w:t>.</w:t>
            </w:r>
          </w:p>
        </w:tc>
        <w:tc>
          <w:tcPr>
            <w:tcW w:w="4074" w:type="dxa"/>
          </w:tcPr>
          <w:p w14:paraId="74E5E48F"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Alteração do texto para refletir a continuidade da política de garantia de participação de associações representativas no processo de licenciamento, assegurando transparência e conformidade com o disposto no art. 38 da Lei nº 9.784, de 1999, que regula o processo administrativo.</w:t>
            </w:r>
          </w:p>
          <w:p w14:paraId="327E2C46"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“Art. 38. O interessado poderá, na fase instrutória e antes da tomada da decisão, juntar documentos e pareceres, requerer diligências e perícias, bem como aduzir alegações referentes à matéria objeto do processo.”</w:t>
            </w:r>
          </w:p>
          <w:p w14:paraId="2D7549AE"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Assunto regulamentado pela Portaria Dilic 84, de 2025:</w:t>
            </w:r>
          </w:p>
          <w:p w14:paraId="0980775C" w14:textId="0798604C"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i/>
                <w:sz w:val="24"/>
                <w:szCs w:val="24"/>
              </w:rPr>
              <w:t xml:space="preserve">“Art. 2º A associação pode requerer a admissão como interessada em </w:t>
            </w:r>
            <w:r w:rsidRPr="00D462F0">
              <w:rPr>
                <w:rFonts w:asciiTheme="majorHAnsi" w:hAnsiTheme="majorHAnsi" w:cstheme="majorHAnsi"/>
                <w:i/>
                <w:sz w:val="24"/>
                <w:szCs w:val="24"/>
              </w:rPr>
              <w:lastRenderedPageBreak/>
              <w:t xml:space="preserve">processo administrativo em trâmite na Diretoria de Licenciamento a qualquer </w:t>
            </w:r>
            <w:r w:rsidRPr="00D462F0">
              <w:rPr>
                <w:rFonts w:asciiTheme="majorHAnsi" w:hAnsiTheme="majorHAnsi" w:cstheme="majorHAnsi"/>
                <w:b/>
                <w:bCs/>
                <w:i/>
                <w:sz w:val="24"/>
                <w:szCs w:val="24"/>
              </w:rPr>
              <w:t>momento da fase de instrução</w:t>
            </w:r>
            <w:r w:rsidRPr="00D462F0">
              <w:rPr>
                <w:rFonts w:asciiTheme="majorHAnsi" w:hAnsiTheme="majorHAnsi" w:cstheme="majorHAnsi"/>
                <w:i/>
                <w:sz w:val="24"/>
                <w:szCs w:val="24"/>
              </w:rPr>
              <w:t>.”</w:t>
            </w:r>
          </w:p>
        </w:tc>
        <w:tc>
          <w:tcPr>
            <w:tcW w:w="4075" w:type="dxa"/>
          </w:tcPr>
          <w:p w14:paraId="7BB2ED0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Decreto nº 10.411, de 2020, art. 4º, inciso IV.</w:t>
            </w:r>
          </w:p>
          <w:p w14:paraId="1A3CA9FF"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Atualização de artigo pretende garantir a participação de associações representativas no processo de licenciamento, assegurando transparência e conformidade com o disposto no art. 38 da Lei nº 9.784, de 1999, que regula o processo administrativo. A fim de melhorar clareza e sem alteração de mérito, o texto do artigo em questão experimentou alterações textuais que tornam claras as etapas do processo em questão. </w:t>
            </w:r>
          </w:p>
          <w:p w14:paraId="206FC5C3" w14:textId="24525DCD"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a alteração do artigo em questão dispensa-se a realização de AIR por se tratar de artigo que visa “(...) a atualização ou à revogação de normas consideradas obsoletas, sem alteração </w:t>
            </w:r>
            <w:r w:rsidRPr="00D462F0">
              <w:rPr>
                <w:rFonts w:asciiTheme="majorHAnsi" w:hAnsiTheme="majorHAnsi" w:cstheme="majorHAnsi"/>
                <w:bCs/>
                <w:sz w:val="24"/>
                <w:szCs w:val="24"/>
              </w:rPr>
              <w:lastRenderedPageBreak/>
              <w:t>de mérito”, conforme disposto no inciso IV, do art. 4º do Decreto nº 10.411, de 2020.</w:t>
            </w:r>
          </w:p>
        </w:tc>
      </w:tr>
      <w:tr w:rsidR="00A663CA" w:rsidRPr="00C93770" w14:paraId="3BD9F50B" w14:textId="77777777" w:rsidTr="1756A420">
        <w:tc>
          <w:tcPr>
            <w:tcW w:w="4074" w:type="dxa"/>
          </w:tcPr>
          <w:p w14:paraId="150507BB" w14:textId="0648158B" w:rsidR="00A663CA" w:rsidRPr="00D462F0" w:rsidRDefault="00A663CA" w:rsidP="0028717C">
            <w:pPr>
              <w:jc w:val="center"/>
              <w:rPr>
                <w:rFonts w:asciiTheme="majorHAnsi" w:hAnsiTheme="majorHAnsi" w:cstheme="majorHAnsi"/>
                <w:sz w:val="24"/>
                <w:szCs w:val="24"/>
              </w:rPr>
            </w:pPr>
            <w:r w:rsidRPr="00D462F0">
              <w:rPr>
                <w:rFonts w:asciiTheme="majorHAnsi" w:hAnsiTheme="majorHAnsi" w:cstheme="majorHAnsi"/>
                <w:sz w:val="24"/>
                <w:szCs w:val="24"/>
              </w:rPr>
              <w:lastRenderedPageBreak/>
              <w:t>...</w:t>
            </w:r>
          </w:p>
        </w:tc>
        <w:tc>
          <w:tcPr>
            <w:tcW w:w="4074" w:type="dxa"/>
          </w:tcPr>
          <w:p w14:paraId="7D064E99" w14:textId="06B7B23C" w:rsidR="00A663CA" w:rsidRPr="00D462F0" w:rsidRDefault="00A663CA" w:rsidP="0028717C">
            <w:pPr>
              <w:jc w:val="center"/>
              <w:rPr>
                <w:rFonts w:asciiTheme="majorHAnsi" w:hAnsiTheme="majorHAnsi" w:cstheme="majorHAnsi"/>
                <w:bCs/>
                <w:color w:val="EE0000"/>
                <w:sz w:val="24"/>
                <w:szCs w:val="24"/>
              </w:rPr>
            </w:pPr>
            <w:r w:rsidRPr="004E06F1">
              <w:rPr>
                <w:rFonts w:asciiTheme="majorHAnsi" w:hAnsiTheme="majorHAnsi" w:cstheme="majorHAnsi"/>
                <w:bCs/>
                <w:sz w:val="24"/>
                <w:szCs w:val="24"/>
              </w:rPr>
              <w:t>...</w:t>
            </w:r>
          </w:p>
        </w:tc>
        <w:tc>
          <w:tcPr>
            <w:tcW w:w="4074" w:type="dxa"/>
          </w:tcPr>
          <w:p w14:paraId="7602303A" w14:textId="77777777" w:rsidR="00A663CA" w:rsidRPr="00D462F0" w:rsidRDefault="00A663CA" w:rsidP="00D462F0">
            <w:pPr>
              <w:jc w:val="both"/>
              <w:rPr>
                <w:rFonts w:asciiTheme="majorHAnsi" w:hAnsiTheme="majorHAnsi" w:cstheme="majorHAnsi"/>
                <w:sz w:val="24"/>
                <w:szCs w:val="24"/>
              </w:rPr>
            </w:pPr>
          </w:p>
        </w:tc>
        <w:tc>
          <w:tcPr>
            <w:tcW w:w="4075" w:type="dxa"/>
          </w:tcPr>
          <w:p w14:paraId="4D010998" w14:textId="77777777" w:rsidR="00A663CA" w:rsidRPr="00D462F0" w:rsidRDefault="00A663CA" w:rsidP="00D462F0">
            <w:pPr>
              <w:jc w:val="both"/>
              <w:rPr>
                <w:rFonts w:asciiTheme="majorHAnsi" w:hAnsiTheme="majorHAnsi" w:cstheme="majorHAnsi"/>
                <w:bCs/>
                <w:sz w:val="24"/>
                <w:szCs w:val="24"/>
              </w:rPr>
            </w:pPr>
          </w:p>
        </w:tc>
      </w:tr>
      <w:tr w:rsidR="00A26CD8" w:rsidRPr="00C93770" w14:paraId="4225FBB0" w14:textId="77777777" w:rsidTr="1756A420">
        <w:tc>
          <w:tcPr>
            <w:tcW w:w="4074" w:type="dxa"/>
          </w:tcPr>
          <w:p w14:paraId="33CC0B92" w14:textId="30AAC430"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158. </w:t>
            </w:r>
            <w:r w:rsidR="00EB19CA" w:rsidRPr="00D462F0">
              <w:rPr>
                <w:rFonts w:asciiTheme="majorHAnsi" w:hAnsiTheme="majorHAnsi" w:cstheme="majorHAnsi"/>
                <w:sz w:val="24"/>
                <w:szCs w:val="24"/>
              </w:rPr>
              <w:t xml:space="preserve"> </w:t>
            </w:r>
            <w:r w:rsidRPr="00D462F0">
              <w:rPr>
                <w:rFonts w:asciiTheme="majorHAnsi" w:hAnsiTheme="majorHAnsi" w:cstheme="majorHAnsi"/>
                <w:sz w:val="24"/>
                <w:szCs w:val="24"/>
              </w:rPr>
              <w:t>A EFPC deve encaminhar a documentação comprobatória da finalização das operações previstas nos incisos VII a XII do art. 151 em até noventa dias contados da data efetiva.</w:t>
            </w:r>
          </w:p>
        </w:tc>
        <w:tc>
          <w:tcPr>
            <w:tcW w:w="4074" w:type="dxa"/>
          </w:tcPr>
          <w:p w14:paraId="35E4BC5A" w14:textId="4F04B321" w:rsidR="00A26CD8" w:rsidRPr="00D462F0" w:rsidRDefault="004C3E70" w:rsidP="00D462F0">
            <w:pPr>
              <w:jc w:val="both"/>
              <w:rPr>
                <w:rFonts w:asciiTheme="majorHAnsi" w:hAnsiTheme="majorHAnsi" w:cstheme="majorHAnsi"/>
                <w:bCs/>
                <w:color w:val="000000"/>
                <w:sz w:val="24"/>
                <w:szCs w:val="24"/>
              </w:rPr>
            </w:pPr>
            <w:r w:rsidRPr="00D462F0">
              <w:rPr>
                <w:rFonts w:asciiTheme="majorHAnsi" w:hAnsiTheme="majorHAnsi" w:cstheme="majorHAnsi"/>
                <w:bCs/>
                <w:color w:val="EE0000"/>
                <w:sz w:val="24"/>
                <w:szCs w:val="24"/>
              </w:rPr>
              <w:t>Revogar</w:t>
            </w:r>
          </w:p>
        </w:tc>
        <w:tc>
          <w:tcPr>
            <w:tcW w:w="4074" w:type="dxa"/>
          </w:tcPr>
          <w:p w14:paraId="698A6BE8"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Exclusão pela redundância em relação ao texto do art. 142 c/c 150-A desta Resolução que já tratam da documentação para finalização das operações de competência da CGOE/DILIC.</w:t>
            </w:r>
          </w:p>
          <w:p w14:paraId="7E5A8EA6"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“Art. 142. A EFPC deve encaminhar a documentação comprobatória da finalização da retirada de patrocínio em até noventa dias contados da data de conclusão da retirada.</w:t>
            </w:r>
          </w:p>
          <w:p w14:paraId="231A9A25" w14:textId="731F81AB"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“Art. 150-A. A EFPC deve encaminhar a documentação comprobatória da finalização das operações previstas nos incisos VII a X do art. 151 em até noventa dias contados da data efetiva. (Incluído pela Resolução Previc nº 25, de 15 de outubro de 2024)”.</w:t>
            </w:r>
          </w:p>
        </w:tc>
        <w:tc>
          <w:tcPr>
            <w:tcW w:w="4075" w:type="dxa"/>
          </w:tcPr>
          <w:p w14:paraId="4A2ABB57"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7CD0BA77"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revogação de artigo por redundar no que se refere ao seu texto em relação ao texto do art. 142 c/c 150-A desta Resolução.  </w:t>
            </w:r>
          </w:p>
          <w:p w14:paraId="3D0B7D3F" w14:textId="6E8E6C9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a alteração do artigo em questão dispensa-se a realização de AIR por se tratar de artigo que visa “(...) a atualização ou à revogação de normas consideradas obsoletas, sem alteração de mérito”, conforme disposto no inciso IV, do art. 4º do Decreto nº 10.411, de 2020.</w:t>
            </w:r>
          </w:p>
          <w:p w14:paraId="4E9841ED" w14:textId="77777777" w:rsidR="00A26CD8" w:rsidRPr="00D462F0" w:rsidRDefault="00A26CD8" w:rsidP="00D462F0">
            <w:pPr>
              <w:jc w:val="both"/>
              <w:rPr>
                <w:rFonts w:asciiTheme="majorHAnsi" w:hAnsiTheme="majorHAnsi" w:cstheme="majorHAnsi"/>
                <w:bCs/>
                <w:sz w:val="24"/>
                <w:szCs w:val="24"/>
              </w:rPr>
            </w:pPr>
          </w:p>
        </w:tc>
      </w:tr>
      <w:tr w:rsidR="00A663CA" w:rsidRPr="00C93770" w14:paraId="12CDA2E6" w14:textId="77777777" w:rsidTr="1756A420">
        <w:tc>
          <w:tcPr>
            <w:tcW w:w="4074" w:type="dxa"/>
          </w:tcPr>
          <w:p w14:paraId="18EA45B8" w14:textId="11DDF7B0" w:rsidR="00A663CA" w:rsidRPr="00D462F0" w:rsidDel="00A663CA" w:rsidRDefault="00A663C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6E816434" w14:textId="6EE59017"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4EE2037" w14:textId="77777777" w:rsidR="00A663CA" w:rsidRPr="00D462F0" w:rsidRDefault="00A663CA" w:rsidP="00D462F0">
            <w:pPr>
              <w:jc w:val="both"/>
              <w:rPr>
                <w:rFonts w:asciiTheme="majorHAnsi" w:hAnsiTheme="majorHAnsi" w:cstheme="majorHAnsi"/>
                <w:sz w:val="24"/>
                <w:szCs w:val="24"/>
              </w:rPr>
            </w:pPr>
          </w:p>
        </w:tc>
        <w:tc>
          <w:tcPr>
            <w:tcW w:w="4075" w:type="dxa"/>
          </w:tcPr>
          <w:p w14:paraId="6E56CB99" w14:textId="77777777" w:rsidR="00A663CA" w:rsidRPr="00D462F0" w:rsidRDefault="00A663CA" w:rsidP="00D462F0">
            <w:pPr>
              <w:jc w:val="both"/>
              <w:rPr>
                <w:rFonts w:asciiTheme="majorHAnsi" w:hAnsiTheme="majorHAnsi" w:cstheme="majorHAnsi"/>
                <w:bCs/>
                <w:sz w:val="24"/>
                <w:szCs w:val="24"/>
              </w:rPr>
            </w:pPr>
          </w:p>
        </w:tc>
      </w:tr>
      <w:tr w:rsidR="00A663CA" w:rsidRPr="00C93770" w14:paraId="11D204A0" w14:textId="77777777" w:rsidTr="1756A420">
        <w:tc>
          <w:tcPr>
            <w:tcW w:w="4074" w:type="dxa"/>
          </w:tcPr>
          <w:p w14:paraId="44E58BA0" w14:textId="77777777" w:rsidR="00A663CA" w:rsidRPr="00D462F0" w:rsidRDefault="00A663C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Subseção I</w:t>
            </w:r>
          </w:p>
          <w:p w14:paraId="715BD942" w14:textId="54BE9953" w:rsidR="00A663CA" w:rsidRPr="00D462F0" w:rsidDel="00A663CA" w:rsidRDefault="00A663CA" w:rsidP="0028717C">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t>Fases do Requerimento</w:t>
            </w:r>
          </w:p>
        </w:tc>
        <w:tc>
          <w:tcPr>
            <w:tcW w:w="4074" w:type="dxa"/>
          </w:tcPr>
          <w:p w14:paraId="1C287BE4" w14:textId="77777777" w:rsidR="00A663CA" w:rsidRPr="00D462F0" w:rsidRDefault="00A663C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Subseção I</w:t>
            </w:r>
          </w:p>
          <w:p w14:paraId="6BAAA7F1" w14:textId="58258A9B"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
                <w:color w:val="000000"/>
                <w:sz w:val="24"/>
                <w:szCs w:val="24"/>
              </w:rPr>
              <w:t>Fases do Requerimento</w:t>
            </w:r>
          </w:p>
        </w:tc>
        <w:tc>
          <w:tcPr>
            <w:tcW w:w="4074" w:type="dxa"/>
          </w:tcPr>
          <w:p w14:paraId="0CF9C935" w14:textId="77777777" w:rsidR="00A663CA" w:rsidRPr="00D462F0" w:rsidRDefault="00A663CA" w:rsidP="00D462F0">
            <w:pPr>
              <w:jc w:val="both"/>
              <w:rPr>
                <w:rFonts w:asciiTheme="majorHAnsi" w:hAnsiTheme="majorHAnsi" w:cstheme="majorHAnsi"/>
                <w:sz w:val="24"/>
                <w:szCs w:val="24"/>
              </w:rPr>
            </w:pPr>
          </w:p>
        </w:tc>
        <w:tc>
          <w:tcPr>
            <w:tcW w:w="4075" w:type="dxa"/>
          </w:tcPr>
          <w:p w14:paraId="65A8A515" w14:textId="77777777" w:rsidR="00A663CA" w:rsidRPr="00D462F0" w:rsidRDefault="00A663CA" w:rsidP="00D462F0">
            <w:pPr>
              <w:jc w:val="both"/>
              <w:rPr>
                <w:rFonts w:asciiTheme="majorHAnsi" w:hAnsiTheme="majorHAnsi" w:cstheme="majorHAnsi"/>
                <w:bCs/>
                <w:sz w:val="24"/>
                <w:szCs w:val="24"/>
              </w:rPr>
            </w:pPr>
          </w:p>
        </w:tc>
      </w:tr>
      <w:tr w:rsidR="00A663CA" w:rsidRPr="00C93770" w14:paraId="35B19FF1" w14:textId="77777777" w:rsidTr="1756A420">
        <w:tc>
          <w:tcPr>
            <w:tcW w:w="4074" w:type="dxa"/>
          </w:tcPr>
          <w:p w14:paraId="4F761B91" w14:textId="5304FCF1" w:rsidR="00A663CA" w:rsidRPr="00D462F0" w:rsidDel="00A663CA" w:rsidRDefault="00A663C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010C6637" w14:textId="2B8A783A"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3BA0BF8" w14:textId="77777777" w:rsidR="00A663CA" w:rsidRPr="00D462F0" w:rsidRDefault="00A663CA" w:rsidP="00D462F0">
            <w:pPr>
              <w:jc w:val="both"/>
              <w:rPr>
                <w:rFonts w:asciiTheme="majorHAnsi" w:hAnsiTheme="majorHAnsi" w:cstheme="majorHAnsi"/>
                <w:sz w:val="24"/>
                <w:szCs w:val="24"/>
              </w:rPr>
            </w:pPr>
          </w:p>
        </w:tc>
        <w:tc>
          <w:tcPr>
            <w:tcW w:w="4075" w:type="dxa"/>
          </w:tcPr>
          <w:p w14:paraId="236A0795" w14:textId="77777777" w:rsidR="00A663CA" w:rsidRPr="00D462F0" w:rsidRDefault="00A663CA" w:rsidP="00D462F0">
            <w:pPr>
              <w:jc w:val="both"/>
              <w:rPr>
                <w:rFonts w:asciiTheme="majorHAnsi" w:hAnsiTheme="majorHAnsi" w:cstheme="majorHAnsi"/>
                <w:bCs/>
                <w:sz w:val="24"/>
                <w:szCs w:val="24"/>
              </w:rPr>
            </w:pPr>
          </w:p>
        </w:tc>
      </w:tr>
      <w:tr w:rsidR="00A26CD8" w:rsidRPr="00C93770" w14:paraId="4C62C6EA" w14:textId="77777777" w:rsidTr="1756A420">
        <w:tc>
          <w:tcPr>
            <w:tcW w:w="4074" w:type="dxa"/>
          </w:tcPr>
          <w:p w14:paraId="614B608B" w14:textId="0932C86C"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163. </w:t>
            </w:r>
            <w:r w:rsidR="00EB19CA" w:rsidRPr="00D462F0">
              <w:rPr>
                <w:rFonts w:asciiTheme="majorHAnsi" w:hAnsiTheme="majorHAnsi" w:cstheme="majorHAnsi"/>
                <w:sz w:val="24"/>
                <w:szCs w:val="24"/>
              </w:rPr>
              <w:t xml:space="preserve"> </w:t>
            </w:r>
            <w:r w:rsidRPr="00D462F0">
              <w:rPr>
                <w:rFonts w:asciiTheme="majorHAnsi" w:hAnsiTheme="majorHAnsi" w:cstheme="majorHAnsi"/>
                <w:sz w:val="24"/>
                <w:szCs w:val="24"/>
              </w:rPr>
              <w:t>A fase de instrução se inicia na data do protocolo e contempla a análise das informações, dos documentos e do atendimento às condições legais e técnicas estabelecidas para o tipo de requerimento, observados os prazos estabelecidos no Anexo III</w:t>
            </w:r>
            <w:r w:rsidR="00A65603" w:rsidRPr="00D462F0">
              <w:rPr>
                <w:rFonts w:asciiTheme="majorHAnsi" w:hAnsiTheme="majorHAnsi" w:cstheme="majorHAnsi"/>
                <w:sz w:val="24"/>
                <w:szCs w:val="24"/>
              </w:rPr>
              <w:t>.</w:t>
            </w:r>
          </w:p>
        </w:tc>
        <w:tc>
          <w:tcPr>
            <w:tcW w:w="4074" w:type="dxa"/>
          </w:tcPr>
          <w:p w14:paraId="765D97C5" w14:textId="7C3F8D08"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163. </w:t>
            </w:r>
            <w:r w:rsidR="00EB19CA" w:rsidRPr="00D462F0">
              <w:rPr>
                <w:rFonts w:asciiTheme="majorHAnsi" w:hAnsiTheme="majorHAnsi" w:cstheme="majorHAnsi"/>
                <w:bCs/>
                <w:sz w:val="24"/>
                <w:szCs w:val="24"/>
              </w:rPr>
              <w:t xml:space="preserve"> ...</w:t>
            </w:r>
          </w:p>
          <w:p w14:paraId="23C3A634" w14:textId="3874DD61" w:rsidR="00A26CD8" w:rsidRPr="00D462F0" w:rsidRDefault="00A26CD8" w:rsidP="00D462F0">
            <w:pPr>
              <w:jc w:val="both"/>
              <w:rPr>
                <w:rFonts w:asciiTheme="majorHAnsi" w:hAnsiTheme="majorHAnsi" w:cstheme="majorHAnsi"/>
                <w:bCs/>
                <w:sz w:val="24"/>
                <w:szCs w:val="24"/>
              </w:rPr>
            </w:pPr>
          </w:p>
        </w:tc>
        <w:tc>
          <w:tcPr>
            <w:tcW w:w="4074" w:type="dxa"/>
          </w:tcPr>
          <w:p w14:paraId="23CBD1B0" w14:textId="4A830848" w:rsidR="00A26CD8" w:rsidRPr="00D462F0" w:rsidRDefault="0029794E"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D381AA3" w14:textId="47891CF5" w:rsidR="00A26CD8" w:rsidRPr="00D462F0" w:rsidRDefault="00A26CD8" w:rsidP="00D462F0">
            <w:pPr>
              <w:jc w:val="both"/>
              <w:rPr>
                <w:rFonts w:asciiTheme="majorHAnsi" w:hAnsiTheme="majorHAnsi" w:cstheme="majorHAnsi"/>
                <w:bCs/>
                <w:sz w:val="24"/>
                <w:szCs w:val="24"/>
              </w:rPr>
            </w:pPr>
          </w:p>
        </w:tc>
      </w:tr>
      <w:tr w:rsidR="00A26CD8" w:rsidRPr="00C93770" w14:paraId="6F151CBF" w14:textId="77777777" w:rsidTr="1756A420">
        <w:tc>
          <w:tcPr>
            <w:tcW w:w="4074" w:type="dxa"/>
          </w:tcPr>
          <w:p w14:paraId="5CADD01E" w14:textId="1792B190"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316055D" w14:textId="18626526"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Parágrafo único. </w:t>
            </w:r>
            <w:r w:rsidR="0091362C" w:rsidRPr="00D462F0">
              <w:rPr>
                <w:rFonts w:asciiTheme="majorHAnsi" w:hAnsiTheme="majorHAnsi" w:cstheme="majorHAnsi"/>
                <w:bCs/>
                <w:color w:val="0000FF"/>
                <w:sz w:val="24"/>
                <w:szCs w:val="24"/>
              </w:rPr>
              <w:t xml:space="preserve"> </w:t>
            </w:r>
            <w:r w:rsidR="00A67602">
              <w:rPr>
                <w:rFonts w:asciiTheme="majorHAnsi" w:hAnsiTheme="majorHAnsi" w:cstheme="majorHAnsi"/>
                <w:bCs/>
                <w:color w:val="0000FF"/>
                <w:sz w:val="24"/>
                <w:szCs w:val="24"/>
              </w:rPr>
              <w:t xml:space="preserve">Nos termos do art. 33, </w:t>
            </w:r>
            <w:r w:rsidR="00A67602" w:rsidRPr="00A67602">
              <w:rPr>
                <w:rFonts w:asciiTheme="majorHAnsi" w:hAnsiTheme="majorHAnsi" w:cstheme="majorHAnsi"/>
                <w:bCs/>
                <w:i/>
                <w:iCs/>
                <w:color w:val="0000FF"/>
                <w:sz w:val="24"/>
                <w:szCs w:val="24"/>
              </w:rPr>
              <w:t>caput</w:t>
            </w:r>
            <w:r w:rsidR="00A67602" w:rsidRPr="00FB3502">
              <w:rPr>
                <w:rFonts w:asciiTheme="majorHAnsi" w:hAnsiTheme="majorHAnsi" w:cstheme="majorHAnsi"/>
                <w:bCs/>
                <w:color w:val="0000FF"/>
                <w:sz w:val="24"/>
                <w:szCs w:val="24"/>
              </w:rPr>
              <w:t xml:space="preserve">, da Lei Complementar nº 109, </w:t>
            </w:r>
            <w:r w:rsidR="00A67602">
              <w:rPr>
                <w:rFonts w:asciiTheme="majorHAnsi" w:hAnsiTheme="majorHAnsi" w:cstheme="majorHAnsi"/>
                <w:bCs/>
                <w:color w:val="0000FF"/>
                <w:sz w:val="24"/>
                <w:szCs w:val="24"/>
              </w:rPr>
              <w:t xml:space="preserve">de 29 de maio </w:t>
            </w:r>
            <w:r w:rsidR="00A67602" w:rsidRPr="00FB3502">
              <w:rPr>
                <w:rFonts w:asciiTheme="majorHAnsi" w:hAnsiTheme="majorHAnsi" w:cstheme="majorHAnsi"/>
                <w:bCs/>
                <w:color w:val="0000FF"/>
                <w:sz w:val="24"/>
                <w:szCs w:val="24"/>
              </w:rPr>
              <w:t>de 2001,</w:t>
            </w:r>
            <w:r w:rsidR="00A67602">
              <w:rPr>
                <w:rFonts w:asciiTheme="majorHAnsi" w:hAnsiTheme="majorHAnsi" w:cstheme="majorHAnsi"/>
                <w:bCs/>
                <w:i/>
                <w:iCs/>
                <w:color w:val="0000FF"/>
                <w:sz w:val="24"/>
                <w:szCs w:val="24"/>
              </w:rPr>
              <w:t xml:space="preserve"> </w:t>
            </w:r>
            <w:r w:rsidR="00A67602" w:rsidRPr="00FB3502">
              <w:rPr>
                <w:rFonts w:asciiTheme="majorHAnsi" w:hAnsiTheme="majorHAnsi" w:cstheme="majorHAnsi"/>
                <w:bCs/>
                <w:color w:val="0000FF"/>
                <w:sz w:val="24"/>
                <w:szCs w:val="24"/>
              </w:rPr>
              <w:t>a</w:t>
            </w:r>
            <w:r w:rsidRPr="00A67602">
              <w:rPr>
                <w:rFonts w:asciiTheme="majorHAnsi" w:hAnsiTheme="majorHAnsi" w:cstheme="majorHAnsi"/>
                <w:bCs/>
                <w:color w:val="0000FF"/>
                <w:sz w:val="24"/>
                <w:szCs w:val="24"/>
              </w:rPr>
              <w:t>os</w:t>
            </w:r>
            <w:r w:rsidRPr="00D462F0">
              <w:rPr>
                <w:rFonts w:asciiTheme="majorHAnsi" w:hAnsiTheme="majorHAnsi" w:cstheme="majorHAnsi"/>
                <w:bCs/>
                <w:color w:val="0000FF"/>
                <w:sz w:val="24"/>
                <w:szCs w:val="24"/>
              </w:rPr>
              <w:t xml:space="preserve"> requerimentos listados no Anexo III </w:t>
            </w:r>
            <w:r w:rsidR="00A67602">
              <w:rPr>
                <w:rFonts w:asciiTheme="majorHAnsi" w:hAnsiTheme="majorHAnsi" w:cstheme="majorHAnsi"/>
                <w:bCs/>
                <w:color w:val="0000FF"/>
                <w:sz w:val="24"/>
                <w:szCs w:val="24"/>
              </w:rPr>
              <w:t xml:space="preserve">desta Resolução </w:t>
            </w:r>
            <w:r w:rsidRPr="00D462F0">
              <w:rPr>
                <w:rFonts w:asciiTheme="majorHAnsi" w:hAnsiTheme="majorHAnsi" w:cstheme="majorHAnsi"/>
                <w:bCs/>
                <w:color w:val="0000FF"/>
                <w:sz w:val="24"/>
                <w:szCs w:val="24"/>
              </w:rPr>
              <w:t xml:space="preserve">não se aplica a aprovação tácita por </w:t>
            </w:r>
            <w:r w:rsidRPr="00D462F0">
              <w:rPr>
                <w:rFonts w:asciiTheme="majorHAnsi" w:hAnsiTheme="majorHAnsi" w:cstheme="majorHAnsi"/>
                <w:bCs/>
                <w:color w:val="0000FF"/>
                <w:sz w:val="24"/>
                <w:szCs w:val="24"/>
              </w:rPr>
              <w:lastRenderedPageBreak/>
              <w:t>decurso do prazo de que trata o art. 10, § 1º</w:t>
            </w:r>
            <w:r w:rsidR="00A67602">
              <w:rPr>
                <w:rFonts w:asciiTheme="majorHAnsi" w:hAnsiTheme="majorHAnsi" w:cstheme="majorHAnsi"/>
                <w:bCs/>
                <w:color w:val="0000FF"/>
                <w:sz w:val="24"/>
                <w:szCs w:val="24"/>
              </w:rPr>
              <w:t>,</w:t>
            </w:r>
            <w:r w:rsidRPr="00D462F0">
              <w:rPr>
                <w:rFonts w:asciiTheme="majorHAnsi" w:hAnsiTheme="majorHAnsi" w:cstheme="majorHAnsi"/>
                <w:bCs/>
                <w:color w:val="0000FF"/>
                <w:sz w:val="24"/>
                <w:szCs w:val="24"/>
              </w:rPr>
              <w:t xml:space="preserve"> do Decreto nº 10.178, de 18 de dezembro de 2019.</w:t>
            </w:r>
          </w:p>
        </w:tc>
        <w:tc>
          <w:tcPr>
            <w:tcW w:w="4074" w:type="dxa"/>
          </w:tcPr>
          <w:p w14:paraId="4ED87AEE" w14:textId="4E84AB0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Incluir Parágrafo Único para atendimento à recomendação 2 do Relatório de Avaliação Preliminar da CGU (SEI 0829392).</w:t>
            </w:r>
          </w:p>
        </w:tc>
        <w:tc>
          <w:tcPr>
            <w:tcW w:w="4075" w:type="dxa"/>
          </w:tcPr>
          <w:p w14:paraId="52A1A878"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II.</w:t>
            </w:r>
          </w:p>
          <w:p w14:paraId="1EC8F2A4"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alteração trata de diretriz regulamentada em norma superior, </w:t>
            </w:r>
            <w:r w:rsidRPr="00D462F0">
              <w:rPr>
                <w:rFonts w:asciiTheme="majorHAnsi" w:hAnsiTheme="majorHAnsi" w:cstheme="majorHAnsi"/>
                <w:bCs/>
                <w:sz w:val="24"/>
                <w:szCs w:val="24"/>
              </w:rPr>
              <w:lastRenderedPageBreak/>
              <w:t xml:space="preserve">Decreto nº 10.178, de 18 de dezembro de 2019. </w:t>
            </w:r>
          </w:p>
          <w:p w14:paraId="1E11386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No seu § 1º do art. 10, diz “Decorrido o prazo previsto no caput, a ausência de manifestação conclusiva do órgão ou da entidade acerca do deferimento do ato público de liberação requerido implicará sua aprovação tácita”.</w:t>
            </w:r>
          </w:p>
          <w:p w14:paraId="15AD6B16"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Acontece que, no caso da Previc, por determinação da Lei Complementar nº 109, de 2001, há impossibilidade de aprovação tácita para quaisquer um de seus licenciamentos.</w:t>
            </w:r>
          </w:p>
          <w:p w14:paraId="38F1F027"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Assim, para deixar expresso esse entendimento e em obediência ao citado Decreto, inclui-se esse dispositivo.</w:t>
            </w:r>
          </w:p>
          <w:p w14:paraId="61F0D480" w14:textId="3496D4BF"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o dispositivo em questão se enquadra na dispensa de AIR em função do art. 4º, inciso II, do Decreto nº 10.411, de 2020, por se tratar de “ato</w:t>
            </w:r>
            <w:r w:rsidRPr="00D462F0">
              <w:rPr>
                <w:rFonts w:asciiTheme="majorHAnsi" w:hAnsiTheme="majorHAnsi" w:cstheme="majorHAnsi"/>
                <w:bCs/>
                <w:i/>
                <w:iCs/>
                <w:sz w:val="24"/>
                <w:szCs w:val="24"/>
              </w:rPr>
              <w:t xml:space="preserve"> normativo destinado a disciplinar direitos ou obrigações definidos em norma hierarquicamente superior que não permita, técnica ou juridicamente, diferentes alternativas regulatórias”.</w:t>
            </w:r>
          </w:p>
        </w:tc>
      </w:tr>
      <w:tr w:rsidR="00A663CA" w:rsidRPr="00C93770" w14:paraId="19BDAA9A" w14:textId="77777777" w:rsidTr="1756A420">
        <w:tc>
          <w:tcPr>
            <w:tcW w:w="4074" w:type="dxa"/>
          </w:tcPr>
          <w:p w14:paraId="41C71C42" w14:textId="58EE105A" w:rsidR="00A663CA" w:rsidRPr="00D462F0" w:rsidRDefault="00A663CA" w:rsidP="0028717C">
            <w:pPr>
              <w:jc w:val="center"/>
              <w:rPr>
                <w:rFonts w:asciiTheme="majorHAnsi" w:hAnsiTheme="majorHAnsi" w:cstheme="majorHAnsi"/>
                <w:sz w:val="24"/>
                <w:szCs w:val="24"/>
              </w:rPr>
            </w:pPr>
            <w:r w:rsidRPr="00D462F0">
              <w:rPr>
                <w:rFonts w:asciiTheme="majorHAnsi" w:hAnsiTheme="majorHAnsi" w:cstheme="majorHAnsi"/>
                <w:sz w:val="24"/>
                <w:szCs w:val="24"/>
              </w:rPr>
              <w:lastRenderedPageBreak/>
              <w:t>...</w:t>
            </w:r>
          </w:p>
        </w:tc>
        <w:tc>
          <w:tcPr>
            <w:tcW w:w="4074" w:type="dxa"/>
          </w:tcPr>
          <w:p w14:paraId="0E93F7D5" w14:textId="37A75C8D"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D97506A" w14:textId="77777777" w:rsidR="00A663CA" w:rsidRPr="00D462F0" w:rsidRDefault="00A663CA" w:rsidP="00D462F0">
            <w:pPr>
              <w:jc w:val="both"/>
              <w:rPr>
                <w:rFonts w:asciiTheme="majorHAnsi" w:hAnsiTheme="majorHAnsi" w:cstheme="majorHAnsi"/>
                <w:sz w:val="24"/>
                <w:szCs w:val="24"/>
              </w:rPr>
            </w:pPr>
          </w:p>
        </w:tc>
        <w:tc>
          <w:tcPr>
            <w:tcW w:w="4075" w:type="dxa"/>
          </w:tcPr>
          <w:p w14:paraId="10F4C887" w14:textId="77777777" w:rsidR="00A663CA" w:rsidRPr="00D462F0" w:rsidRDefault="00A663CA" w:rsidP="00D462F0">
            <w:pPr>
              <w:jc w:val="both"/>
              <w:rPr>
                <w:rFonts w:asciiTheme="majorHAnsi" w:hAnsiTheme="majorHAnsi" w:cstheme="majorHAnsi"/>
                <w:bCs/>
                <w:sz w:val="24"/>
                <w:szCs w:val="24"/>
              </w:rPr>
            </w:pPr>
          </w:p>
        </w:tc>
      </w:tr>
      <w:tr w:rsidR="00A663CA" w:rsidRPr="00C93770" w14:paraId="3C429C00" w14:textId="77777777" w:rsidTr="1756A420">
        <w:tc>
          <w:tcPr>
            <w:tcW w:w="4074" w:type="dxa"/>
          </w:tcPr>
          <w:p w14:paraId="797DBE6D" w14:textId="77777777" w:rsidR="00A663CA" w:rsidRPr="00D462F0" w:rsidRDefault="00A663CA"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III</w:t>
            </w:r>
          </w:p>
          <w:p w14:paraId="663C03AB" w14:textId="2633F560" w:rsidR="00A663CA" w:rsidRPr="00D462F0" w:rsidRDefault="00A663CA" w:rsidP="0028717C">
            <w:pPr>
              <w:jc w:val="center"/>
              <w:rPr>
                <w:rFonts w:asciiTheme="majorHAnsi" w:hAnsiTheme="majorHAnsi" w:cstheme="majorHAnsi"/>
                <w:sz w:val="24"/>
                <w:szCs w:val="24"/>
              </w:rPr>
            </w:pPr>
            <w:r w:rsidRPr="00D462F0">
              <w:rPr>
                <w:rFonts w:asciiTheme="majorHAnsi" w:hAnsiTheme="majorHAnsi" w:cstheme="majorHAnsi"/>
                <w:b/>
                <w:sz w:val="24"/>
                <w:szCs w:val="24"/>
              </w:rPr>
              <w:t>Outras Disposições</w:t>
            </w:r>
          </w:p>
        </w:tc>
        <w:tc>
          <w:tcPr>
            <w:tcW w:w="4074" w:type="dxa"/>
          </w:tcPr>
          <w:p w14:paraId="1261D6BE" w14:textId="77777777" w:rsidR="00A663CA" w:rsidRPr="00D462F0" w:rsidRDefault="00A663CA"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Subseção III</w:t>
            </w:r>
          </w:p>
          <w:p w14:paraId="2765A112" w14:textId="4E77E720" w:rsidR="00A663CA" w:rsidRPr="00D462F0" w:rsidRDefault="00A663CA" w:rsidP="0028717C">
            <w:pPr>
              <w:jc w:val="center"/>
              <w:rPr>
                <w:rFonts w:asciiTheme="majorHAnsi" w:hAnsiTheme="majorHAnsi" w:cstheme="majorHAnsi"/>
                <w:bCs/>
                <w:sz w:val="24"/>
                <w:szCs w:val="24"/>
              </w:rPr>
            </w:pPr>
            <w:r w:rsidRPr="00D462F0">
              <w:rPr>
                <w:rFonts w:asciiTheme="majorHAnsi" w:hAnsiTheme="majorHAnsi" w:cstheme="majorHAnsi"/>
                <w:b/>
                <w:sz w:val="24"/>
                <w:szCs w:val="24"/>
              </w:rPr>
              <w:t>Outras Disposições</w:t>
            </w:r>
          </w:p>
        </w:tc>
        <w:tc>
          <w:tcPr>
            <w:tcW w:w="4074" w:type="dxa"/>
          </w:tcPr>
          <w:p w14:paraId="00E1033D" w14:textId="77777777" w:rsidR="00A663CA" w:rsidRPr="00D462F0" w:rsidRDefault="00A663CA" w:rsidP="00D462F0">
            <w:pPr>
              <w:jc w:val="both"/>
              <w:rPr>
                <w:rFonts w:asciiTheme="majorHAnsi" w:hAnsiTheme="majorHAnsi" w:cstheme="majorHAnsi"/>
                <w:sz w:val="24"/>
                <w:szCs w:val="24"/>
              </w:rPr>
            </w:pPr>
          </w:p>
        </w:tc>
        <w:tc>
          <w:tcPr>
            <w:tcW w:w="4075" w:type="dxa"/>
          </w:tcPr>
          <w:p w14:paraId="5345EA84" w14:textId="77777777" w:rsidR="00A663CA" w:rsidRPr="00D462F0" w:rsidRDefault="00A663CA" w:rsidP="00D462F0">
            <w:pPr>
              <w:jc w:val="both"/>
              <w:rPr>
                <w:rFonts w:asciiTheme="majorHAnsi" w:hAnsiTheme="majorHAnsi" w:cstheme="majorHAnsi"/>
                <w:bCs/>
                <w:sz w:val="24"/>
                <w:szCs w:val="24"/>
              </w:rPr>
            </w:pPr>
          </w:p>
        </w:tc>
      </w:tr>
      <w:tr w:rsidR="00A26CD8" w:rsidRPr="00C93770" w14:paraId="6A210478" w14:textId="77777777" w:rsidTr="1756A420">
        <w:tc>
          <w:tcPr>
            <w:tcW w:w="4074" w:type="dxa"/>
          </w:tcPr>
          <w:p w14:paraId="51EC2242" w14:textId="023C00B6"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176. </w:t>
            </w:r>
            <w:r w:rsidR="00EB19CA" w:rsidRPr="00D462F0">
              <w:rPr>
                <w:rFonts w:asciiTheme="majorHAnsi" w:hAnsiTheme="majorHAnsi" w:cstheme="majorHAnsi"/>
                <w:sz w:val="24"/>
                <w:szCs w:val="24"/>
              </w:rPr>
              <w:t xml:space="preserve"> </w:t>
            </w:r>
            <w:r w:rsidRPr="00D462F0">
              <w:rPr>
                <w:rFonts w:asciiTheme="majorHAnsi" w:hAnsiTheme="majorHAnsi" w:cstheme="majorHAnsi"/>
                <w:sz w:val="24"/>
                <w:szCs w:val="24"/>
              </w:rPr>
              <w:t xml:space="preserve">Nas operações de Cisão, Migração, Fusão ou Incorporação os regulamentos dos planos envolvidos nas referidas operações não </w:t>
            </w:r>
            <w:r w:rsidRPr="00D462F0">
              <w:rPr>
                <w:rFonts w:asciiTheme="majorHAnsi" w:hAnsiTheme="majorHAnsi" w:cstheme="majorHAnsi"/>
                <w:bCs/>
                <w:sz w:val="24"/>
                <w:szCs w:val="24"/>
              </w:rPr>
              <w:t>devem</w:t>
            </w:r>
            <w:r w:rsidRPr="00D462F0">
              <w:rPr>
                <w:rFonts w:asciiTheme="majorHAnsi" w:hAnsiTheme="majorHAnsi" w:cstheme="majorHAnsi"/>
                <w:sz w:val="24"/>
                <w:szCs w:val="24"/>
              </w:rPr>
              <w:t xml:space="preserve"> dispor sobre os critérios estabelecidos respectivamente nos Termos de Cisão, Termo de Migração, Termo de Fusão e Termo de Incorporação.</w:t>
            </w:r>
          </w:p>
        </w:tc>
        <w:tc>
          <w:tcPr>
            <w:tcW w:w="4074" w:type="dxa"/>
          </w:tcPr>
          <w:p w14:paraId="6AEB2239" w14:textId="1F4096D2" w:rsidR="00A26CD8" w:rsidRPr="00D462F0" w:rsidRDefault="00A26CD8"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176. </w:t>
            </w:r>
            <w:r w:rsidR="00EA698E">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Nas operações de </w:t>
            </w:r>
            <w:r w:rsidRPr="00D462F0">
              <w:rPr>
                <w:rFonts w:asciiTheme="majorHAnsi" w:hAnsiTheme="majorHAnsi" w:cstheme="majorHAnsi"/>
                <w:bCs/>
                <w:color w:val="0000FF"/>
                <w:sz w:val="24"/>
                <w:szCs w:val="24"/>
              </w:rPr>
              <w:t>Transferência de Gerenciamento</w:t>
            </w:r>
            <w:r w:rsidRPr="00D462F0">
              <w:rPr>
                <w:rFonts w:asciiTheme="majorHAnsi" w:hAnsiTheme="majorHAnsi" w:cstheme="majorHAnsi"/>
                <w:bCs/>
                <w:sz w:val="24"/>
                <w:szCs w:val="24"/>
              </w:rPr>
              <w:t>, Cisão, Migração, Fusão ou Incorporação</w:t>
            </w:r>
            <w:r w:rsidRPr="00D462F0">
              <w:rPr>
                <w:rFonts w:asciiTheme="majorHAnsi" w:hAnsiTheme="majorHAnsi" w:cstheme="majorHAnsi"/>
                <w:bCs/>
                <w:color w:val="1F497D" w:themeColor="text2"/>
                <w:sz w:val="24"/>
                <w:szCs w:val="24"/>
              </w:rPr>
              <w:t>,</w:t>
            </w:r>
            <w:r w:rsidRPr="00D462F0">
              <w:rPr>
                <w:rFonts w:asciiTheme="majorHAnsi" w:hAnsiTheme="majorHAnsi" w:cstheme="majorHAnsi"/>
                <w:bCs/>
                <w:sz w:val="24"/>
                <w:szCs w:val="24"/>
              </w:rPr>
              <w:t xml:space="preserve"> os regulamentos dos planos envolvidos nas referidas operações não devem dispor sobre os critérios estabelecidos respectivamente nos </w:t>
            </w:r>
            <w:r w:rsidRPr="00D462F0">
              <w:rPr>
                <w:rFonts w:asciiTheme="majorHAnsi" w:hAnsiTheme="majorHAnsi" w:cstheme="majorHAnsi"/>
                <w:bCs/>
                <w:color w:val="0000FF"/>
                <w:sz w:val="24"/>
                <w:szCs w:val="24"/>
              </w:rPr>
              <w:t>Termos de Transferência de Gerenciamento</w:t>
            </w:r>
            <w:r w:rsidRPr="00D462F0">
              <w:rPr>
                <w:rFonts w:asciiTheme="majorHAnsi" w:hAnsiTheme="majorHAnsi" w:cstheme="majorHAnsi"/>
                <w:bCs/>
                <w:color w:val="1F497D" w:themeColor="text2"/>
                <w:sz w:val="24"/>
                <w:szCs w:val="24"/>
              </w:rPr>
              <w:t>,</w:t>
            </w:r>
            <w:r w:rsidRPr="00D462F0">
              <w:rPr>
                <w:rFonts w:asciiTheme="majorHAnsi" w:hAnsiTheme="majorHAnsi" w:cstheme="majorHAnsi"/>
                <w:bCs/>
                <w:sz w:val="24"/>
                <w:szCs w:val="24"/>
              </w:rPr>
              <w:t xml:space="preserve"> Termo de Cisão, Termo de Migração, </w:t>
            </w:r>
            <w:r w:rsidRPr="00D462F0">
              <w:rPr>
                <w:rFonts w:asciiTheme="majorHAnsi" w:hAnsiTheme="majorHAnsi" w:cstheme="majorHAnsi"/>
                <w:bCs/>
                <w:sz w:val="24"/>
                <w:szCs w:val="24"/>
              </w:rPr>
              <w:lastRenderedPageBreak/>
              <w:t>Termo de Fusão e Termo de Incorporação.</w:t>
            </w:r>
          </w:p>
        </w:tc>
        <w:tc>
          <w:tcPr>
            <w:tcW w:w="4074" w:type="dxa"/>
          </w:tcPr>
          <w:p w14:paraId="315EFFA1"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 proposta da inclusão visa uma otimização nas orientações para instrução dos requerimentos e à segurança na análise das informações, dos documentos e do atendimento às condições legais e técnicas.</w:t>
            </w:r>
          </w:p>
          <w:p w14:paraId="598CD326" w14:textId="24D242F2" w:rsidR="00A26CD8" w:rsidRPr="00D462F0" w:rsidRDefault="00A26CD8" w:rsidP="00D462F0">
            <w:pPr>
              <w:jc w:val="both"/>
              <w:rPr>
                <w:rFonts w:asciiTheme="majorHAnsi" w:hAnsiTheme="majorHAnsi" w:cstheme="majorHAnsi"/>
                <w:sz w:val="24"/>
                <w:szCs w:val="24"/>
              </w:rPr>
            </w:pPr>
          </w:p>
        </w:tc>
        <w:tc>
          <w:tcPr>
            <w:tcW w:w="4075" w:type="dxa"/>
          </w:tcPr>
          <w:p w14:paraId="24E9A57F" w14:textId="38C15A4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327EB8FA"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em questão pretende otimizar as orientações para instrução dos requerimentos e assegurar maior segurança na análise das informações, dos documentos e do atendimento às condições legais e técnicas, e para fins de melhoria na </w:t>
            </w:r>
            <w:r w:rsidRPr="00D462F0">
              <w:rPr>
                <w:rFonts w:asciiTheme="majorHAnsi" w:hAnsiTheme="majorHAnsi" w:cstheme="majorHAnsi"/>
                <w:bCs/>
                <w:sz w:val="24"/>
                <w:szCs w:val="24"/>
              </w:rPr>
              <w:lastRenderedPageBreak/>
              <w:t xml:space="preserve">governança contempla também as operações de Transferência de Gerenciamento. </w:t>
            </w:r>
          </w:p>
          <w:p w14:paraId="428B1F5E"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Tal medida pretende preservar a higidez da entidade assim como de todo o sistema. Conceitualmente higidez é a condição de uma entidade que demonstra equilíbrio atuarial, sustentabilidade de longo prazo e conformidade regulatória. Nesse sentido, trata-se de componente da higidez a governança e controles internos tendo como pilar as boas práticas de gestão e fiscalização dos processos decisórios.</w:t>
            </w:r>
          </w:p>
          <w:p w14:paraId="0A8D4F1F" w14:textId="6E3F3D1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A663CA" w:rsidRPr="00C93770" w14:paraId="28B0D72D" w14:textId="77777777" w:rsidTr="1756A420">
        <w:tc>
          <w:tcPr>
            <w:tcW w:w="4074" w:type="dxa"/>
          </w:tcPr>
          <w:p w14:paraId="2270C046" w14:textId="49657EA5" w:rsidR="00A663CA" w:rsidRPr="00D462F0" w:rsidRDefault="00A663C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5A8D0B21" w14:textId="7B0EB358" w:rsidR="00A663CA" w:rsidRPr="00D462F0" w:rsidRDefault="00A663CA" w:rsidP="0028717C">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6FF0D8B0" w14:textId="77777777" w:rsidR="00A663CA" w:rsidRPr="00D462F0" w:rsidRDefault="00A663CA" w:rsidP="00D462F0">
            <w:pPr>
              <w:jc w:val="both"/>
              <w:rPr>
                <w:rFonts w:asciiTheme="majorHAnsi" w:hAnsiTheme="majorHAnsi" w:cstheme="majorHAnsi"/>
                <w:sz w:val="24"/>
                <w:szCs w:val="24"/>
              </w:rPr>
            </w:pPr>
          </w:p>
        </w:tc>
        <w:tc>
          <w:tcPr>
            <w:tcW w:w="4075" w:type="dxa"/>
          </w:tcPr>
          <w:p w14:paraId="05B5C0C4" w14:textId="77777777" w:rsidR="00A663CA" w:rsidRPr="00D462F0" w:rsidRDefault="00A663CA" w:rsidP="00D462F0">
            <w:pPr>
              <w:jc w:val="both"/>
              <w:rPr>
                <w:rFonts w:asciiTheme="majorHAnsi" w:hAnsiTheme="majorHAnsi" w:cstheme="majorHAnsi"/>
                <w:bCs/>
                <w:sz w:val="24"/>
                <w:szCs w:val="24"/>
              </w:rPr>
            </w:pPr>
          </w:p>
        </w:tc>
      </w:tr>
      <w:tr w:rsidR="00A26CD8" w:rsidRPr="00C93770" w14:paraId="4F9D45EE" w14:textId="77777777" w:rsidTr="1756A420">
        <w:tc>
          <w:tcPr>
            <w:tcW w:w="4074" w:type="dxa"/>
          </w:tcPr>
          <w:p w14:paraId="6B49450D" w14:textId="4F0D54A3" w:rsidR="00A26CD8" w:rsidRPr="00D462F0" w:rsidRDefault="00A26CD8"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4EB05B8" w14:textId="0A229EE7"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Art. 176-A</w:t>
            </w:r>
            <w:r w:rsidR="00EB19CA" w:rsidRPr="00D462F0">
              <w:rPr>
                <w:rFonts w:asciiTheme="majorHAnsi" w:hAnsiTheme="majorHAnsi" w:cstheme="majorHAnsi"/>
                <w:bCs/>
                <w:color w:val="0000FF"/>
                <w:sz w:val="24"/>
                <w:szCs w:val="24"/>
              </w:rPr>
              <w:t>.</w:t>
            </w:r>
            <w:r w:rsidRPr="00D462F0">
              <w:rPr>
                <w:rFonts w:asciiTheme="majorHAnsi" w:hAnsiTheme="majorHAnsi" w:cstheme="majorHAnsi"/>
                <w:bCs/>
                <w:color w:val="0000FF"/>
                <w:sz w:val="24"/>
                <w:szCs w:val="24"/>
              </w:rPr>
              <w:t xml:space="preserve">  Para os fins desta Subseção, considera-se as seguintes definições:</w:t>
            </w:r>
          </w:p>
        </w:tc>
        <w:tc>
          <w:tcPr>
            <w:tcW w:w="4074" w:type="dxa"/>
          </w:tcPr>
          <w:p w14:paraId="1596030A"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visa otimização nas orientações para instrução dos requerimentos e à segurança na análise das informações, dos documentos e do atendimento às condições legais e técnicas estabelecidas para os tipos de requerimentos, retirando da Nota Técnica DILIC 1026 e inserido os conceitos na Resolução, atribuindo maior segurança e relevância normativa.</w:t>
            </w:r>
          </w:p>
          <w:p w14:paraId="774769BD" w14:textId="0AAC7876" w:rsidR="00A26CD8" w:rsidRPr="00D462F0" w:rsidRDefault="00A26CD8" w:rsidP="00D462F0">
            <w:pPr>
              <w:jc w:val="both"/>
              <w:rPr>
                <w:rFonts w:asciiTheme="majorHAnsi" w:hAnsiTheme="majorHAnsi" w:cstheme="majorHAnsi"/>
                <w:sz w:val="24"/>
                <w:szCs w:val="24"/>
              </w:rPr>
            </w:pPr>
          </w:p>
        </w:tc>
        <w:tc>
          <w:tcPr>
            <w:tcW w:w="4075" w:type="dxa"/>
          </w:tcPr>
          <w:p w14:paraId="01B1DA54" w14:textId="4F6BA2B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57758055" w14:textId="0FC9AFCD"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Trata-se de dispositivo para definir no normativo as datas de referência para os respectivos licenciamentos, a fim de aumentar a segurança jurídica dos processos e consequentemente a higidez do sistema.</w:t>
            </w:r>
          </w:p>
          <w:p w14:paraId="09B06848" w14:textId="33002E85"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A26CD8" w:rsidRPr="00C93770" w14:paraId="7AAF7191" w14:textId="77777777" w:rsidTr="1756A420">
        <w:tc>
          <w:tcPr>
            <w:tcW w:w="4074" w:type="dxa"/>
          </w:tcPr>
          <w:p w14:paraId="4724B0F0" w14:textId="3D135BC6"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65A4B868" w14:textId="7C9C5597"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data-base</w:t>
            </w:r>
            <w:proofErr w:type="gramEnd"/>
            <w:r w:rsidRPr="00D462F0">
              <w:rPr>
                <w:rFonts w:asciiTheme="majorHAnsi" w:hAnsiTheme="majorHAnsi" w:cstheme="majorHAnsi"/>
                <w:bCs/>
                <w:color w:val="0000FF"/>
                <w:sz w:val="24"/>
                <w:szCs w:val="24"/>
              </w:rPr>
              <w:t xml:space="preserve">: o dia trinta e um de dezembro do exercício imediatamente </w:t>
            </w:r>
            <w:r w:rsidRPr="00D462F0">
              <w:rPr>
                <w:rFonts w:asciiTheme="majorHAnsi" w:hAnsiTheme="majorHAnsi" w:cstheme="majorHAnsi"/>
                <w:bCs/>
                <w:color w:val="0000FF"/>
                <w:sz w:val="24"/>
                <w:szCs w:val="24"/>
              </w:rPr>
              <w:lastRenderedPageBreak/>
              <w:t xml:space="preserve">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w:t>
            </w:r>
          </w:p>
        </w:tc>
        <w:tc>
          <w:tcPr>
            <w:tcW w:w="4074" w:type="dxa"/>
          </w:tcPr>
          <w:p w14:paraId="7B436A16" w14:textId="77777777" w:rsidR="00A26CD8" w:rsidRPr="00D462F0" w:rsidRDefault="00A26CD8" w:rsidP="00D462F0">
            <w:pPr>
              <w:jc w:val="both"/>
              <w:rPr>
                <w:rFonts w:asciiTheme="majorHAnsi" w:hAnsiTheme="majorHAnsi" w:cstheme="majorHAnsi"/>
                <w:sz w:val="24"/>
                <w:szCs w:val="24"/>
              </w:rPr>
            </w:pPr>
          </w:p>
        </w:tc>
        <w:tc>
          <w:tcPr>
            <w:tcW w:w="4075" w:type="dxa"/>
          </w:tcPr>
          <w:p w14:paraId="6449B4F1" w14:textId="324E3A0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779EFD4B" w14:textId="77777777" w:rsidTr="1756A420">
        <w:tc>
          <w:tcPr>
            <w:tcW w:w="4074" w:type="dxa"/>
          </w:tcPr>
          <w:p w14:paraId="37A4B6B8" w14:textId="552BDE8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502922D" w14:textId="5B0B7E57"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data</w:t>
            </w:r>
            <w:proofErr w:type="gramEnd"/>
            <w:r w:rsidRPr="00D462F0">
              <w:rPr>
                <w:rFonts w:asciiTheme="majorHAnsi" w:hAnsiTheme="majorHAnsi" w:cstheme="majorHAnsi"/>
                <w:bCs/>
                <w:color w:val="0000FF"/>
                <w:sz w:val="24"/>
                <w:szCs w:val="24"/>
              </w:rPr>
              <w:t xml:space="preserve"> de autorização: aquela em que for publicado o ato de aprovação da Previc no Diário Oficial da União – DOU, referente à operação pretendida; </w:t>
            </w:r>
          </w:p>
        </w:tc>
        <w:tc>
          <w:tcPr>
            <w:tcW w:w="4074" w:type="dxa"/>
          </w:tcPr>
          <w:p w14:paraId="0EAEA051" w14:textId="77777777" w:rsidR="00A26CD8" w:rsidRPr="00D462F0" w:rsidRDefault="00A26CD8" w:rsidP="00D462F0">
            <w:pPr>
              <w:jc w:val="both"/>
              <w:rPr>
                <w:rFonts w:asciiTheme="majorHAnsi" w:hAnsiTheme="majorHAnsi" w:cstheme="majorHAnsi"/>
                <w:sz w:val="24"/>
                <w:szCs w:val="24"/>
              </w:rPr>
            </w:pPr>
          </w:p>
        </w:tc>
        <w:tc>
          <w:tcPr>
            <w:tcW w:w="4075" w:type="dxa"/>
          </w:tcPr>
          <w:p w14:paraId="5C490057" w14:textId="7E14FDC6"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6914B877" w14:textId="77777777" w:rsidTr="1756A420">
        <w:tc>
          <w:tcPr>
            <w:tcW w:w="4074" w:type="dxa"/>
          </w:tcPr>
          <w:p w14:paraId="29681178" w14:textId="0F06035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872FFBD" w14:textId="13BF1CB9"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III - data do cálculo: aquela correspondente ao último dia do mês em que ocorrer a data de autorização, momento em que os cálculos devem ser posicionados para a finalização da operação; </w:t>
            </w:r>
          </w:p>
        </w:tc>
        <w:tc>
          <w:tcPr>
            <w:tcW w:w="4074" w:type="dxa"/>
          </w:tcPr>
          <w:p w14:paraId="0EC9B2A8" w14:textId="77777777" w:rsidR="00A26CD8" w:rsidRPr="00D462F0" w:rsidRDefault="00A26CD8" w:rsidP="00D462F0">
            <w:pPr>
              <w:jc w:val="both"/>
              <w:rPr>
                <w:rFonts w:asciiTheme="majorHAnsi" w:hAnsiTheme="majorHAnsi" w:cstheme="majorHAnsi"/>
                <w:sz w:val="24"/>
                <w:szCs w:val="24"/>
              </w:rPr>
            </w:pPr>
          </w:p>
        </w:tc>
        <w:tc>
          <w:tcPr>
            <w:tcW w:w="4075" w:type="dxa"/>
          </w:tcPr>
          <w:p w14:paraId="6AD784F6" w14:textId="06588FF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34F3A383" w14:textId="77777777" w:rsidTr="1756A420">
        <w:tc>
          <w:tcPr>
            <w:tcW w:w="4074" w:type="dxa"/>
          </w:tcPr>
          <w:p w14:paraId="5AF5AB09" w14:textId="74BC0AC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DAF5123" w14:textId="3581AE95"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IV - </w:t>
            </w:r>
            <w:proofErr w:type="gramStart"/>
            <w:r w:rsidRPr="00D462F0">
              <w:rPr>
                <w:rFonts w:asciiTheme="majorHAnsi" w:hAnsiTheme="majorHAnsi" w:cstheme="majorHAnsi"/>
                <w:bCs/>
                <w:color w:val="0000FF"/>
                <w:sz w:val="24"/>
                <w:szCs w:val="24"/>
              </w:rPr>
              <w:t>data-efetiva</w:t>
            </w:r>
            <w:proofErr w:type="gramEnd"/>
            <w:r w:rsidRPr="00D462F0">
              <w:rPr>
                <w:rFonts w:asciiTheme="majorHAnsi" w:hAnsiTheme="majorHAnsi" w:cstheme="majorHAnsi"/>
                <w:bCs/>
                <w:color w:val="0000FF"/>
                <w:sz w:val="24"/>
                <w:szCs w:val="24"/>
              </w:rPr>
              <w:t xml:space="preserve">: aquela, posterior à data de autorização, acordada formalmente entre as partes, até a qual deve ocorrer a finalização da operação; </w:t>
            </w:r>
          </w:p>
        </w:tc>
        <w:tc>
          <w:tcPr>
            <w:tcW w:w="4074" w:type="dxa"/>
          </w:tcPr>
          <w:p w14:paraId="69C86F86" w14:textId="77777777" w:rsidR="00A26CD8" w:rsidRPr="00D462F0" w:rsidRDefault="00A26CD8" w:rsidP="00D462F0">
            <w:pPr>
              <w:jc w:val="both"/>
              <w:rPr>
                <w:rFonts w:asciiTheme="majorHAnsi" w:hAnsiTheme="majorHAnsi" w:cstheme="majorHAnsi"/>
                <w:sz w:val="24"/>
                <w:szCs w:val="24"/>
              </w:rPr>
            </w:pPr>
          </w:p>
        </w:tc>
        <w:tc>
          <w:tcPr>
            <w:tcW w:w="4075" w:type="dxa"/>
          </w:tcPr>
          <w:p w14:paraId="496B5048" w14:textId="0E97B41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3D0BD4F6" w14:textId="77777777" w:rsidTr="1756A420">
        <w:tc>
          <w:tcPr>
            <w:tcW w:w="4074" w:type="dxa"/>
          </w:tcPr>
          <w:p w14:paraId="01D4ABC4" w14:textId="6CF782FC"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6CE2324" w14:textId="2BFD381A"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V - </w:t>
            </w:r>
            <w:proofErr w:type="gramStart"/>
            <w:r w:rsidRPr="00D462F0">
              <w:rPr>
                <w:rFonts w:asciiTheme="majorHAnsi" w:hAnsiTheme="majorHAnsi" w:cstheme="majorHAnsi"/>
                <w:bCs/>
                <w:color w:val="0000FF"/>
                <w:sz w:val="24"/>
                <w:szCs w:val="24"/>
              </w:rPr>
              <w:t>termo</w:t>
            </w:r>
            <w:proofErr w:type="gramEnd"/>
            <w:r w:rsidRPr="00D462F0">
              <w:rPr>
                <w:rFonts w:asciiTheme="majorHAnsi" w:hAnsiTheme="majorHAnsi" w:cstheme="majorHAnsi"/>
                <w:bCs/>
                <w:color w:val="0000FF"/>
                <w:sz w:val="24"/>
                <w:szCs w:val="24"/>
              </w:rPr>
              <w:t xml:space="preserve"> da operação: instrumento contratual firmado entre as partes envolvidas na operação pretendida, no qual são pactuadas as condições, os critérios e as metodologias aplicáveis ao requerimento; e </w:t>
            </w:r>
          </w:p>
        </w:tc>
        <w:tc>
          <w:tcPr>
            <w:tcW w:w="4074" w:type="dxa"/>
          </w:tcPr>
          <w:p w14:paraId="3D270AFA" w14:textId="77777777" w:rsidR="00A26CD8" w:rsidRPr="00D462F0" w:rsidRDefault="00A26CD8" w:rsidP="00D462F0">
            <w:pPr>
              <w:jc w:val="both"/>
              <w:rPr>
                <w:rFonts w:asciiTheme="majorHAnsi" w:hAnsiTheme="majorHAnsi" w:cstheme="majorHAnsi"/>
                <w:sz w:val="24"/>
                <w:szCs w:val="24"/>
              </w:rPr>
            </w:pPr>
          </w:p>
        </w:tc>
        <w:tc>
          <w:tcPr>
            <w:tcW w:w="4075" w:type="dxa"/>
          </w:tcPr>
          <w:p w14:paraId="1DDCDCB5" w14:textId="6CE4F3DA"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7A9D1D7E" w14:textId="77777777" w:rsidTr="1756A420">
        <w:tc>
          <w:tcPr>
            <w:tcW w:w="4074" w:type="dxa"/>
          </w:tcPr>
          <w:p w14:paraId="09F5A69B" w14:textId="6E68EB0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3005357E" w14:textId="2C5E0EBE" w:rsidR="00A26CD8" w:rsidRPr="00D462F0" w:rsidRDefault="00A26CD8"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VI - </w:t>
            </w:r>
            <w:proofErr w:type="gramStart"/>
            <w:r w:rsidRPr="00D462F0">
              <w:rPr>
                <w:rFonts w:asciiTheme="majorHAnsi" w:hAnsiTheme="majorHAnsi" w:cstheme="majorHAnsi"/>
                <w:bCs/>
                <w:color w:val="0000FF"/>
                <w:sz w:val="24"/>
                <w:szCs w:val="24"/>
              </w:rPr>
              <w:t>relatório</w:t>
            </w:r>
            <w:proofErr w:type="gramEnd"/>
            <w:r w:rsidRPr="00D462F0">
              <w:rPr>
                <w:rFonts w:asciiTheme="majorHAnsi" w:hAnsiTheme="majorHAnsi" w:cstheme="majorHAnsi"/>
                <w:bCs/>
                <w:color w:val="0000FF"/>
                <w:sz w:val="24"/>
                <w:szCs w:val="24"/>
              </w:rPr>
              <w:t xml:space="preserve">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Pr="00D462F0">
              <w:rPr>
                <w:rFonts w:asciiTheme="majorHAnsi" w:hAnsiTheme="majorHAnsi" w:cstheme="majorHAnsi"/>
                <w:bCs/>
                <w:color w:val="0000FF"/>
                <w:sz w:val="24"/>
                <w:szCs w:val="24"/>
              </w:rPr>
              <w:t>xlsx</w:t>
            </w:r>
            <w:proofErr w:type="spellEnd"/>
            <w:r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lastRenderedPageBreak/>
              <w:t>conforme modelo disponível no sítio eletrônico da Previc na internet.</w:t>
            </w:r>
          </w:p>
        </w:tc>
        <w:tc>
          <w:tcPr>
            <w:tcW w:w="4074" w:type="dxa"/>
          </w:tcPr>
          <w:p w14:paraId="52E1EA8E" w14:textId="77777777" w:rsidR="00A26CD8" w:rsidRPr="00D462F0" w:rsidRDefault="00A26CD8" w:rsidP="00D462F0">
            <w:pPr>
              <w:jc w:val="both"/>
              <w:rPr>
                <w:rFonts w:asciiTheme="majorHAnsi" w:hAnsiTheme="majorHAnsi" w:cstheme="majorHAnsi"/>
                <w:sz w:val="24"/>
                <w:szCs w:val="24"/>
              </w:rPr>
            </w:pPr>
          </w:p>
        </w:tc>
        <w:tc>
          <w:tcPr>
            <w:tcW w:w="4075" w:type="dxa"/>
          </w:tcPr>
          <w:p w14:paraId="3FF023E0" w14:textId="266BEB0E"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A26CD8" w:rsidRPr="00C93770" w14:paraId="4EC6828F" w14:textId="77777777" w:rsidTr="1756A420">
        <w:tc>
          <w:tcPr>
            <w:tcW w:w="4074" w:type="dxa"/>
          </w:tcPr>
          <w:p w14:paraId="4490E4D5" w14:textId="15EE8A4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177. </w:t>
            </w:r>
            <w:r w:rsidR="00EB19CA" w:rsidRPr="00D462F0">
              <w:rPr>
                <w:rFonts w:asciiTheme="majorHAnsi" w:hAnsiTheme="majorHAnsi" w:cstheme="majorHAnsi"/>
                <w:sz w:val="24"/>
                <w:szCs w:val="24"/>
              </w:rPr>
              <w:t xml:space="preserve"> </w:t>
            </w:r>
            <w:r w:rsidRPr="00D462F0">
              <w:rPr>
                <w:rFonts w:asciiTheme="majorHAnsi" w:hAnsiTheme="majorHAnsi" w:cstheme="majorHAnsi"/>
                <w:sz w:val="24"/>
                <w:szCs w:val="24"/>
              </w:rPr>
              <w:t>O requerimento de encerramento de plano de benefícios ou de EFPC deve ser protocolado pela EFPC, instruído com o expediente explicativo e Termo de Responsabilidade de Encerramento de Plano de Benefícios ou Termo de Responsabilidade de Encerramento de EFPC, conforme o caso.</w:t>
            </w:r>
          </w:p>
        </w:tc>
        <w:tc>
          <w:tcPr>
            <w:tcW w:w="4074" w:type="dxa"/>
          </w:tcPr>
          <w:p w14:paraId="7F73B221" w14:textId="02A15C43"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177.</w:t>
            </w:r>
            <w:r w:rsidR="00EB19CA"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 xml:space="preserve"> </w:t>
            </w:r>
            <w:r w:rsidR="00EB19CA" w:rsidRPr="00D462F0">
              <w:rPr>
                <w:rFonts w:asciiTheme="majorHAnsi" w:hAnsiTheme="majorHAnsi" w:cstheme="majorHAnsi"/>
                <w:bCs/>
                <w:sz w:val="24"/>
                <w:szCs w:val="24"/>
              </w:rPr>
              <w:t>...</w:t>
            </w:r>
          </w:p>
          <w:p w14:paraId="05A78AC3" w14:textId="447501A0" w:rsidR="00A26CD8" w:rsidRPr="00D462F0" w:rsidRDefault="00A26CD8" w:rsidP="00D462F0">
            <w:pPr>
              <w:jc w:val="both"/>
              <w:rPr>
                <w:rFonts w:asciiTheme="majorHAnsi" w:hAnsiTheme="majorHAnsi" w:cstheme="majorHAnsi"/>
                <w:bCs/>
                <w:color w:val="0000FF"/>
                <w:sz w:val="24"/>
                <w:szCs w:val="24"/>
              </w:rPr>
            </w:pPr>
          </w:p>
        </w:tc>
        <w:tc>
          <w:tcPr>
            <w:tcW w:w="4074" w:type="dxa"/>
          </w:tcPr>
          <w:p w14:paraId="078303FB" w14:textId="61950C80" w:rsidR="00A26CD8"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83C5CF2" w14:textId="0C60D825" w:rsidR="00A26CD8" w:rsidRPr="00D462F0" w:rsidRDefault="00A26CD8" w:rsidP="00D462F0">
            <w:pPr>
              <w:jc w:val="both"/>
              <w:rPr>
                <w:rFonts w:asciiTheme="majorHAnsi" w:hAnsiTheme="majorHAnsi" w:cstheme="majorHAnsi"/>
                <w:bCs/>
                <w:sz w:val="24"/>
                <w:szCs w:val="24"/>
              </w:rPr>
            </w:pPr>
          </w:p>
        </w:tc>
      </w:tr>
      <w:tr w:rsidR="00A26CD8" w:rsidRPr="00C93770" w14:paraId="76CE4B80" w14:textId="77777777" w:rsidTr="1756A420">
        <w:tc>
          <w:tcPr>
            <w:tcW w:w="4074" w:type="dxa"/>
          </w:tcPr>
          <w:p w14:paraId="312ACA1C" w14:textId="1386C608"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198749B" w14:textId="0BE6B828"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Parágrafo único. </w:t>
            </w:r>
            <w:r w:rsidR="00EA698E">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A EFPC poderá nomear um procurador, devidamente qualificado, para representá-la no processo de encerramento de suas atividades, após a data efetiva da operação, em circunstância excepcional previamente aprovada pela Previc.</w:t>
            </w:r>
          </w:p>
        </w:tc>
        <w:tc>
          <w:tcPr>
            <w:tcW w:w="4074" w:type="dxa"/>
          </w:tcPr>
          <w:p w14:paraId="60BE2F61" w14:textId="1CF3464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Proposta de inserção do §1º visa dar uma maior flexibilidade aos casos excepcionais em que as EFPC não têm mais dirigentes habilitados e ainda estão com processo de encerramento em curso.</w:t>
            </w:r>
          </w:p>
        </w:tc>
        <w:tc>
          <w:tcPr>
            <w:tcW w:w="4075" w:type="dxa"/>
          </w:tcPr>
          <w:p w14:paraId="3BDB5EE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69D52A65"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alteração em questão, em caráter de possibilidade, trata de diretriz para nomeação de procurador em EFPC que estejam em encerramento. </w:t>
            </w:r>
          </w:p>
          <w:p w14:paraId="31C85A68" w14:textId="77777777" w:rsidR="00A26CD8" w:rsidRPr="00D462F0" w:rsidRDefault="00A26CD8"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do sistema como um todo. </w:t>
            </w:r>
          </w:p>
          <w:p w14:paraId="6E4108F7"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Conceitualmente higidez é a condição de uma entidade que demonstra equilíbrio atuarial, sustentabilidade de longo prazo e conformidade regulatória. </w:t>
            </w:r>
          </w:p>
          <w:p w14:paraId="5001ECFB"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trata-se de componente da higidez do sistema que a EFPC faça a gestão para o devido encerramento.</w:t>
            </w:r>
          </w:p>
          <w:p w14:paraId="7B2C8A9B" w14:textId="74ED3FC2"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A26CD8" w:rsidRPr="00C93770" w14:paraId="628873FC" w14:textId="77777777" w:rsidTr="1756A420">
        <w:tc>
          <w:tcPr>
            <w:tcW w:w="4074" w:type="dxa"/>
          </w:tcPr>
          <w:p w14:paraId="495C6B22" w14:textId="77777777"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t>CAPÍTULO V</w:t>
            </w:r>
          </w:p>
          <w:p w14:paraId="4215D9BF" w14:textId="7986C7F9"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t>DAS REGRAS CONTÁBEIS</w:t>
            </w:r>
          </w:p>
        </w:tc>
        <w:tc>
          <w:tcPr>
            <w:tcW w:w="4074" w:type="dxa"/>
          </w:tcPr>
          <w:p w14:paraId="42B28661" w14:textId="77777777"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CAPÍTULO V</w:t>
            </w:r>
          </w:p>
          <w:p w14:paraId="5B4F5A83" w14:textId="55DA18DE"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DAS REGRAS CONTÁBEIS</w:t>
            </w:r>
          </w:p>
        </w:tc>
        <w:tc>
          <w:tcPr>
            <w:tcW w:w="4074" w:type="dxa"/>
          </w:tcPr>
          <w:p w14:paraId="0E504389" w14:textId="56873DCF" w:rsidR="00A26CD8" w:rsidRPr="00D462F0" w:rsidRDefault="00A26CD8" w:rsidP="00D462F0">
            <w:pPr>
              <w:jc w:val="both"/>
              <w:rPr>
                <w:rFonts w:asciiTheme="majorHAnsi" w:hAnsiTheme="majorHAnsi" w:cstheme="majorHAnsi"/>
                <w:sz w:val="24"/>
                <w:szCs w:val="24"/>
              </w:rPr>
            </w:pPr>
          </w:p>
        </w:tc>
        <w:tc>
          <w:tcPr>
            <w:tcW w:w="4075" w:type="dxa"/>
          </w:tcPr>
          <w:p w14:paraId="383BA07C" w14:textId="77777777" w:rsidR="00A26CD8" w:rsidRPr="00D462F0" w:rsidRDefault="00A26CD8" w:rsidP="00D462F0">
            <w:pPr>
              <w:jc w:val="both"/>
              <w:rPr>
                <w:rFonts w:asciiTheme="majorHAnsi" w:hAnsiTheme="majorHAnsi" w:cstheme="majorHAnsi"/>
                <w:bCs/>
                <w:sz w:val="24"/>
                <w:szCs w:val="24"/>
              </w:rPr>
            </w:pPr>
          </w:p>
        </w:tc>
      </w:tr>
      <w:tr w:rsidR="008C248E" w:rsidRPr="00C93770" w14:paraId="4ED2976F" w14:textId="77777777" w:rsidTr="1756A420">
        <w:tc>
          <w:tcPr>
            <w:tcW w:w="4074" w:type="dxa"/>
          </w:tcPr>
          <w:p w14:paraId="510F7847" w14:textId="45BF6F05" w:rsidR="008C248E" w:rsidRPr="00D462F0" w:rsidRDefault="008C248E"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9862D29" w14:textId="5AD82B45" w:rsidR="008C248E" w:rsidRPr="00D462F0" w:rsidRDefault="008C248E"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B7F50EB" w14:textId="77777777" w:rsidR="008C248E" w:rsidRPr="00D462F0" w:rsidRDefault="008C248E" w:rsidP="00D462F0">
            <w:pPr>
              <w:jc w:val="both"/>
              <w:rPr>
                <w:rFonts w:asciiTheme="majorHAnsi" w:hAnsiTheme="majorHAnsi" w:cstheme="majorHAnsi"/>
                <w:sz w:val="24"/>
                <w:szCs w:val="24"/>
              </w:rPr>
            </w:pPr>
          </w:p>
        </w:tc>
        <w:tc>
          <w:tcPr>
            <w:tcW w:w="4075" w:type="dxa"/>
          </w:tcPr>
          <w:p w14:paraId="2E5004BD" w14:textId="77777777" w:rsidR="008C248E" w:rsidRPr="00D462F0" w:rsidRDefault="008C248E" w:rsidP="00D462F0">
            <w:pPr>
              <w:jc w:val="both"/>
              <w:rPr>
                <w:rFonts w:asciiTheme="majorHAnsi" w:hAnsiTheme="majorHAnsi" w:cstheme="majorHAnsi"/>
                <w:bCs/>
                <w:sz w:val="24"/>
                <w:szCs w:val="24"/>
              </w:rPr>
            </w:pPr>
          </w:p>
        </w:tc>
      </w:tr>
      <w:tr w:rsidR="00A26CD8" w:rsidRPr="00C93770" w14:paraId="18991DBF" w14:textId="77777777" w:rsidTr="1756A420">
        <w:tc>
          <w:tcPr>
            <w:tcW w:w="4074" w:type="dxa"/>
          </w:tcPr>
          <w:p w14:paraId="2AF8F07D" w14:textId="77777777"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II</w:t>
            </w:r>
          </w:p>
          <w:p w14:paraId="27D67A91" w14:textId="2B2EBE35"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b/>
                <w:bCs/>
                <w:sz w:val="24"/>
                <w:szCs w:val="24"/>
              </w:rPr>
              <w:t>Registros Contábeis das EFPC</w:t>
            </w:r>
          </w:p>
        </w:tc>
        <w:tc>
          <w:tcPr>
            <w:tcW w:w="4074" w:type="dxa"/>
          </w:tcPr>
          <w:p w14:paraId="3B43C614" w14:textId="77777777" w:rsidR="00A26CD8" w:rsidRPr="00D462F0" w:rsidRDefault="00A26CD8"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Seção II</w:t>
            </w:r>
          </w:p>
          <w:p w14:paraId="6A28D55B" w14:textId="3212CA67" w:rsidR="00A26CD8" w:rsidRPr="00D462F0" w:rsidRDefault="00A26CD8" w:rsidP="0028717C">
            <w:pPr>
              <w:jc w:val="center"/>
              <w:rPr>
                <w:rFonts w:asciiTheme="majorHAnsi" w:hAnsiTheme="majorHAnsi" w:cstheme="majorHAnsi"/>
                <w:b/>
                <w:sz w:val="24"/>
                <w:szCs w:val="24"/>
              </w:rPr>
            </w:pPr>
            <w:r w:rsidRPr="00D462F0">
              <w:rPr>
                <w:rFonts w:asciiTheme="majorHAnsi" w:hAnsiTheme="majorHAnsi" w:cstheme="majorHAnsi"/>
                <w:b/>
                <w:sz w:val="24"/>
                <w:szCs w:val="24"/>
              </w:rPr>
              <w:t>Registros Contábeis das EFPC</w:t>
            </w:r>
          </w:p>
        </w:tc>
        <w:tc>
          <w:tcPr>
            <w:tcW w:w="4074" w:type="dxa"/>
          </w:tcPr>
          <w:p w14:paraId="3B8DE53E" w14:textId="04C03B29" w:rsidR="00A26CD8" w:rsidRPr="00D462F0" w:rsidRDefault="00A26CD8" w:rsidP="00D462F0">
            <w:pPr>
              <w:jc w:val="both"/>
              <w:rPr>
                <w:rFonts w:asciiTheme="majorHAnsi" w:hAnsiTheme="majorHAnsi" w:cstheme="majorHAnsi"/>
                <w:sz w:val="24"/>
                <w:szCs w:val="24"/>
              </w:rPr>
            </w:pPr>
          </w:p>
        </w:tc>
        <w:tc>
          <w:tcPr>
            <w:tcW w:w="4075" w:type="dxa"/>
          </w:tcPr>
          <w:p w14:paraId="4DA0458D" w14:textId="77777777" w:rsidR="00A26CD8" w:rsidRPr="00D462F0" w:rsidRDefault="00A26CD8" w:rsidP="00D462F0">
            <w:pPr>
              <w:jc w:val="both"/>
              <w:rPr>
                <w:rFonts w:asciiTheme="majorHAnsi" w:hAnsiTheme="majorHAnsi" w:cstheme="majorHAnsi"/>
                <w:bCs/>
                <w:sz w:val="24"/>
                <w:szCs w:val="24"/>
              </w:rPr>
            </w:pPr>
          </w:p>
        </w:tc>
      </w:tr>
      <w:tr w:rsidR="00297D09" w:rsidRPr="00C93770" w14:paraId="3B7BB410" w14:textId="77777777" w:rsidTr="1756A420">
        <w:tc>
          <w:tcPr>
            <w:tcW w:w="4074" w:type="dxa"/>
          </w:tcPr>
          <w:p w14:paraId="494A9E70" w14:textId="7A0BF630"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lastRenderedPageBreak/>
              <w:t>...</w:t>
            </w:r>
          </w:p>
        </w:tc>
        <w:tc>
          <w:tcPr>
            <w:tcW w:w="4074" w:type="dxa"/>
          </w:tcPr>
          <w:p w14:paraId="4EACF8F1" w14:textId="49FBC49E" w:rsidR="00297D09" w:rsidRPr="00D462F0" w:rsidRDefault="00297D09" w:rsidP="0028717C">
            <w:pPr>
              <w:tabs>
                <w:tab w:val="left" w:pos="0"/>
              </w:tabs>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CD70F9D" w14:textId="77777777" w:rsidR="00297D09" w:rsidRPr="00D462F0" w:rsidRDefault="00297D09" w:rsidP="00D462F0">
            <w:pPr>
              <w:jc w:val="both"/>
              <w:rPr>
                <w:rFonts w:asciiTheme="majorHAnsi" w:hAnsiTheme="majorHAnsi" w:cstheme="majorHAnsi"/>
                <w:sz w:val="24"/>
                <w:szCs w:val="24"/>
              </w:rPr>
            </w:pPr>
          </w:p>
        </w:tc>
        <w:tc>
          <w:tcPr>
            <w:tcW w:w="4075" w:type="dxa"/>
          </w:tcPr>
          <w:p w14:paraId="417EE09D" w14:textId="77777777" w:rsidR="00297D09" w:rsidRPr="00D462F0" w:rsidRDefault="00297D09" w:rsidP="00D462F0">
            <w:pPr>
              <w:jc w:val="both"/>
              <w:rPr>
                <w:rFonts w:asciiTheme="majorHAnsi" w:hAnsiTheme="majorHAnsi" w:cstheme="majorHAnsi"/>
                <w:bCs/>
                <w:sz w:val="24"/>
                <w:szCs w:val="24"/>
              </w:rPr>
            </w:pPr>
          </w:p>
        </w:tc>
      </w:tr>
      <w:tr w:rsidR="00A26CD8" w:rsidRPr="00C93770" w14:paraId="090D8DBE" w14:textId="77777777" w:rsidTr="1756A420">
        <w:tc>
          <w:tcPr>
            <w:tcW w:w="4074" w:type="dxa"/>
          </w:tcPr>
          <w:p w14:paraId="15EBA2CB" w14:textId="77777777"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w:t>
            </w:r>
          </w:p>
          <w:p w14:paraId="4516F4F7" w14:textId="0BD10344"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b/>
                <w:bCs/>
                <w:sz w:val="24"/>
                <w:szCs w:val="24"/>
              </w:rPr>
              <w:t>Plano de Gestão Administrativa</w:t>
            </w:r>
          </w:p>
        </w:tc>
        <w:tc>
          <w:tcPr>
            <w:tcW w:w="4074" w:type="dxa"/>
          </w:tcPr>
          <w:p w14:paraId="6C77000C" w14:textId="77777777" w:rsidR="00A26CD8" w:rsidRPr="00D462F0" w:rsidRDefault="00A26CD8" w:rsidP="0028717C">
            <w:pPr>
              <w:tabs>
                <w:tab w:val="left" w:pos="0"/>
              </w:tabs>
              <w:jc w:val="center"/>
              <w:rPr>
                <w:rFonts w:asciiTheme="majorHAnsi" w:hAnsiTheme="majorHAnsi" w:cstheme="majorHAnsi"/>
                <w:b/>
                <w:sz w:val="24"/>
                <w:szCs w:val="24"/>
              </w:rPr>
            </w:pPr>
            <w:r w:rsidRPr="00D462F0">
              <w:rPr>
                <w:rFonts w:asciiTheme="majorHAnsi" w:hAnsiTheme="majorHAnsi" w:cstheme="majorHAnsi"/>
                <w:b/>
                <w:sz w:val="24"/>
                <w:szCs w:val="24"/>
              </w:rPr>
              <w:t>Subseção I</w:t>
            </w:r>
          </w:p>
          <w:p w14:paraId="1CC073A3" w14:textId="2C49BCFA" w:rsidR="00A26CD8" w:rsidRPr="00D462F0" w:rsidRDefault="00A26CD8" w:rsidP="0028717C">
            <w:pPr>
              <w:jc w:val="center"/>
              <w:rPr>
                <w:rFonts w:asciiTheme="majorHAnsi" w:hAnsiTheme="majorHAnsi" w:cstheme="majorHAnsi"/>
                <w:b/>
                <w:sz w:val="24"/>
                <w:szCs w:val="24"/>
              </w:rPr>
            </w:pPr>
            <w:r w:rsidRPr="00D462F0">
              <w:rPr>
                <w:rFonts w:asciiTheme="majorHAnsi" w:hAnsiTheme="majorHAnsi" w:cstheme="majorHAnsi"/>
                <w:b/>
                <w:sz w:val="24"/>
                <w:szCs w:val="24"/>
              </w:rPr>
              <w:t>Plano de Gestão Administrativa</w:t>
            </w:r>
          </w:p>
        </w:tc>
        <w:tc>
          <w:tcPr>
            <w:tcW w:w="4074" w:type="dxa"/>
          </w:tcPr>
          <w:p w14:paraId="1E20E7C5" w14:textId="71E385AF" w:rsidR="00A26CD8" w:rsidRPr="00D462F0" w:rsidRDefault="00A26CD8" w:rsidP="00D462F0">
            <w:pPr>
              <w:jc w:val="both"/>
              <w:rPr>
                <w:rFonts w:asciiTheme="majorHAnsi" w:hAnsiTheme="majorHAnsi" w:cstheme="majorHAnsi"/>
                <w:sz w:val="24"/>
                <w:szCs w:val="24"/>
              </w:rPr>
            </w:pPr>
          </w:p>
        </w:tc>
        <w:tc>
          <w:tcPr>
            <w:tcW w:w="4075" w:type="dxa"/>
          </w:tcPr>
          <w:p w14:paraId="6F6822D7" w14:textId="77777777" w:rsidR="00A26CD8" w:rsidRPr="00D462F0" w:rsidRDefault="00A26CD8" w:rsidP="00D462F0">
            <w:pPr>
              <w:jc w:val="both"/>
              <w:rPr>
                <w:rFonts w:asciiTheme="majorHAnsi" w:hAnsiTheme="majorHAnsi" w:cstheme="majorHAnsi"/>
                <w:bCs/>
                <w:sz w:val="24"/>
                <w:szCs w:val="24"/>
              </w:rPr>
            </w:pPr>
          </w:p>
        </w:tc>
      </w:tr>
      <w:tr w:rsidR="00A26CD8" w:rsidRPr="00C93770" w14:paraId="03F42997" w14:textId="77777777" w:rsidTr="1756A420">
        <w:tc>
          <w:tcPr>
            <w:tcW w:w="4074" w:type="dxa"/>
          </w:tcPr>
          <w:p w14:paraId="68035A68" w14:textId="23E39CF6"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63B0444F" w14:textId="6E09508C"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C39868D" w14:textId="77777777" w:rsidR="00A26CD8" w:rsidRPr="00D462F0" w:rsidRDefault="00A26CD8" w:rsidP="00D462F0">
            <w:pPr>
              <w:jc w:val="both"/>
              <w:rPr>
                <w:rFonts w:asciiTheme="majorHAnsi" w:hAnsiTheme="majorHAnsi" w:cstheme="majorHAnsi"/>
                <w:sz w:val="24"/>
                <w:szCs w:val="24"/>
              </w:rPr>
            </w:pPr>
          </w:p>
        </w:tc>
        <w:tc>
          <w:tcPr>
            <w:tcW w:w="4075" w:type="dxa"/>
          </w:tcPr>
          <w:p w14:paraId="45EBD917" w14:textId="77777777" w:rsidR="00A26CD8" w:rsidRPr="00D462F0" w:rsidRDefault="00A26CD8" w:rsidP="00D462F0">
            <w:pPr>
              <w:jc w:val="both"/>
              <w:rPr>
                <w:rFonts w:asciiTheme="majorHAnsi" w:hAnsiTheme="majorHAnsi" w:cstheme="majorHAnsi"/>
                <w:bCs/>
                <w:sz w:val="24"/>
                <w:szCs w:val="24"/>
              </w:rPr>
            </w:pPr>
          </w:p>
        </w:tc>
      </w:tr>
      <w:tr w:rsidR="00A26CD8" w:rsidRPr="00C93770" w14:paraId="3D78ADD1" w14:textId="77777777" w:rsidTr="1756A420">
        <w:tc>
          <w:tcPr>
            <w:tcW w:w="4074" w:type="dxa"/>
          </w:tcPr>
          <w:p w14:paraId="48EC3E5A" w14:textId="31E531DB"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2A20DAE3" w14:textId="7663FA20"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182-A.  As EFPC devem disponibilizar em seu sítio eletrônico na internet:</w:t>
            </w:r>
          </w:p>
        </w:tc>
        <w:tc>
          <w:tcPr>
            <w:tcW w:w="4074" w:type="dxa"/>
          </w:tcPr>
          <w:p w14:paraId="747F93C9"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 proposta de inclusão do artigo 182-A na Subseção I do Plano de Gestão Administrativa da Seção II Registros Contábeis das EFPC da Resolução Previc nº 23, de 14 de agosto de 2023, tem o intuito de incorporar as orientações constantes do Ofício Circular DINOR nº 3, de 25 de abril de 2025, com o objetivo de regulamentar, de forma vinculante, os dispositivos da Resolução CNPC nº 62, de 2024, que tratam do custeio administrativo no âmbito das Entidades Fechadas de Previdência Complementar - EFPC.</w:t>
            </w:r>
          </w:p>
          <w:p w14:paraId="5D557117"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O referido Ofício Circular dispõe, entre outros aspectos, da obrigatoriedade de divulgação, no sítio eletrônico da entidade, das informações relativas à execução orçamentária do Plano de Gestão Administrativa - PGA.</w:t>
            </w:r>
          </w:p>
          <w:p w14:paraId="31E06EED" w14:textId="7777777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desses dispositivos sobre o que deve ser disponibilizado pela EFPC no seu sítio eletrônico na Resolução Previc nº 23/2023, busca regulamentar o art. 18 da Resolução CNPC nº 62/2024, conferindo maior segurança jurídica, padronização e efetividade à aplicação da norma pelas entidades. Tal medida contribui para o fortalecimento da confiança dos participantes e assistidos, bem como para o aprimoramento do processo regulatório da previdência complementar fechada.</w:t>
            </w:r>
          </w:p>
          <w:p w14:paraId="497A0849" w14:textId="77777777" w:rsidR="00A26CD8" w:rsidRPr="00D462F0" w:rsidRDefault="00A26CD8" w:rsidP="00D462F0">
            <w:pPr>
              <w:jc w:val="both"/>
              <w:rPr>
                <w:rFonts w:asciiTheme="majorHAnsi" w:hAnsiTheme="majorHAnsi" w:cstheme="majorHAnsi"/>
                <w:sz w:val="24"/>
                <w:szCs w:val="24"/>
              </w:rPr>
            </w:pPr>
          </w:p>
        </w:tc>
        <w:tc>
          <w:tcPr>
            <w:tcW w:w="4075" w:type="dxa"/>
          </w:tcPr>
          <w:p w14:paraId="17FF0CC2"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Inciso II do art. 4º do Decreto nº 10.411/2020.</w:t>
            </w:r>
          </w:p>
          <w:p w14:paraId="699CBFD8" w14:textId="4B33A99F"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se baseia na necessidade de disciplinar direitos ou obrigações definidos em norma hierarquicamente superior, no caso a Resolução CNPC nº 62, de 2024, que trata de custeio administrativo.</w:t>
            </w:r>
          </w:p>
        </w:tc>
      </w:tr>
      <w:tr w:rsidR="00A26CD8" w:rsidRPr="00C93770" w14:paraId="51712EE7" w14:textId="77777777" w:rsidTr="1756A420">
        <w:tc>
          <w:tcPr>
            <w:tcW w:w="4074" w:type="dxa"/>
          </w:tcPr>
          <w:p w14:paraId="59B0F76D" w14:textId="17C09E21"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7510FBE4" w14:textId="76CB4825"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o</w:t>
            </w:r>
            <w:proofErr w:type="gramEnd"/>
            <w:r w:rsidRPr="00D462F0">
              <w:rPr>
                <w:rFonts w:asciiTheme="majorHAnsi" w:hAnsiTheme="majorHAnsi" w:cstheme="majorHAnsi"/>
                <w:bCs/>
                <w:color w:val="0000FF"/>
                <w:sz w:val="24"/>
                <w:szCs w:val="24"/>
              </w:rPr>
              <w:t xml:space="preserve"> regulamento do </w:t>
            </w:r>
            <w:r w:rsidR="00250981" w:rsidRPr="00D462F0">
              <w:rPr>
                <w:rFonts w:asciiTheme="majorHAnsi" w:hAnsiTheme="majorHAnsi" w:cstheme="majorHAnsi"/>
                <w:bCs/>
                <w:color w:val="0000FF"/>
                <w:sz w:val="24"/>
                <w:szCs w:val="24"/>
              </w:rPr>
              <w:t>P</w:t>
            </w:r>
            <w:r w:rsidRPr="00D462F0">
              <w:rPr>
                <w:rFonts w:asciiTheme="majorHAnsi" w:hAnsiTheme="majorHAnsi" w:cstheme="majorHAnsi"/>
                <w:bCs/>
                <w:color w:val="0000FF"/>
                <w:sz w:val="24"/>
                <w:szCs w:val="24"/>
              </w:rPr>
              <w:t xml:space="preserve">lano de </w:t>
            </w:r>
            <w:r w:rsidR="00250981" w:rsidRPr="00D462F0">
              <w:rPr>
                <w:rFonts w:asciiTheme="majorHAnsi" w:hAnsiTheme="majorHAnsi" w:cstheme="majorHAnsi"/>
                <w:bCs/>
                <w:color w:val="0000FF"/>
                <w:sz w:val="24"/>
                <w:szCs w:val="24"/>
              </w:rPr>
              <w:t>G</w:t>
            </w:r>
            <w:r w:rsidRPr="00D462F0">
              <w:rPr>
                <w:rFonts w:asciiTheme="majorHAnsi" w:hAnsiTheme="majorHAnsi" w:cstheme="majorHAnsi"/>
                <w:bCs/>
                <w:color w:val="0000FF"/>
                <w:sz w:val="24"/>
                <w:szCs w:val="24"/>
              </w:rPr>
              <w:t xml:space="preserve">estão </w:t>
            </w:r>
            <w:r w:rsidR="00250981" w:rsidRPr="00D462F0">
              <w:rPr>
                <w:rFonts w:asciiTheme="majorHAnsi" w:hAnsiTheme="majorHAnsi" w:cstheme="majorHAnsi"/>
                <w:bCs/>
                <w:color w:val="0000FF"/>
                <w:sz w:val="24"/>
                <w:szCs w:val="24"/>
              </w:rPr>
              <w:t>A</w:t>
            </w:r>
            <w:r w:rsidRPr="00D462F0">
              <w:rPr>
                <w:rFonts w:asciiTheme="majorHAnsi" w:hAnsiTheme="majorHAnsi" w:cstheme="majorHAnsi"/>
                <w:bCs/>
                <w:color w:val="0000FF"/>
                <w:sz w:val="24"/>
                <w:szCs w:val="24"/>
              </w:rPr>
              <w:t>dministrativa;</w:t>
            </w:r>
          </w:p>
        </w:tc>
        <w:tc>
          <w:tcPr>
            <w:tcW w:w="4074" w:type="dxa"/>
          </w:tcPr>
          <w:p w14:paraId="279C5E3A" w14:textId="21630B2A"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para regulamentação art. 18 da Resolução CNPC nº 62/2024.</w:t>
            </w:r>
          </w:p>
        </w:tc>
        <w:tc>
          <w:tcPr>
            <w:tcW w:w="4075" w:type="dxa"/>
          </w:tcPr>
          <w:p w14:paraId="34D7AF69" w14:textId="6FB00AEB"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0C0E9C10" w14:textId="77777777" w:rsidTr="1756A420">
        <w:tc>
          <w:tcPr>
            <w:tcW w:w="4074" w:type="dxa"/>
          </w:tcPr>
          <w:p w14:paraId="7E213300" w14:textId="537F046B"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AAE7418" w14:textId="4F9FD035"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o</w:t>
            </w:r>
            <w:proofErr w:type="gramEnd"/>
            <w:r w:rsidRPr="00D462F0">
              <w:rPr>
                <w:rFonts w:asciiTheme="majorHAnsi" w:hAnsiTheme="majorHAnsi" w:cstheme="majorHAnsi"/>
                <w:bCs/>
                <w:color w:val="0000FF"/>
                <w:sz w:val="24"/>
                <w:szCs w:val="24"/>
              </w:rPr>
              <w:t xml:space="preserve"> orçamento anual e, quando exigido, o orçamento plurianual; e</w:t>
            </w:r>
          </w:p>
        </w:tc>
        <w:tc>
          <w:tcPr>
            <w:tcW w:w="4074" w:type="dxa"/>
          </w:tcPr>
          <w:p w14:paraId="71A8A88A" w14:textId="41035E64"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para regulamentação art. 18 da Resolução CNPC nº 62/2024.</w:t>
            </w:r>
          </w:p>
        </w:tc>
        <w:tc>
          <w:tcPr>
            <w:tcW w:w="4075" w:type="dxa"/>
          </w:tcPr>
          <w:p w14:paraId="6E569E95" w14:textId="3948F3B3"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57DA22DD" w14:textId="77777777" w:rsidTr="1756A420">
        <w:tc>
          <w:tcPr>
            <w:tcW w:w="4074" w:type="dxa"/>
          </w:tcPr>
          <w:p w14:paraId="2785D4E0" w14:textId="4AD9720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4445EA7" w14:textId="3EB9FDE8"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III - as informações detalhadas sobre as receitas e despesas da gestão administrativa realizadas nos últimos três exercícios.</w:t>
            </w:r>
          </w:p>
        </w:tc>
        <w:tc>
          <w:tcPr>
            <w:tcW w:w="4074" w:type="dxa"/>
          </w:tcPr>
          <w:p w14:paraId="5DF01F3B" w14:textId="004E8BFF"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para regulamentação art. 18 da Resolução CNPC nº 62/2024.</w:t>
            </w:r>
          </w:p>
        </w:tc>
        <w:tc>
          <w:tcPr>
            <w:tcW w:w="4075" w:type="dxa"/>
          </w:tcPr>
          <w:p w14:paraId="5FEB1038" w14:textId="605D598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75D7BCB1" w14:textId="77777777" w:rsidTr="1756A420">
        <w:tc>
          <w:tcPr>
            <w:tcW w:w="4074" w:type="dxa"/>
          </w:tcPr>
          <w:p w14:paraId="66784F0D" w14:textId="12F9869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307D8C9A" w14:textId="78406A1B"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1</w:t>
            </w:r>
            <w:proofErr w:type="gramStart"/>
            <w:r w:rsidRPr="00D462F0">
              <w:rPr>
                <w:rFonts w:asciiTheme="majorHAnsi" w:hAnsiTheme="majorHAnsi" w:cstheme="majorHAnsi"/>
                <w:bCs/>
                <w:color w:val="0000FF"/>
                <w:sz w:val="24"/>
                <w:szCs w:val="24"/>
              </w:rPr>
              <w:t>º  A</w:t>
            </w:r>
            <w:proofErr w:type="gramEnd"/>
            <w:r w:rsidRPr="00D462F0">
              <w:rPr>
                <w:rFonts w:asciiTheme="majorHAnsi" w:hAnsiTheme="majorHAnsi" w:cstheme="majorHAnsi"/>
                <w:bCs/>
                <w:color w:val="0000FF"/>
                <w:sz w:val="24"/>
                <w:szCs w:val="24"/>
              </w:rPr>
              <w:t xml:space="preserve"> disponibilização em seu sítio eletrônico na internet a que se refere o </w:t>
            </w:r>
            <w:r w:rsidRPr="00FB3502">
              <w:rPr>
                <w:rFonts w:asciiTheme="majorHAnsi" w:hAnsiTheme="majorHAnsi" w:cstheme="majorHAnsi"/>
                <w:bCs/>
                <w:i/>
                <w:iCs/>
                <w:color w:val="0000FF"/>
                <w:sz w:val="24"/>
                <w:szCs w:val="24"/>
              </w:rPr>
              <w:t>caput</w:t>
            </w:r>
            <w:r w:rsidRPr="00D462F0">
              <w:rPr>
                <w:rFonts w:asciiTheme="majorHAnsi" w:hAnsiTheme="majorHAnsi" w:cstheme="majorHAnsi"/>
                <w:bCs/>
                <w:color w:val="0000FF"/>
                <w:sz w:val="24"/>
                <w:szCs w:val="24"/>
              </w:rPr>
              <w:t xml:space="preserve"> deve ser em área pública de acesso irrestrito.</w:t>
            </w:r>
          </w:p>
        </w:tc>
        <w:tc>
          <w:tcPr>
            <w:tcW w:w="4074" w:type="dxa"/>
          </w:tcPr>
          <w:p w14:paraId="5B87B27B" w14:textId="5A3382C5"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parágrafo para regulamentação art. 18 da Resolução CNPC nº 62/2024.</w:t>
            </w:r>
          </w:p>
        </w:tc>
        <w:tc>
          <w:tcPr>
            <w:tcW w:w="4075" w:type="dxa"/>
          </w:tcPr>
          <w:p w14:paraId="7FD6FDE8" w14:textId="052CAE3D"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27A217A4" w14:textId="77777777" w:rsidTr="1756A420">
        <w:tc>
          <w:tcPr>
            <w:tcW w:w="4074" w:type="dxa"/>
          </w:tcPr>
          <w:p w14:paraId="706EC59D" w14:textId="09ACF9D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64A006DA" w14:textId="1E251881"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º  O</w:t>
            </w:r>
            <w:proofErr w:type="gramEnd"/>
            <w:r w:rsidRPr="00D462F0">
              <w:rPr>
                <w:rFonts w:asciiTheme="majorHAnsi" w:hAnsiTheme="majorHAnsi" w:cstheme="majorHAnsi"/>
                <w:bCs/>
                <w:color w:val="0000FF"/>
                <w:sz w:val="24"/>
                <w:szCs w:val="24"/>
              </w:rPr>
              <w:t xml:space="preserve"> detalhamento do orçamento pode ser no nível mínimo do balancete.</w:t>
            </w:r>
          </w:p>
        </w:tc>
        <w:tc>
          <w:tcPr>
            <w:tcW w:w="4074" w:type="dxa"/>
          </w:tcPr>
          <w:p w14:paraId="6A33CBE9" w14:textId="1029C523"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parágrafo para regulamentação art. 18 da Resolução CNPC nº 62/2024.</w:t>
            </w:r>
          </w:p>
        </w:tc>
        <w:tc>
          <w:tcPr>
            <w:tcW w:w="4075" w:type="dxa"/>
          </w:tcPr>
          <w:p w14:paraId="60228701" w14:textId="2D7C9300"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10.411/2020.</w:t>
            </w:r>
          </w:p>
        </w:tc>
      </w:tr>
      <w:tr w:rsidR="00A26CD8" w:rsidRPr="00C93770" w14:paraId="5247A65B" w14:textId="77777777" w:rsidTr="1756A420">
        <w:tc>
          <w:tcPr>
            <w:tcW w:w="4074" w:type="dxa"/>
          </w:tcPr>
          <w:p w14:paraId="1071C619" w14:textId="1F204530"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77C9668D" w14:textId="32FFC44D"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4701547" w14:textId="77777777" w:rsidR="00A26CD8" w:rsidRPr="00D462F0" w:rsidRDefault="00A26CD8" w:rsidP="00D462F0">
            <w:pPr>
              <w:jc w:val="both"/>
              <w:rPr>
                <w:rFonts w:asciiTheme="majorHAnsi" w:hAnsiTheme="majorHAnsi" w:cstheme="majorHAnsi"/>
                <w:sz w:val="24"/>
                <w:szCs w:val="24"/>
              </w:rPr>
            </w:pPr>
          </w:p>
        </w:tc>
        <w:tc>
          <w:tcPr>
            <w:tcW w:w="4075" w:type="dxa"/>
          </w:tcPr>
          <w:p w14:paraId="5AED078E" w14:textId="77777777" w:rsidR="00A26CD8" w:rsidRPr="00D462F0" w:rsidRDefault="00A26CD8" w:rsidP="00D462F0">
            <w:pPr>
              <w:jc w:val="both"/>
              <w:rPr>
                <w:rFonts w:asciiTheme="majorHAnsi" w:hAnsiTheme="majorHAnsi" w:cstheme="majorHAnsi"/>
                <w:bCs/>
                <w:sz w:val="24"/>
                <w:szCs w:val="24"/>
              </w:rPr>
            </w:pPr>
          </w:p>
        </w:tc>
      </w:tr>
      <w:tr w:rsidR="00A26CD8" w:rsidRPr="00C93770" w14:paraId="2311767F" w14:textId="77777777" w:rsidTr="1756A420">
        <w:tc>
          <w:tcPr>
            <w:tcW w:w="4074" w:type="dxa"/>
          </w:tcPr>
          <w:p w14:paraId="340B0247" w14:textId="77777777"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III</w:t>
            </w:r>
          </w:p>
          <w:p w14:paraId="21C5CDBF" w14:textId="25632E58"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Registros Contábeis de Investimentos</w:t>
            </w:r>
          </w:p>
        </w:tc>
        <w:tc>
          <w:tcPr>
            <w:tcW w:w="4074" w:type="dxa"/>
          </w:tcPr>
          <w:p w14:paraId="68F5A38F" w14:textId="77777777" w:rsidR="00A26CD8" w:rsidRPr="00D462F0" w:rsidRDefault="00A26CD8"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III</w:t>
            </w:r>
          </w:p>
          <w:p w14:paraId="3C72E650" w14:textId="32908AA1"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Registros Contábeis de Investimentos</w:t>
            </w:r>
          </w:p>
        </w:tc>
        <w:tc>
          <w:tcPr>
            <w:tcW w:w="4074" w:type="dxa"/>
          </w:tcPr>
          <w:p w14:paraId="1EFA614F" w14:textId="77777777" w:rsidR="00A26CD8" w:rsidRPr="00D462F0" w:rsidRDefault="00A26CD8" w:rsidP="00D462F0">
            <w:pPr>
              <w:jc w:val="both"/>
              <w:rPr>
                <w:rFonts w:asciiTheme="majorHAnsi" w:hAnsiTheme="majorHAnsi" w:cstheme="majorHAnsi"/>
                <w:sz w:val="24"/>
                <w:szCs w:val="24"/>
              </w:rPr>
            </w:pPr>
          </w:p>
        </w:tc>
        <w:tc>
          <w:tcPr>
            <w:tcW w:w="4075" w:type="dxa"/>
          </w:tcPr>
          <w:p w14:paraId="0673C9CD" w14:textId="77777777" w:rsidR="00A26CD8" w:rsidRPr="00D462F0" w:rsidRDefault="00A26CD8" w:rsidP="00D462F0">
            <w:pPr>
              <w:jc w:val="both"/>
              <w:rPr>
                <w:rFonts w:asciiTheme="majorHAnsi" w:hAnsiTheme="majorHAnsi" w:cstheme="majorHAnsi"/>
                <w:bCs/>
                <w:sz w:val="24"/>
                <w:szCs w:val="24"/>
              </w:rPr>
            </w:pPr>
          </w:p>
        </w:tc>
      </w:tr>
      <w:tr w:rsidR="00A26CD8" w:rsidRPr="00C93770" w14:paraId="3364492F" w14:textId="77777777" w:rsidTr="1756A420">
        <w:tc>
          <w:tcPr>
            <w:tcW w:w="4074" w:type="dxa"/>
          </w:tcPr>
          <w:p w14:paraId="51781154" w14:textId="6E23089E"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w:t>
            </w:r>
          </w:p>
        </w:tc>
        <w:tc>
          <w:tcPr>
            <w:tcW w:w="4074" w:type="dxa"/>
          </w:tcPr>
          <w:p w14:paraId="063D9292" w14:textId="16173DCA"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w:t>
            </w:r>
          </w:p>
        </w:tc>
        <w:tc>
          <w:tcPr>
            <w:tcW w:w="4074" w:type="dxa"/>
          </w:tcPr>
          <w:p w14:paraId="032C905B" w14:textId="77777777" w:rsidR="00A26CD8" w:rsidRPr="00D462F0" w:rsidRDefault="00A26CD8" w:rsidP="00D462F0">
            <w:pPr>
              <w:jc w:val="both"/>
              <w:rPr>
                <w:rFonts w:asciiTheme="majorHAnsi" w:hAnsiTheme="majorHAnsi" w:cstheme="majorHAnsi"/>
                <w:sz w:val="24"/>
                <w:szCs w:val="24"/>
              </w:rPr>
            </w:pPr>
          </w:p>
        </w:tc>
        <w:tc>
          <w:tcPr>
            <w:tcW w:w="4075" w:type="dxa"/>
          </w:tcPr>
          <w:p w14:paraId="5FAAB811" w14:textId="77777777" w:rsidR="00A26CD8" w:rsidRPr="00D462F0" w:rsidRDefault="00A26CD8" w:rsidP="00D462F0">
            <w:pPr>
              <w:jc w:val="both"/>
              <w:rPr>
                <w:rFonts w:asciiTheme="majorHAnsi" w:hAnsiTheme="majorHAnsi" w:cstheme="majorHAnsi"/>
                <w:bCs/>
                <w:sz w:val="24"/>
                <w:szCs w:val="24"/>
              </w:rPr>
            </w:pPr>
          </w:p>
        </w:tc>
      </w:tr>
      <w:tr w:rsidR="00A26CD8" w:rsidRPr="00C93770" w14:paraId="4FD3860C" w14:textId="77777777" w:rsidTr="1756A420">
        <w:tc>
          <w:tcPr>
            <w:tcW w:w="4074" w:type="dxa"/>
          </w:tcPr>
          <w:p w14:paraId="510E9633" w14:textId="77777777" w:rsidR="00A26CD8" w:rsidRPr="00D462F0" w:rsidRDefault="00A26CD8"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VIII</w:t>
            </w:r>
          </w:p>
          <w:p w14:paraId="295854DC" w14:textId="37A505A9"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Investimentos em Imóveis</w:t>
            </w:r>
          </w:p>
        </w:tc>
        <w:tc>
          <w:tcPr>
            <w:tcW w:w="4074" w:type="dxa"/>
          </w:tcPr>
          <w:p w14:paraId="50D6E3C8" w14:textId="77777777" w:rsidR="00A26CD8" w:rsidRPr="00D462F0" w:rsidRDefault="00A26CD8"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VIII</w:t>
            </w:r>
          </w:p>
          <w:p w14:paraId="3CBC4C05" w14:textId="5EED631F" w:rsidR="00A26CD8" w:rsidRPr="00D462F0" w:rsidRDefault="00A26CD8"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Investimentos em Imóveis</w:t>
            </w:r>
          </w:p>
        </w:tc>
        <w:tc>
          <w:tcPr>
            <w:tcW w:w="4074" w:type="dxa"/>
          </w:tcPr>
          <w:p w14:paraId="1EBD3C54" w14:textId="77777777" w:rsidR="00A26CD8" w:rsidRPr="00D462F0" w:rsidRDefault="00A26CD8" w:rsidP="00D462F0">
            <w:pPr>
              <w:jc w:val="both"/>
              <w:rPr>
                <w:rFonts w:asciiTheme="majorHAnsi" w:hAnsiTheme="majorHAnsi" w:cstheme="majorHAnsi"/>
                <w:sz w:val="24"/>
                <w:szCs w:val="24"/>
              </w:rPr>
            </w:pPr>
          </w:p>
        </w:tc>
        <w:tc>
          <w:tcPr>
            <w:tcW w:w="4075" w:type="dxa"/>
          </w:tcPr>
          <w:p w14:paraId="5CC01431" w14:textId="77777777" w:rsidR="00A26CD8" w:rsidRPr="00D462F0" w:rsidRDefault="00A26CD8" w:rsidP="00D462F0">
            <w:pPr>
              <w:jc w:val="both"/>
              <w:rPr>
                <w:rFonts w:asciiTheme="majorHAnsi" w:hAnsiTheme="majorHAnsi" w:cstheme="majorHAnsi"/>
                <w:bCs/>
                <w:sz w:val="24"/>
                <w:szCs w:val="24"/>
              </w:rPr>
            </w:pPr>
          </w:p>
        </w:tc>
      </w:tr>
      <w:tr w:rsidR="00A26CD8" w:rsidRPr="00C93770" w14:paraId="1935164D" w14:textId="77777777" w:rsidTr="1756A420">
        <w:tc>
          <w:tcPr>
            <w:tcW w:w="4074" w:type="dxa"/>
          </w:tcPr>
          <w:p w14:paraId="00CA69EF" w14:textId="4A82D1F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Art. 197.  No registro contábil das operações com investimentos em imóveis as EFPC devem:</w:t>
            </w:r>
          </w:p>
        </w:tc>
        <w:tc>
          <w:tcPr>
            <w:tcW w:w="4074" w:type="dxa"/>
          </w:tcPr>
          <w:p w14:paraId="704E94B1" w14:textId="1679BE3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197. </w:t>
            </w:r>
            <w:r w:rsidR="00D1730A"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w:t>
            </w:r>
          </w:p>
        </w:tc>
        <w:tc>
          <w:tcPr>
            <w:tcW w:w="4074" w:type="dxa"/>
          </w:tcPr>
          <w:p w14:paraId="11AB4437" w14:textId="01DB086E"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72649F02" w14:textId="77777777" w:rsidR="00A26CD8" w:rsidRPr="00D462F0" w:rsidRDefault="00A26CD8" w:rsidP="00D462F0">
            <w:pPr>
              <w:jc w:val="both"/>
              <w:rPr>
                <w:rFonts w:asciiTheme="majorHAnsi" w:hAnsiTheme="majorHAnsi" w:cstheme="majorHAnsi"/>
                <w:bCs/>
                <w:sz w:val="24"/>
                <w:szCs w:val="24"/>
              </w:rPr>
            </w:pPr>
          </w:p>
        </w:tc>
      </w:tr>
      <w:tr w:rsidR="00297D09" w:rsidRPr="00C93770" w14:paraId="3A901D64" w14:textId="77777777" w:rsidTr="1756A420">
        <w:tc>
          <w:tcPr>
            <w:tcW w:w="4074" w:type="dxa"/>
          </w:tcPr>
          <w:p w14:paraId="4F5FEABB" w14:textId="5682B73D" w:rsidR="00297D09" w:rsidRPr="00D462F0" w:rsidRDefault="00297D09"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2DBCE512" w14:textId="32D10CCA"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2ACB4E9" w14:textId="77777777" w:rsidR="00297D09" w:rsidRPr="00D462F0" w:rsidRDefault="00297D09" w:rsidP="00D462F0">
            <w:pPr>
              <w:jc w:val="both"/>
              <w:rPr>
                <w:rFonts w:asciiTheme="majorHAnsi" w:hAnsiTheme="majorHAnsi" w:cstheme="majorHAnsi"/>
                <w:sz w:val="24"/>
                <w:szCs w:val="24"/>
              </w:rPr>
            </w:pPr>
          </w:p>
        </w:tc>
        <w:tc>
          <w:tcPr>
            <w:tcW w:w="4075" w:type="dxa"/>
          </w:tcPr>
          <w:p w14:paraId="76A53285" w14:textId="77777777" w:rsidR="00297D09" w:rsidRPr="00D462F0" w:rsidRDefault="00297D09" w:rsidP="00D462F0">
            <w:pPr>
              <w:jc w:val="both"/>
              <w:rPr>
                <w:rFonts w:asciiTheme="majorHAnsi" w:hAnsiTheme="majorHAnsi" w:cstheme="majorHAnsi"/>
                <w:bCs/>
                <w:sz w:val="24"/>
                <w:szCs w:val="24"/>
              </w:rPr>
            </w:pPr>
          </w:p>
        </w:tc>
      </w:tr>
      <w:tr w:rsidR="00A26CD8" w:rsidRPr="00C93770" w14:paraId="76E99341" w14:textId="77777777" w:rsidTr="1756A420">
        <w:tc>
          <w:tcPr>
            <w:tcW w:w="4074" w:type="dxa"/>
          </w:tcPr>
          <w:p w14:paraId="24A54424" w14:textId="050909AD"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VII - apresentar, no mínimo, três laudos técnicos de avaliação prévios à alienação de imóvel, elaborado de acordo com as normas expedidas pela Associação Brasileira de Normas Técnicas, contendo, no mínimo:</w:t>
            </w:r>
          </w:p>
        </w:tc>
        <w:tc>
          <w:tcPr>
            <w:tcW w:w="4074" w:type="dxa"/>
          </w:tcPr>
          <w:p w14:paraId="7333ED72" w14:textId="46C4E5C6"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VII - apresentar, no mínimo, três laudos técnicos de avaliação prévios à alienação de imóvel, </w:t>
            </w:r>
            <w:r w:rsidRPr="00D462F0">
              <w:rPr>
                <w:rFonts w:asciiTheme="majorHAnsi" w:hAnsiTheme="majorHAnsi" w:cstheme="majorHAnsi"/>
                <w:strike/>
                <w:color w:val="EE0000"/>
                <w:sz w:val="24"/>
                <w:szCs w:val="24"/>
              </w:rPr>
              <w:t>elaborado</w:t>
            </w:r>
            <w:r w:rsidRPr="00D462F0">
              <w:rPr>
                <w:rFonts w:asciiTheme="majorHAnsi" w:hAnsiTheme="majorHAnsi" w:cstheme="majorHAnsi"/>
                <w:bCs/>
                <w:color w:val="0000FF"/>
                <w:sz w:val="24"/>
                <w:szCs w:val="24"/>
              </w:rPr>
              <w:t xml:space="preserve"> elaborados</w:t>
            </w:r>
            <w:r w:rsidRPr="00D462F0">
              <w:rPr>
                <w:rFonts w:asciiTheme="majorHAnsi" w:hAnsiTheme="majorHAnsi" w:cstheme="majorHAnsi"/>
                <w:bCs/>
                <w:sz w:val="24"/>
                <w:szCs w:val="24"/>
              </w:rPr>
              <w:t xml:space="preserve"> de acordo com as normas expedidas pela Associação Brasileira de Normas Técnicas, contendo, no mínimo:</w:t>
            </w:r>
          </w:p>
        </w:tc>
        <w:tc>
          <w:tcPr>
            <w:tcW w:w="4074" w:type="dxa"/>
          </w:tcPr>
          <w:p w14:paraId="2A291C7C" w14:textId="4D35CBB7" w:rsidR="00A26CD8" w:rsidRPr="00D462F0" w:rsidRDefault="00A26CD8" w:rsidP="00D462F0">
            <w:pPr>
              <w:jc w:val="both"/>
              <w:rPr>
                <w:rFonts w:asciiTheme="majorHAnsi" w:hAnsiTheme="majorHAnsi" w:cstheme="majorHAnsi"/>
                <w:sz w:val="24"/>
                <w:szCs w:val="24"/>
              </w:rPr>
            </w:pPr>
            <w:r w:rsidRPr="00D462F0">
              <w:rPr>
                <w:rFonts w:asciiTheme="majorHAnsi" w:hAnsiTheme="majorHAnsi" w:cstheme="majorHAnsi"/>
                <w:sz w:val="24"/>
                <w:szCs w:val="24"/>
              </w:rPr>
              <w:t>Ajuste de grafia de palavra.</w:t>
            </w:r>
          </w:p>
        </w:tc>
        <w:tc>
          <w:tcPr>
            <w:tcW w:w="4075" w:type="dxa"/>
          </w:tcPr>
          <w:p w14:paraId="24886D3D" w14:textId="77777777"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10.411/2020.</w:t>
            </w:r>
          </w:p>
          <w:p w14:paraId="06369472" w14:textId="15ACE2E0" w:rsidR="00A26CD8" w:rsidRPr="00D462F0" w:rsidRDefault="00A26CD8"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trata de alteração de grafia de palavra.</w:t>
            </w:r>
          </w:p>
        </w:tc>
      </w:tr>
      <w:tr w:rsidR="00A26CD8" w:rsidRPr="00C93770" w14:paraId="1989C53A" w14:textId="77777777" w:rsidTr="1756A420">
        <w:tc>
          <w:tcPr>
            <w:tcW w:w="4074" w:type="dxa"/>
          </w:tcPr>
          <w:p w14:paraId="79C32D81" w14:textId="4BE2904D" w:rsidR="00A26CD8" w:rsidRPr="00D462F0" w:rsidRDefault="00A26CD8"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4FB5A8AC" w14:textId="4DC6C8CB" w:rsidR="00A26CD8" w:rsidRPr="00D462F0" w:rsidRDefault="00A26CD8"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7149D3D" w14:textId="77777777" w:rsidR="00A26CD8" w:rsidRPr="00D462F0" w:rsidRDefault="00A26CD8" w:rsidP="00D462F0">
            <w:pPr>
              <w:jc w:val="both"/>
              <w:rPr>
                <w:rFonts w:asciiTheme="majorHAnsi" w:hAnsiTheme="majorHAnsi" w:cstheme="majorHAnsi"/>
                <w:sz w:val="24"/>
                <w:szCs w:val="24"/>
              </w:rPr>
            </w:pPr>
          </w:p>
        </w:tc>
        <w:tc>
          <w:tcPr>
            <w:tcW w:w="4075" w:type="dxa"/>
          </w:tcPr>
          <w:p w14:paraId="3CE0DCF7" w14:textId="77777777" w:rsidR="00A26CD8" w:rsidRPr="00D462F0" w:rsidRDefault="00A26CD8" w:rsidP="00D462F0">
            <w:pPr>
              <w:jc w:val="both"/>
              <w:rPr>
                <w:rFonts w:asciiTheme="majorHAnsi" w:hAnsiTheme="majorHAnsi" w:cstheme="majorHAnsi"/>
                <w:bCs/>
                <w:sz w:val="24"/>
                <w:szCs w:val="24"/>
              </w:rPr>
            </w:pPr>
          </w:p>
        </w:tc>
      </w:tr>
      <w:tr w:rsidR="00EB19CA" w:rsidRPr="00C93770" w14:paraId="5E03A098" w14:textId="77777777" w:rsidTr="1756A420">
        <w:tc>
          <w:tcPr>
            <w:tcW w:w="4074" w:type="dxa"/>
          </w:tcPr>
          <w:p w14:paraId="555FFF36" w14:textId="27853B6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1</w:t>
            </w:r>
            <w:proofErr w:type="gramStart"/>
            <w:r w:rsidRPr="00D462F0">
              <w:rPr>
                <w:rFonts w:asciiTheme="majorHAnsi" w:hAnsiTheme="majorHAnsi" w:cstheme="majorHAnsi"/>
                <w:sz w:val="24"/>
                <w:szCs w:val="24"/>
              </w:rPr>
              <w:t>º  Uma</w:t>
            </w:r>
            <w:proofErr w:type="gramEnd"/>
            <w:r w:rsidRPr="00D462F0">
              <w:rPr>
                <w:rFonts w:asciiTheme="majorHAnsi" w:hAnsiTheme="majorHAnsi" w:cstheme="majorHAnsi"/>
                <w:sz w:val="24"/>
                <w:szCs w:val="24"/>
              </w:rPr>
              <w:t xml:space="preserve"> das três avaliações referidas no inciso VII do caput pode ser dispensada caso a última avaliação do imóvel a ser alienado tenha sido </w:t>
            </w:r>
            <w:r w:rsidRPr="00D462F0">
              <w:rPr>
                <w:rFonts w:asciiTheme="majorHAnsi" w:hAnsiTheme="majorHAnsi" w:cstheme="majorHAnsi"/>
                <w:sz w:val="24"/>
                <w:szCs w:val="24"/>
              </w:rPr>
              <w:lastRenderedPageBreak/>
              <w:t>realizada em prazo inferior a trezentos e sessenta dias, desde que tal procedimento seja devidamente atestado pelo administrador estatutário tecnicamente qualificado, em função das condições de mercado.</w:t>
            </w:r>
          </w:p>
        </w:tc>
        <w:tc>
          <w:tcPr>
            <w:tcW w:w="4074" w:type="dxa"/>
          </w:tcPr>
          <w:p w14:paraId="7F6DFBA1" w14:textId="4ED75DB1" w:rsidR="003765BD"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bCs/>
                <w:sz w:val="24"/>
                <w:szCs w:val="24"/>
              </w:rPr>
              <w:lastRenderedPageBreak/>
              <w:t>§ 1</w:t>
            </w:r>
            <w:proofErr w:type="gramStart"/>
            <w:r w:rsidRPr="00D462F0">
              <w:rPr>
                <w:rFonts w:asciiTheme="majorHAnsi" w:hAnsiTheme="majorHAnsi" w:cstheme="majorHAnsi"/>
                <w:bCs/>
                <w:sz w:val="24"/>
                <w:szCs w:val="24"/>
              </w:rPr>
              <w:t xml:space="preserve">º  </w:t>
            </w:r>
            <w:r w:rsidR="003765BD" w:rsidRPr="00D462F0">
              <w:rPr>
                <w:rFonts w:asciiTheme="majorHAnsi" w:hAnsiTheme="majorHAnsi" w:cstheme="majorHAnsi"/>
                <w:strike/>
                <w:color w:val="EE0000"/>
                <w:sz w:val="24"/>
                <w:szCs w:val="24"/>
              </w:rPr>
              <w:t>Uma</w:t>
            </w:r>
            <w:proofErr w:type="gramEnd"/>
            <w:r w:rsidR="003765BD" w:rsidRPr="00D462F0">
              <w:rPr>
                <w:rFonts w:asciiTheme="majorHAnsi" w:hAnsiTheme="majorHAnsi" w:cstheme="majorHAnsi"/>
                <w:strike/>
                <w:color w:val="EE0000"/>
                <w:sz w:val="24"/>
                <w:szCs w:val="24"/>
              </w:rPr>
              <w:t xml:space="preserve"> das três avaliações </w:t>
            </w:r>
            <w:proofErr w:type="gramStart"/>
            <w:r w:rsidR="003765BD" w:rsidRPr="00D462F0">
              <w:rPr>
                <w:rFonts w:asciiTheme="majorHAnsi" w:hAnsiTheme="majorHAnsi" w:cstheme="majorHAnsi"/>
                <w:strike/>
                <w:color w:val="EE0000"/>
                <w:sz w:val="24"/>
                <w:szCs w:val="24"/>
              </w:rPr>
              <w:t>referidas</w:t>
            </w:r>
            <w:r w:rsidR="003765BD" w:rsidRPr="00D462F0">
              <w:rPr>
                <w:rFonts w:asciiTheme="majorHAnsi" w:hAnsiTheme="majorHAnsi" w:cstheme="majorHAnsi"/>
                <w:color w:val="EE0000"/>
                <w:sz w:val="24"/>
                <w:szCs w:val="24"/>
              </w:rPr>
              <w:t xml:space="preserve"> </w:t>
            </w:r>
            <w:r w:rsidR="003765BD" w:rsidRPr="00D462F0">
              <w:rPr>
                <w:rFonts w:asciiTheme="majorHAnsi" w:hAnsiTheme="majorHAnsi" w:cstheme="majorHAnsi"/>
                <w:color w:val="0000FF"/>
                <w:sz w:val="24"/>
                <w:szCs w:val="24"/>
              </w:rPr>
              <w:t>Para</w:t>
            </w:r>
            <w:proofErr w:type="gramEnd"/>
            <w:r w:rsidR="003765BD" w:rsidRPr="00D462F0">
              <w:rPr>
                <w:rFonts w:asciiTheme="majorHAnsi" w:hAnsiTheme="majorHAnsi" w:cstheme="majorHAnsi"/>
                <w:color w:val="0000FF"/>
                <w:sz w:val="24"/>
                <w:szCs w:val="24"/>
              </w:rPr>
              <w:t xml:space="preserve"> fins do cumprimento do disposto</w:t>
            </w:r>
            <w:r w:rsidR="003765BD" w:rsidRPr="00D462F0">
              <w:rPr>
                <w:rFonts w:asciiTheme="majorHAnsi" w:hAnsiTheme="majorHAnsi" w:cstheme="majorHAnsi"/>
                <w:sz w:val="24"/>
                <w:szCs w:val="24"/>
              </w:rPr>
              <w:t xml:space="preserve"> no inciso VII do </w:t>
            </w:r>
            <w:r w:rsidR="003765BD" w:rsidRPr="00FB3502">
              <w:rPr>
                <w:rFonts w:asciiTheme="majorHAnsi" w:hAnsiTheme="majorHAnsi" w:cstheme="majorHAnsi"/>
                <w:i/>
                <w:iCs/>
                <w:sz w:val="24"/>
                <w:szCs w:val="24"/>
              </w:rPr>
              <w:t>caput</w:t>
            </w:r>
            <w:r w:rsidR="003765BD" w:rsidRPr="00D462F0">
              <w:rPr>
                <w:rFonts w:asciiTheme="majorHAnsi" w:hAnsiTheme="majorHAnsi" w:cstheme="majorHAnsi"/>
                <w:sz w:val="24"/>
                <w:szCs w:val="24"/>
              </w:rPr>
              <w:t xml:space="preserve">, </w:t>
            </w:r>
            <w:r w:rsidR="003765BD" w:rsidRPr="00D462F0">
              <w:rPr>
                <w:rFonts w:asciiTheme="majorHAnsi" w:hAnsiTheme="majorHAnsi" w:cstheme="majorHAnsi"/>
                <w:color w:val="0000FF"/>
                <w:sz w:val="24"/>
                <w:szCs w:val="24"/>
              </w:rPr>
              <w:t xml:space="preserve">a EFPC pode </w:t>
            </w:r>
            <w:r w:rsidR="003765BD" w:rsidRPr="00D462F0">
              <w:rPr>
                <w:rFonts w:asciiTheme="majorHAnsi" w:hAnsiTheme="majorHAnsi" w:cstheme="majorHAnsi"/>
                <w:strike/>
                <w:color w:val="EE0000"/>
                <w:sz w:val="24"/>
                <w:szCs w:val="24"/>
              </w:rPr>
              <w:t xml:space="preserve">ser dispensada caso a última avaliação do </w:t>
            </w:r>
            <w:r w:rsidR="003765BD" w:rsidRPr="00D462F0">
              <w:rPr>
                <w:rFonts w:asciiTheme="majorHAnsi" w:hAnsiTheme="majorHAnsi" w:cstheme="majorHAnsi"/>
                <w:strike/>
                <w:color w:val="EE0000"/>
                <w:sz w:val="24"/>
                <w:szCs w:val="24"/>
              </w:rPr>
              <w:lastRenderedPageBreak/>
              <w:t>imóvel a ser alienado tenha sido realizada em prazo inferior a</w:t>
            </w:r>
            <w:r w:rsidR="003765BD" w:rsidRPr="00D462F0">
              <w:rPr>
                <w:rFonts w:asciiTheme="majorHAnsi" w:hAnsiTheme="majorHAnsi" w:cstheme="majorHAnsi"/>
                <w:sz w:val="24"/>
                <w:szCs w:val="24"/>
              </w:rPr>
              <w:t xml:space="preserve"> utilizar avaliações do imóvel realizadas</w:t>
            </w:r>
            <w:r w:rsidR="00250981" w:rsidRPr="00D462F0">
              <w:rPr>
                <w:rFonts w:asciiTheme="majorHAnsi" w:hAnsiTheme="majorHAnsi" w:cstheme="majorHAnsi"/>
                <w:sz w:val="24"/>
                <w:szCs w:val="24"/>
              </w:rPr>
              <w:t xml:space="preserve"> nos </w:t>
            </w:r>
            <w:r w:rsidR="003765BD" w:rsidRPr="00D462F0">
              <w:rPr>
                <w:rFonts w:asciiTheme="majorHAnsi" w:hAnsiTheme="majorHAnsi" w:cstheme="majorHAnsi"/>
                <w:sz w:val="24"/>
                <w:szCs w:val="24"/>
              </w:rPr>
              <w:t>trezentos e sessenta dias</w:t>
            </w:r>
            <w:r w:rsidR="00250981" w:rsidRPr="00D462F0">
              <w:rPr>
                <w:rFonts w:asciiTheme="majorHAnsi" w:hAnsiTheme="majorHAnsi" w:cstheme="majorHAnsi"/>
                <w:sz w:val="24"/>
                <w:szCs w:val="24"/>
              </w:rPr>
              <w:t xml:space="preserve"> anteriores à data da alienação</w:t>
            </w:r>
            <w:r w:rsidR="003765BD" w:rsidRPr="00D462F0">
              <w:rPr>
                <w:rFonts w:asciiTheme="majorHAnsi" w:hAnsiTheme="majorHAnsi" w:cstheme="majorHAnsi"/>
                <w:sz w:val="24"/>
                <w:szCs w:val="24"/>
              </w:rPr>
              <w:t xml:space="preserve">, desde que </w:t>
            </w:r>
            <w:r w:rsidR="003765BD" w:rsidRPr="00D462F0">
              <w:rPr>
                <w:rFonts w:asciiTheme="majorHAnsi" w:hAnsiTheme="majorHAnsi" w:cstheme="majorHAnsi"/>
                <w:strike/>
                <w:color w:val="EE0000"/>
                <w:sz w:val="24"/>
                <w:szCs w:val="24"/>
              </w:rPr>
              <w:t xml:space="preserve">tal procedimento seja devidamente </w:t>
            </w:r>
            <w:proofErr w:type="spellStart"/>
            <w:r w:rsidR="003765BD" w:rsidRPr="00D462F0">
              <w:rPr>
                <w:rFonts w:asciiTheme="majorHAnsi" w:hAnsiTheme="majorHAnsi" w:cstheme="majorHAnsi"/>
                <w:strike/>
                <w:color w:val="EE0000"/>
                <w:sz w:val="24"/>
                <w:szCs w:val="24"/>
              </w:rPr>
              <w:t>atestado</w:t>
            </w:r>
            <w:r w:rsidR="00250981" w:rsidRPr="00D462F0">
              <w:rPr>
                <w:rFonts w:asciiTheme="majorHAnsi" w:hAnsiTheme="majorHAnsi" w:cstheme="majorHAnsi"/>
                <w:sz w:val="24"/>
                <w:szCs w:val="24"/>
              </w:rPr>
              <w:t>atestadas</w:t>
            </w:r>
            <w:proofErr w:type="spellEnd"/>
            <w:r w:rsidR="00250981" w:rsidRPr="00D462F0">
              <w:rPr>
                <w:rFonts w:asciiTheme="majorHAnsi" w:hAnsiTheme="majorHAnsi" w:cstheme="majorHAnsi"/>
                <w:sz w:val="24"/>
                <w:szCs w:val="24"/>
              </w:rPr>
              <w:t xml:space="preserve"> </w:t>
            </w:r>
            <w:r w:rsidR="003765BD" w:rsidRPr="00D462F0">
              <w:rPr>
                <w:rFonts w:asciiTheme="majorHAnsi" w:hAnsiTheme="majorHAnsi" w:cstheme="majorHAnsi"/>
                <w:sz w:val="24"/>
                <w:szCs w:val="24"/>
              </w:rPr>
              <w:t xml:space="preserve">pelo administrador estatutário tecnicamente qualificado, </w:t>
            </w:r>
            <w:r w:rsidR="003765BD" w:rsidRPr="00D462F0">
              <w:rPr>
                <w:rFonts w:asciiTheme="majorHAnsi" w:hAnsiTheme="majorHAnsi" w:cstheme="majorHAnsi"/>
                <w:strike/>
                <w:color w:val="EE0000"/>
                <w:sz w:val="24"/>
                <w:szCs w:val="24"/>
              </w:rPr>
              <w:t>em função das</w:t>
            </w:r>
            <w:r w:rsidR="003765BD" w:rsidRPr="00D462F0">
              <w:rPr>
                <w:rFonts w:asciiTheme="majorHAnsi" w:hAnsiTheme="majorHAnsi" w:cstheme="majorHAnsi"/>
                <w:sz w:val="24"/>
                <w:szCs w:val="24"/>
              </w:rPr>
              <w:t xml:space="preserve"> </w:t>
            </w:r>
            <w:r w:rsidR="00250981" w:rsidRPr="00D462F0">
              <w:rPr>
                <w:rFonts w:asciiTheme="majorHAnsi" w:hAnsiTheme="majorHAnsi" w:cstheme="majorHAnsi"/>
                <w:color w:val="0000FF"/>
                <w:sz w:val="24"/>
                <w:szCs w:val="24"/>
              </w:rPr>
              <w:t xml:space="preserve">considerando as </w:t>
            </w:r>
            <w:r w:rsidR="003765BD" w:rsidRPr="00D462F0">
              <w:rPr>
                <w:rFonts w:asciiTheme="majorHAnsi" w:hAnsiTheme="majorHAnsi" w:cstheme="majorHAnsi"/>
                <w:sz w:val="24"/>
                <w:szCs w:val="24"/>
              </w:rPr>
              <w:t>condições de mercad</w:t>
            </w:r>
            <w:r w:rsidR="00250981" w:rsidRPr="00D462F0">
              <w:rPr>
                <w:rFonts w:asciiTheme="majorHAnsi" w:hAnsiTheme="majorHAnsi" w:cstheme="majorHAnsi"/>
                <w:sz w:val="24"/>
                <w:szCs w:val="24"/>
              </w:rPr>
              <w:t>o.</w:t>
            </w:r>
          </w:p>
          <w:p w14:paraId="5ECE9CD9" w14:textId="0BFE4EDD" w:rsidR="00EB19CA" w:rsidRPr="00D462F0" w:rsidRDefault="00EB19CA" w:rsidP="00D462F0">
            <w:pPr>
              <w:jc w:val="both"/>
              <w:rPr>
                <w:rFonts w:asciiTheme="majorHAnsi" w:hAnsiTheme="majorHAnsi" w:cstheme="majorHAnsi"/>
                <w:bCs/>
                <w:sz w:val="24"/>
                <w:szCs w:val="24"/>
              </w:rPr>
            </w:pPr>
          </w:p>
        </w:tc>
        <w:tc>
          <w:tcPr>
            <w:tcW w:w="4074" w:type="dxa"/>
          </w:tcPr>
          <w:p w14:paraId="59B3AC94"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Alteração do referido § 1º tem o intuito de desonerar a EFPC caso existam avaliações do imóvel a ser alienado com prazo de realização inferior a 360 dias. </w:t>
            </w:r>
            <w:r w:rsidRPr="00D462F0">
              <w:rPr>
                <w:rFonts w:asciiTheme="majorHAnsi" w:hAnsiTheme="majorHAnsi" w:cstheme="majorHAnsi"/>
                <w:sz w:val="24"/>
                <w:szCs w:val="24"/>
              </w:rPr>
              <w:lastRenderedPageBreak/>
              <w:t xml:space="preserve">Cabe esclarecer que as 3 avaliações terão que ser efetuadas. </w:t>
            </w:r>
          </w:p>
          <w:p w14:paraId="5CF07DAF"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Caso a EFPC já tenha realizado 2 avaliações do imóvel a ser alienado e estas tenham sido elaboradas no prazo de até 360 dias, teria que realizar apenas mais uma.</w:t>
            </w:r>
          </w:p>
          <w:p w14:paraId="37640FB1" w14:textId="77777777" w:rsidR="00EB19CA" w:rsidRPr="00D462F0" w:rsidRDefault="00EB19CA" w:rsidP="00D462F0">
            <w:pPr>
              <w:jc w:val="both"/>
              <w:rPr>
                <w:rFonts w:asciiTheme="majorHAnsi" w:hAnsiTheme="majorHAnsi" w:cstheme="majorHAnsi"/>
                <w:sz w:val="24"/>
                <w:szCs w:val="24"/>
              </w:rPr>
            </w:pPr>
          </w:p>
        </w:tc>
        <w:tc>
          <w:tcPr>
            <w:tcW w:w="4075" w:type="dxa"/>
          </w:tcPr>
          <w:p w14:paraId="6D471417"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Inciso VII do art. 4º do Decreto nº 10.411/2020.</w:t>
            </w:r>
          </w:p>
          <w:p w14:paraId="14BAD17F" w14:textId="5ADAA6B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dispensa de AIR está baseada na redução de exigências, obrigações, </w:t>
            </w:r>
            <w:r w:rsidRPr="00D462F0">
              <w:rPr>
                <w:rFonts w:asciiTheme="majorHAnsi" w:hAnsiTheme="majorHAnsi" w:cstheme="majorHAnsi"/>
                <w:bCs/>
                <w:sz w:val="24"/>
                <w:szCs w:val="24"/>
              </w:rPr>
              <w:lastRenderedPageBreak/>
              <w:t>restrições, requerimentos ou especificações com o objetivo de diminuir os custos regulatórios, pois trouxe o entendimento de que avaliações ou reavaliações do imóvel a ser alienado realizadas em prazo de até 360 dias serão aceitas para efeito do disposto no inciso VII do artigo 197.</w:t>
            </w:r>
          </w:p>
        </w:tc>
      </w:tr>
      <w:tr w:rsidR="00EB19CA" w:rsidRPr="00C93770" w14:paraId="75486C12" w14:textId="77777777" w:rsidTr="1756A420">
        <w:tc>
          <w:tcPr>
            <w:tcW w:w="4074" w:type="dxa"/>
          </w:tcPr>
          <w:p w14:paraId="48EA6299" w14:textId="57484B1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62D570B4" w14:textId="1B812638" w:rsidR="00EB19CA" w:rsidRPr="00D462F0" w:rsidRDefault="00EB19CA" w:rsidP="00D462F0">
            <w:pPr>
              <w:jc w:val="both"/>
              <w:rPr>
                <w:rFonts w:asciiTheme="majorHAnsi" w:hAnsiTheme="majorHAnsi" w:cstheme="majorHAnsi"/>
                <w:bCs/>
                <w:sz w:val="24"/>
                <w:szCs w:val="24"/>
              </w:rPr>
            </w:pPr>
          </w:p>
        </w:tc>
        <w:tc>
          <w:tcPr>
            <w:tcW w:w="4074" w:type="dxa"/>
          </w:tcPr>
          <w:p w14:paraId="3151A386" w14:textId="77777777" w:rsidR="00EB19CA" w:rsidRPr="00D462F0" w:rsidRDefault="00EB19CA" w:rsidP="00D462F0">
            <w:pPr>
              <w:jc w:val="both"/>
              <w:rPr>
                <w:rFonts w:asciiTheme="majorHAnsi" w:hAnsiTheme="majorHAnsi" w:cstheme="majorHAnsi"/>
                <w:sz w:val="24"/>
                <w:szCs w:val="24"/>
              </w:rPr>
            </w:pPr>
          </w:p>
        </w:tc>
        <w:tc>
          <w:tcPr>
            <w:tcW w:w="4075" w:type="dxa"/>
          </w:tcPr>
          <w:p w14:paraId="23FB285E" w14:textId="4F202C72" w:rsidR="00EB19CA" w:rsidRPr="00D462F0" w:rsidRDefault="00EB19CA" w:rsidP="00D462F0">
            <w:pPr>
              <w:jc w:val="both"/>
              <w:rPr>
                <w:rFonts w:asciiTheme="majorHAnsi" w:hAnsiTheme="majorHAnsi" w:cstheme="majorHAnsi"/>
                <w:bCs/>
                <w:sz w:val="24"/>
                <w:szCs w:val="24"/>
              </w:rPr>
            </w:pPr>
          </w:p>
        </w:tc>
      </w:tr>
      <w:tr w:rsidR="00EB19CA" w:rsidRPr="00C93770" w14:paraId="4B8A635D" w14:textId="77777777" w:rsidTr="1756A420">
        <w:tc>
          <w:tcPr>
            <w:tcW w:w="4074" w:type="dxa"/>
          </w:tcPr>
          <w:p w14:paraId="4C34CE8B" w14:textId="58A4BD21"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20E496D8" w14:textId="42F86DA2"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C7BA8F8" w14:textId="77777777" w:rsidR="00EB19CA" w:rsidRPr="00D462F0" w:rsidRDefault="00EB19CA" w:rsidP="00D462F0">
            <w:pPr>
              <w:jc w:val="both"/>
              <w:rPr>
                <w:rFonts w:asciiTheme="majorHAnsi" w:hAnsiTheme="majorHAnsi" w:cstheme="majorHAnsi"/>
                <w:sz w:val="24"/>
                <w:szCs w:val="24"/>
              </w:rPr>
            </w:pPr>
          </w:p>
        </w:tc>
        <w:tc>
          <w:tcPr>
            <w:tcW w:w="4075" w:type="dxa"/>
          </w:tcPr>
          <w:p w14:paraId="2F0E1D64" w14:textId="77777777" w:rsidR="00EB19CA" w:rsidRPr="00D462F0" w:rsidRDefault="00EB19CA" w:rsidP="00D462F0">
            <w:pPr>
              <w:jc w:val="both"/>
              <w:rPr>
                <w:rFonts w:asciiTheme="majorHAnsi" w:hAnsiTheme="majorHAnsi" w:cstheme="majorHAnsi"/>
                <w:bCs/>
                <w:sz w:val="24"/>
                <w:szCs w:val="24"/>
              </w:rPr>
            </w:pPr>
          </w:p>
        </w:tc>
      </w:tr>
      <w:tr w:rsidR="00EB19CA" w:rsidRPr="00C93770" w14:paraId="5AF24693" w14:textId="77777777" w:rsidTr="1756A420">
        <w:tc>
          <w:tcPr>
            <w:tcW w:w="4074" w:type="dxa"/>
          </w:tcPr>
          <w:p w14:paraId="4F92C71A"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w:t>
            </w:r>
          </w:p>
          <w:p w14:paraId="4CED15D3"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Registros Contábeis do Imobilizado e do Intangível</w:t>
            </w:r>
          </w:p>
          <w:p w14:paraId="1712BF0E" w14:textId="77777777" w:rsidR="00EB19CA" w:rsidRPr="00D462F0" w:rsidRDefault="00EB19CA" w:rsidP="0028717C">
            <w:pPr>
              <w:jc w:val="center"/>
              <w:rPr>
                <w:rFonts w:asciiTheme="majorHAnsi" w:hAnsiTheme="majorHAnsi" w:cstheme="majorHAnsi"/>
                <w:b/>
                <w:bCs/>
                <w:sz w:val="24"/>
                <w:szCs w:val="24"/>
              </w:rPr>
            </w:pPr>
          </w:p>
        </w:tc>
        <w:tc>
          <w:tcPr>
            <w:tcW w:w="4074" w:type="dxa"/>
          </w:tcPr>
          <w:p w14:paraId="3E6B1047"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w:t>
            </w:r>
          </w:p>
          <w:p w14:paraId="45382E83" w14:textId="2C5C385B"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Registros Contábeis do Imobilizado e do Intangível</w:t>
            </w:r>
          </w:p>
        </w:tc>
        <w:tc>
          <w:tcPr>
            <w:tcW w:w="4074" w:type="dxa"/>
          </w:tcPr>
          <w:p w14:paraId="175D3ACC" w14:textId="50D9CC4B" w:rsidR="00EB19CA" w:rsidRPr="00D462F0" w:rsidRDefault="00EB19CA" w:rsidP="00D462F0">
            <w:pPr>
              <w:jc w:val="both"/>
              <w:rPr>
                <w:rFonts w:asciiTheme="majorHAnsi" w:hAnsiTheme="majorHAnsi" w:cstheme="majorHAnsi"/>
                <w:sz w:val="24"/>
                <w:szCs w:val="24"/>
              </w:rPr>
            </w:pPr>
          </w:p>
        </w:tc>
        <w:tc>
          <w:tcPr>
            <w:tcW w:w="4075" w:type="dxa"/>
          </w:tcPr>
          <w:p w14:paraId="6EA56A77" w14:textId="77777777" w:rsidR="00EB19CA" w:rsidRPr="00D462F0" w:rsidRDefault="00EB19CA" w:rsidP="00D462F0">
            <w:pPr>
              <w:jc w:val="both"/>
              <w:rPr>
                <w:rFonts w:asciiTheme="majorHAnsi" w:hAnsiTheme="majorHAnsi" w:cstheme="majorHAnsi"/>
                <w:bCs/>
                <w:sz w:val="24"/>
                <w:szCs w:val="24"/>
              </w:rPr>
            </w:pPr>
          </w:p>
        </w:tc>
      </w:tr>
      <w:tr w:rsidR="00297D09" w:rsidRPr="00C93770" w14:paraId="1B5925F0" w14:textId="77777777" w:rsidTr="1756A420">
        <w:tc>
          <w:tcPr>
            <w:tcW w:w="4074" w:type="dxa"/>
          </w:tcPr>
          <w:p w14:paraId="30268E1A" w14:textId="6F229BD2" w:rsidR="00297D09" w:rsidRPr="00D462F0" w:rsidRDefault="00297D09"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2265835" w14:textId="00308E75" w:rsidR="00297D09" w:rsidRPr="00D462F0" w:rsidRDefault="00297D09" w:rsidP="0028717C">
            <w:pPr>
              <w:tabs>
                <w:tab w:val="left" w:pos="0"/>
              </w:tabs>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2412BE26" w14:textId="77777777" w:rsidR="00297D09" w:rsidRPr="00D462F0" w:rsidRDefault="00297D09" w:rsidP="00D462F0">
            <w:pPr>
              <w:jc w:val="both"/>
              <w:rPr>
                <w:rFonts w:asciiTheme="majorHAnsi" w:hAnsiTheme="majorHAnsi" w:cstheme="majorHAnsi"/>
                <w:sz w:val="24"/>
                <w:szCs w:val="24"/>
              </w:rPr>
            </w:pPr>
          </w:p>
        </w:tc>
        <w:tc>
          <w:tcPr>
            <w:tcW w:w="4075" w:type="dxa"/>
          </w:tcPr>
          <w:p w14:paraId="7E1589EC" w14:textId="77777777" w:rsidR="00297D09" w:rsidRPr="00D462F0" w:rsidRDefault="00297D09" w:rsidP="00D462F0">
            <w:pPr>
              <w:jc w:val="both"/>
              <w:rPr>
                <w:rFonts w:asciiTheme="majorHAnsi" w:hAnsiTheme="majorHAnsi" w:cstheme="majorHAnsi"/>
                <w:bCs/>
                <w:sz w:val="24"/>
                <w:szCs w:val="24"/>
              </w:rPr>
            </w:pPr>
          </w:p>
        </w:tc>
      </w:tr>
      <w:tr w:rsidR="00EB19CA" w:rsidRPr="00C93770" w14:paraId="0FBF4B8F" w14:textId="77777777" w:rsidTr="1756A420">
        <w:tc>
          <w:tcPr>
            <w:tcW w:w="4074" w:type="dxa"/>
          </w:tcPr>
          <w:p w14:paraId="1B8A4C3F" w14:textId="5E855441"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B319E92" w14:textId="476FED32" w:rsidR="00EB19CA" w:rsidRPr="00D462F0" w:rsidRDefault="00EB19CA" w:rsidP="00D462F0">
            <w:pPr>
              <w:tabs>
                <w:tab w:val="left" w:pos="0"/>
              </w:tabs>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Art. 206-A.  Os imóveis adquiridos para uso próprio com recursos do fundo administrativo do </w:t>
            </w:r>
            <w:r w:rsidR="00250981" w:rsidRPr="00D462F0">
              <w:rPr>
                <w:rFonts w:asciiTheme="majorHAnsi" w:hAnsiTheme="majorHAnsi" w:cstheme="majorHAnsi"/>
                <w:bCs/>
                <w:color w:val="0000FF"/>
                <w:sz w:val="24"/>
                <w:szCs w:val="24"/>
              </w:rPr>
              <w:t>P</w:t>
            </w:r>
            <w:r w:rsidRPr="00D462F0">
              <w:rPr>
                <w:rFonts w:asciiTheme="majorHAnsi" w:hAnsiTheme="majorHAnsi" w:cstheme="majorHAnsi"/>
                <w:bCs/>
                <w:color w:val="0000FF"/>
                <w:sz w:val="24"/>
                <w:szCs w:val="24"/>
              </w:rPr>
              <w:t xml:space="preserve">lano de </w:t>
            </w:r>
            <w:r w:rsidR="00250981" w:rsidRPr="00D462F0">
              <w:rPr>
                <w:rFonts w:asciiTheme="majorHAnsi" w:hAnsiTheme="majorHAnsi" w:cstheme="majorHAnsi"/>
                <w:bCs/>
                <w:color w:val="0000FF"/>
                <w:sz w:val="24"/>
                <w:szCs w:val="24"/>
              </w:rPr>
              <w:t>G</w:t>
            </w:r>
            <w:r w:rsidRPr="00D462F0">
              <w:rPr>
                <w:rFonts w:asciiTheme="majorHAnsi" w:hAnsiTheme="majorHAnsi" w:cstheme="majorHAnsi"/>
                <w:bCs/>
                <w:color w:val="0000FF"/>
                <w:sz w:val="24"/>
                <w:szCs w:val="24"/>
              </w:rPr>
              <w:t xml:space="preserve">estão </w:t>
            </w:r>
            <w:r w:rsidR="00250981" w:rsidRPr="00D462F0">
              <w:rPr>
                <w:rFonts w:asciiTheme="majorHAnsi" w:hAnsiTheme="majorHAnsi" w:cstheme="majorHAnsi"/>
                <w:bCs/>
                <w:color w:val="0000FF"/>
                <w:sz w:val="24"/>
                <w:szCs w:val="24"/>
              </w:rPr>
              <w:t>A</w:t>
            </w:r>
            <w:r w:rsidRPr="00D462F0">
              <w:rPr>
                <w:rFonts w:asciiTheme="majorHAnsi" w:hAnsiTheme="majorHAnsi" w:cstheme="majorHAnsi"/>
                <w:bCs/>
                <w:color w:val="0000FF"/>
                <w:sz w:val="24"/>
                <w:szCs w:val="24"/>
              </w:rPr>
              <w:t>dministrativa, destinados exclusivamente à instalação e manutenção da sede da entidade e utilizados para fins administrativos, devem ser registrados no Ativo Imobilizado.</w:t>
            </w:r>
          </w:p>
          <w:p w14:paraId="239BD45F" w14:textId="4AA5F194" w:rsidR="00EB19CA" w:rsidRPr="00D462F0" w:rsidRDefault="00EB19CA" w:rsidP="00D462F0">
            <w:pPr>
              <w:jc w:val="both"/>
              <w:rPr>
                <w:rFonts w:asciiTheme="majorHAnsi" w:hAnsiTheme="majorHAnsi" w:cstheme="majorHAnsi"/>
                <w:bCs/>
                <w:sz w:val="24"/>
                <w:szCs w:val="24"/>
              </w:rPr>
            </w:pPr>
          </w:p>
        </w:tc>
        <w:tc>
          <w:tcPr>
            <w:tcW w:w="4074" w:type="dxa"/>
          </w:tcPr>
          <w:p w14:paraId="55BCF12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do art. 206-A na Seção V - Registro Contábil do Imobilizado e Intangível do Capítulo V da Resolução Previc nº 23, de 2023, tem o objetivo de evidenciar que as aquisições de imóveis com recursos do fundo administrativo do PGA devem ser registradas no Ativo Imobilizado e que somente podem ocorrer para imóveis de uso próprio, referentes a sede da entidade.</w:t>
            </w:r>
          </w:p>
          <w:p w14:paraId="4C7C928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O fundo administrativo é constituído pela diferença apurada entre as fontes de custeio administrativo e as despesas da gestão administrativa, destinado a cobertura de gastos para a administração de planos de benefícios, conforme definição da constante do inciso V do art. 2º da Resolução CNPC nº 62, de 9 de dezembro de 2024.</w:t>
            </w:r>
          </w:p>
          <w:p w14:paraId="620F1133" w14:textId="4CDE4FD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Assim entende-se que os recursos do fundo administrativo não compõem os recursos disponíveis e nem de investimentos, indicado no citado art. 2º da Resolução CMN nº 4.994, de 2022, pois se referem a "sobras" para serem destinadas ao custeio administrativo da EFPC e não para finalidade de renda com investimentos.</w:t>
            </w:r>
          </w:p>
          <w:p w14:paraId="7713B388" w14:textId="07A96FE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O fundo administrativo, por sua natureza e destinação, não se confunde com tais recursos, pois representa excedentes destinados ao custeio administrativo da entidade e não à geração de renda com investimentos. Entretanto, caso eventuais sobras do fundo administrativo sejam aplicad</w:t>
            </w:r>
            <w:r w:rsidR="00A67602">
              <w:rPr>
                <w:rFonts w:asciiTheme="majorHAnsi" w:hAnsiTheme="majorHAnsi" w:cstheme="majorHAnsi"/>
                <w:sz w:val="24"/>
                <w:szCs w:val="24"/>
              </w:rPr>
              <w:t>a</w:t>
            </w:r>
            <w:r w:rsidRPr="00D462F0">
              <w:rPr>
                <w:rFonts w:asciiTheme="majorHAnsi" w:hAnsiTheme="majorHAnsi" w:cstheme="majorHAnsi"/>
                <w:sz w:val="24"/>
                <w:szCs w:val="24"/>
              </w:rPr>
              <w:t>s no mercado financeiro, tais aplicações passam a se enquadrar no conceito de investimento e, portanto, devem observar integralmente as disposições da Resolução CMN nº 4.994, de 2022.</w:t>
            </w:r>
          </w:p>
          <w:p w14:paraId="49DB58B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Além disso, sob a ótica contábil, a classificação de imóveis adquiridos por EFPC depende de sua destinação econômica, conforme os pronunciamentos técnicos emitidos pelo Conselho Federal de Contabilidade (CFC) e aplicáveis às entidades fechadas de previdência complementar.</w:t>
            </w:r>
          </w:p>
          <w:p w14:paraId="7EE795D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Nesse sentido, a NBC TG 27 (CPC 27/IAS 16 – Ativo Imobilizado) define o ativo imobilizado como o bem tangível mantido para uso na produção ou fornecimento de serviços ou para fins administrativos, com expectativa de utilização superior a um período. Assim, </w:t>
            </w:r>
            <w:r w:rsidRPr="00D462F0">
              <w:rPr>
                <w:rFonts w:asciiTheme="majorHAnsi" w:hAnsiTheme="majorHAnsi" w:cstheme="majorHAnsi"/>
                <w:sz w:val="24"/>
                <w:szCs w:val="24"/>
              </w:rPr>
              <w:lastRenderedPageBreak/>
              <w:t>os imóveis destinados à sede da EFPC enquadram-se como ativo imobilizado, devendo ser reconhecidos e mensurados de acordo com os critérios previstos nessa norma.</w:t>
            </w:r>
          </w:p>
          <w:p w14:paraId="156C0A6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Por sua vez, a NBC TG 28 (CPC 28/IAS 40 – Propriedade para Investimento) conceitua a propriedade para investimento como aquela mantida com objetivo de obtenção de aluguel ou valorização do capital, distinguindo-a do imobilizado. Embora essa categoria exista do ponto de vista contábil, a regulação específica aplicável às EFPC, em especial a Resolução CMN nº 4.994/2022, alterada pela Resolução CMN nº 5.202/2025, veda a aquisição de imóveis para investimento, restringindo sua utilização como aplicação financeira no âmbito do sistema.</w:t>
            </w:r>
          </w:p>
          <w:p w14:paraId="2C2EFEEE" w14:textId="70E55EF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Dessa forma, a fundamentação contábil e regulatória converge para um ponto inequívoco: é vedada qualquer aquisição de imóveis pelas EFPC com finalidade de investimento, nos termos da Resolução CMN nº 4.994/2022. Contudo, revela-se legítima e plenamente compatível com a boa prática contábil (CPC 27) e regulatória a aquisição de imóveis destinados ao uso próprio, quando realizada com recursos do fundo administrativo do PGA, devendo tais bens ser reconhecidos e mantidos no ativo imobilizado.</w:t>
            </w:r>
          </w:p>
        </w:tc>
        <w:tc>
          <w:tcPr>
            <w:tcW w:w="4075" w:type="dxa"/>
          </w:tcPr>
          <w:p w14:paraId="06B74FEE"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Inciso II do art. 4º do Decreto nº 10.411/2020.</w:t>
            </w:r>
          </w:p>
          <w:p w14:paraId="21F6AFB4" w14:textId="2CDF1F0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se baseia na necessidade de disciplinar direitos ou obrigações definidos em norma hierarquicamente superior, no caso a Resolução CNPC nº 43, de 2024, que dispõe sobre os procedimentos contábeis das EFPC.</w:t>
            </w:r>
          </w:p>
        </w:tc>
      </w:tr>
      <w:tr w:rsidR="00EB19CA" w:rsidRPr="00C93770" w14:paraId="4985E2EF" w14:textId="77777777" w:rsidTr="1756A420">
        <w:tc>
          <w:tcPr>
            <w:tcW w:w="4074" w:type="dxa"/>
          </w:tcPr>
          <w:p w14:paraId="38C26525" w14:textId="2B3449F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14AF1F20" w14:textId="3C2DB51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Parágrafo único.  É vedada, a qualquer tempo, a reclassificação dos imóveis de que trata o </w:t>
            </w:r>
            <w:r w:rsidRPr="00FB3502">
              <w:rPr>
                <w:rFonts w:asciiTheme="majorHAnsi" w:hAnsiTheme="majorHAnsi" w:cstheme="majorHAnsi"/>
                <w:bCs/>
                <w:i/>
                <w:iCs/>
                <w:color w:val="0000FF"/>
                <w:sz w:val="24"/>
                <w:szCs w:val="24"/>
              </w:rPr>
              <w:t>caput</w:t>
            </w:r>
            <w:r w:rsidRPr="00D462F0">
              <w:rPr>
                <w:rFonts w:asciiTheme="majorHAnsi" w:hAnsiTheme="majorHAnsi" w:cstheme="majorHAnsi"/>
                <w:bCs/>
                <w:color w:val="0000FF"/>
                <w:sz w:val="24"/>
                <w:szCs w:val="24"/>
              </w:rPr>
              <w:t xml:space="preserve"> deste artigo para a </w:t>
            </w:r>
            <w:r w:rsidRPr="00D462F0">
              <w:rPr>
                <w:rFonts w:asciiTheme="majorHAnsi" w:hAnsiTheme="majorHAnsi" w:cstheme="majorHAnsi"/>
                <w:bCs/>
                <w:color w:val="0000FF"/>
                <w:sz w:val="24"/>
                <w:szCs w:val="24"/>
              </w:rPr>
              <w:lastRenderedPageBreak/>
              <w:t>categoria de investimento, abrangendo integralmente o bem ou quaisquer de suas partes, tais como andares, salas ou frações ideais, em conformidade com a Resolução do CMN vigente.</w:t>
            </w:r>
          </w:p>
        </w:tc>
        <w:tc>
          <w:tcPr>
            <w:tcW w:w="4074" w:type="dxa"/>
          </w:tcPr>
          <w:p w14:paraId="1D49CA92" w14:textId="2146413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Idem item anterior</w:t>
            </w:r>
          </w:p>
        </w:tc>
        <w:tc>
          <w:tcPr>
            <w:tcW w:w="4075" w:type="dxa"/>
          </w:tcPr>
          <w:p w14:paraId="32ED0281" w14:textId="1F403A3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item anterior</w:t>
            </w:r>
          </w:p>
        </w:tc>
      </w:tr>
      <w:tr w:rsidR="00EB19CA" w:rsidRPr="00C93770" w14:paraId="5CCE73D9" w14:textId="77777777" w:rsidTr="1756A420">
        <w:tc>
          <w:tcPr>
            <w:tcW w:w="4074" w:type="dxa"/>
          </w:tcPr>
          <w:p w14:paraId="305FBD06" w14:textId="1007468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63E34C9E" w14:textId="7E07018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Art. 206-B.  A aquisição e alienação de imóveis de que trata o art. 206-A, devem apresentar, no mínimo, três laudos técnicos de avaliação prévios à aquisição ou à alienação do imóvel, elaborados de acordo com as normas expedidas pela Associação Brasileira de Normas Técnicas, contendo, no mínimo: </w:t>
            </w:r>
          </w:p>
        </w:tc>
        <w:tc>
          <w:tcPr>
            <w:tcW w:w="4074" w:type="dxa"/>
          </w:tcPr>
          <w:p w14:paraId="21FF4781" w14:textId="6DD2DAA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deste artigo tem o objetivo de definir os procedimentos que devem ser adotados pelas EFPC, no que se refere à aquisição e à alienação de imóveis registrados no Imobilizado. </w:t>
            </w:r>
          </w:p>
        </w:tc>
        <w:tc>
          <w:tcPr>
            <w:tcW w:w="4075" w:type="dxa"/>
          </w:tcPr>
          <w:p w14:paraId="5966EE3D" w14:textId="4D1A480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item anterior</w:t>
            </w:r>
          </w:p>
        </w:tc>
      </w:tr>
      <w:tr w:rsidR="00EB19CA" w:rsidRPr="00C93770" w14:paraId="1B273D16" w14:textId="77777777" w:rsidTr="1756A420">
        <w:tc>
          <w:tcPr>
            <w:tcW w:w="4074" w:type="dxa"/>
          </w:tcPr>
          <w:p w14:paraId="773F35ED" w14:textId="0228834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F04CD18" w14:textId="044AF46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a) identificação do imóvel;</w:t>
            </w:r>
          </w:p>
        </w:tc>
        <w:tc>
          <w:tcPr>
            <w:tcW w:w="4074" w:type="dxa"/>
          </w:tcPr>
          <w:p w14:paraId="063CDF46" w14:textId="77777777" w:rsidR="00EB19CA" w:rsidRPr="00D462F0" w:rsidRDefault="00EB19CA" w:rsidP="00D462F0">
            <w:pPr>
              <w:jc w:val="both"/>
              <w:rPr>
                <w:rFonts w:asciiTheme="majorHAnsi" w:hAnsiTheme="majorHAnsi" w:cstheme="majorHAnsi"/>
                <w:sz w:val="24"/>
                <w:szCs w:val="24"/>
              </w:rPr>
            </w:pPr>
          </w:p>
        </w:tc>
        <w:tc>
          <w:tcPr>
            <w:tcW w:w="4075" w:type="dxa"/>
          </w:tcPr>
          <w:p w14:paraId="684E33D4" w14:textId="77777777" w:rsidR="00EB19CA" w:rsidRPr="00D462F0" w:rsidRDefault="00EB19CA" w:rsidP="00D462F0">
            <w:pPr>
              <w:jc w:val="both"/>
              <w:rPr>
                <w:rFonts w:asciiTheme="majorHAnsi" w:hAnsiTheme="majorHAnsi" w:cstheme="majorHAnsi"/>
                <w:bCs/>
                <w:sz w:val="24"/>
                <w:szCs w:val="24"/>
              </w:rPr>
            </w:pPr>
          </w:p>
        </w:tc>
      </w:tr>
      <w:tr w:rsidR="00EB19CA" w:rsidRPr="00C93770" w14:paraId="060B7BC2" w14:textId="77777777" w:rsidTr="1756A420">
        <w:tc>
          <w:tcPr>
            <w:tcW w:w="4074" w:type="dxa"/>
          </w:tcPr>
          <w:p w14:paraId="297A0A5D" w14:textId="674202E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9EC5C1D" w14:textId="4A8F4A3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b) informações detalhadas sobre tamanho, localização e tipo (comercial ou residencial);</w:t>
            </w:r>
          </w:p>
        </w:tc>
        <w:tc>
          <w:tcPr>
            <w:tcW w:w="4074" w:type="dxa"/>
          </w:tcPr>
          <w:p w14:paraId="0B96A592" w14:textId="77777777" w:rsidR="00EB19CA" w:rsidRPr="00D462F0" w:rsidRDefault="00EB19CA" w:rsidP="00D462F0">
            <w:pPr>
              <w:jc w:val="both"/>
              <w:rPr>
                <w:rFonts w:asciiTheme="majorHAnsi" w:hAnsiTheme="majorHAnsi" w:cstheme="majorHAnsi"/>
                <w:sz w:val="24"/>
                <w:szCs w:val="24"/>
              </w:rPr>
            </w:pPr>
          </w:p>
        </w:tc>
        <w:tc>
          <w:tcPr>
            <w:tcW w:w="4075" w:type="dxa"/>
          </w:tcPr>
          <w:p w14:paraId="2D5A8E22" w14:textId="77777777" w:rsidR="00EB19CA" w:rsidRPr="00D462F0" w:rsidRDefault="00EB19CA" w:rsidP="00D462F0">
            <w:pPr>
              <w:jc w:val="both"/>
              <w:rPr>
                <w:rFonts w:asciiTheme="majorHAnsi" w:hAnsiTheme="majorHAnsi" w:cstheme="majorHAnsi"/>
                <w:bCs/>
                <w:sz w:val="24"/>
                <w:szCs w:val="24"/>
              </w:rPr>
            </w:pPr>
          </w:p>
        </w:tc>
      </w:tr>
      <w:tr w:rsidR="00EB19CA" w:rsidRPr="00C93770" w14:paraId="7FC4E015" w14:textId="77777777" w:rsidTr="1756A420">
        <w:tc>
          <w:tcPr>
            <w:tcW w:w="4074" w:type="dxa"/>
          </w:tcPr>
          <w:p w14:paraId="019766F2" w14:textId="6A76414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2854FE80" w14:textId="76200E2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c) data-base da avaliação;</w:t>
            </w:r>
          </w:p>
        </w:tc>
        <w:tc>
          <w:tcPr>
            <w:tcW w:w="4074" w:type="dxa"/>
          </w:tcPr>
          <w:p w14:paraId="5FB42AE6" w14:textId="77777777" w:rsidR="00EB19CA" w:rsidRPr="00D462F0" w:rsidRDefault="00EB19CA" w:rsidP="00D462F0">
            <w:pPr>
              <w:jc w:val="both"/>
              <w:rPr>
                <w:rFonts w:asciiTheme="majorHAnsi" w:hAnsiTheme="majorHAnsi" w:cstheme="majorHAnsi"/>
                <w:sz w:val="24"/>
                <w:szCs w:val="24"/>
              </w:rPr>
            </w:pPr>
          </w:p>
        </w:tc>
        <w:tc>
          <w:tcPr>
            <w:tcW w:w="4075" w:type="dxa"/>
          </w:tcPr>
          <w:p w14:paraId="1DDE99F4" w14:textId="77777777" w:rsidR="00EB19CA" w:rsidRPr="00D462F0" w:rsidRDefault="00EB19CA" w:rsidP="00D462F0">
            <w:pPr>
              <w:jc w:val="both"/>
              <w:rPr>
                <w:rFonts w:asciiTheme="majorHAnsi" w:hAnsiTheme="majorHAnsi" w:cstheme="majorHAnsi"/>
                <w:bCs/>
                <w:sz w:val="24"/>
                <w:szCs w:val="24"/>
              </w:rPr>
            </w:pPr>
          </w:p>
        </w:tc>
      </w:tr>
      <w:tr w:rsidR="00EB19CA" w:rsidRPr="00C93770" w14:paraId="36E19C48" w14:textId="77777777" w:rsidTr="1756A420">
        <w:tc>
          <w:tcPr>
            <w:tcW w:w="4074" w:type="dxa"/>
          </w:tcPr>
          <w:p w14:paraId="3ED5798B" w14:textId="55B2CD6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EA4A356" w14:textId="46CBE20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d) identificação da pessoa jurídica ou do profissional legalmente habilitado responsável pela avaliação; e</w:t>
            </w:r>
          </w:p>
        </w:tc>
        <w:tc>
          <w:tcPr>
            <w:tcW w:w="4074" w:type="dxa"/>
          </w:tcPr>
          <w:p w14:paraId="2D1AEBEA" w14:textId="77777777" w:rsidR="00EB19CA" w:rsidRPr="00D462F0" w:rsidRDefault="00EB19CA" w:rsidP="00D462F0">
            <w:pPr>
              <w:jc w:val="both"/>
              <w:rPr>
                <w:rFonts w:asciiTheme="majorHAnsi" w:hAnsiTheme="majorHAnsi" w:cstheme="majorHAnsi"/>
                <w:sz w:val="24"/>
                <w:szCs w:val="24"/>
              </w:rPr>
            </w:pPr>
          </w:p>
        </w:tc>
        <w:tc>
          <w:tcPr>
            <w:tcW w:w="4075" w:type="dxa"/>
          </w:tcPr>
          <w:p w14:paraId="7CD94965" w14:textId="77777777" w:rsidR="00EB19CA" w:rsidRPr="00D462F0" w:rsidRDefault="00EB19CA" w:rsidP="00D462F0">
            <w:pPr>
              <w:jc w:val="both"/>
              <w:rPr>
                <w:rFonts w:asciiTheme="majorHAnsi" w:hAnsiTheme="majorHAnsi" w:cstheme="majorHAnsi"/>
                <w:bCs/>
                <w:sz w:val="24"/>
                <w:szCs w:val="24"/>
              </w:rPr>
            </w:pPr>
          </w:p>
        </w:tc>
      </w:tr>
      <w:tr w:rsidR="00EB19CA" w:rsidRPr="00C93770" w14:paraId="504EED61" w14:textId="77777777" w:rsidTr="1756A420">
        <w:tc>
          <w:tcPr>
            <w:tcW w:w="4074" w:type="dxa"/>
          </w:tcPr>
          <w:p w14:paraId="083541EA" w14:textId="477DEFD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7E2E539E" w14:textId="16AA39A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e) a segregação entre o valor do terreno e das edificações.</w:t>
            </w:r>
          </w:p>
        </w:tc>
        <w:tc>
          <w:tcPr>
            <w:tcW w:w="4074" w:type="dxa"/>
          </w:tcPr>
          <w:p w14:paraId="524ADBA5" w14:textId="77777777" w:rsidR="00EB19CA" w:rsidRPr="00D462F0" w:rsidRDefault="00EB19CA" w:rsidP="00D462F0">
            <w:pPr>
              <w:jc w:val="both"/>
              <w:rPr>
                <w:rFonts w:asciiTheme="majorHAnsi" w:hAnsiTheme="majorHAnsi" w:cstheme="majorHAnsi"/>
                <w:sz w:val="24"/>
                <w:szCs w:val="24"/>
              </w:rPr>
            </w:pPr>
          </w:p>
        </w:tc>
        <w:tc>
          <w:tcPr>
            <w:tcW w:w="4075" w:type="dxa"/>
          </w:tcPr>
          <w:p w14:paraId="1CD91D8A" w14:textId="77777777" w:rsidR="00EB19CA" w:rsidRPr="00D462F0" w:rsidRDefault="00EB19CA" w:rsidP="00D462F0">
            <w:pPr>
              <w:jc w:val="both"/>
              <w:rPr>
                <w:rFonts w:asciiTheme="majorHAnsi" w:hAnsiTheme="majorHAnsi" w:cstheme="majorHAnsi"/>
                <w:bCs/>
                <w:sz w:val="24"/>
                <w:szCs w:val="24"/>
              </w:rPr>
            </w:pPr>
          </w:p>
        </w:tc>
      </w:tr>
      <w:tr w:rsidR="00EB19CA" w:rsidRPr="00C93770" w14:paraId="101236C0" w14:textId="77777777" w:rsidTr="1756A420">
        <w:tc>
          <w:tcPr>
            <w:tcW w:w="4074" w:type="dxa"/>
          </w:tcPr>
          <w:p w14:paraId="7EF58F8E" w14:textId="45679AC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2D913B50" w14:textId="1B735840"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Parágrafo Único.  Para fins do cumprimento do disposto no </w:t>
            </w:r>
            <w:r w:rsidRPr="00FB3502">
              <w:rPr>
                <w:rFonts w:asciiTheme="majorHAnsi" w:hAnsiTheme="majorHAnsi" w:cstheme="majorHAnsi"/>
                <w:bCs/>
                <w:i/>
                <w:iCs/>
                <w:color w:val="0000FF"/>
                <w:sz w:val="24"/>
                <w:szCs w:val="24"/>
              </w:rPr>
              <w:t>caput</w:t>
            </w:r>
            <w:r w:rsidRPr="00D462F0">
              <w:rPr>
                <w:rFonts w:asciiTheme="majorHAnsi" w:hAnsiTheme="majorHAnsi" w:cstheme="majorHAnsi"/>
                <w:bCs/>
                <w:color w:val="0000FF"/>
                <w:sz w:val="24"/>
                <w:szCs w:val="24"/>
              </w:rPr>
              <w:t xml:space="preserve"> deste artigo quanto a necessidade de três avaliações, a EFPC pode utilizar avaliações do imóvel realizadas nos trezentos e sessenta dias anteriores à data da alienação, desde que atestadas pelo administrador estatutário tecnicamente qualificado, considerando as condições de mercado.</w:t>
            </w:r>
          </w:p>
        </w:tc>
        <w:tc>
          <w:tcPr>
            <w:tcW w:w="4074" w:type="dxa"/>
          </w:tcPr>
          <w:p w14:paraId="379D484D" w14:textId="77777777" w:rsidR="00EB19CA" w:rsidRPr="00D462F0" w:rsidRDefault="00EB19CA" w:rsidP="00D462F0">
            <w:pPr>
              <w:jc w:val="both"/>
              <w:rPr>
                <w:rFonts w:asciiTheme="majorHAnsi" w:hAnsiTheme="majorHAnsi" w:cstheme="majorHAnsi"/>
                <w:sz w:val="24"/>
                <w:szCs w:val="24"/>
              </w:rPr>
            </w:pPr>
          </w:p>
        </w:tc>
        <w:tc>
          <w:tcPr>
            <w:tcW w:w="4075" w:type="dxa"/>
          </w:tcPr>
          <w:p w14:paraId="27EB7C74" w14:textId="77777777" w:rsidR="00EB19CA" w:rsidRPr="00D462F0" w:rsidRDefault="00EB19CA" w:rsidP="00D462F0">
            <w:pPr>
              <w:jc w:val="both"/>
              <w:rPr>
                <w:rFonts w:asciiTheme="majorHAnsi" w:hAnsiTheme="majorHAnsi" w:cstheme="majorHAnsi"/>
                <w:bCs/>
                <w:sz w:val="24"/>
                <w:szCs w:val="24"/>
              </w:rPr>
            </w:pPr>
          </w:p>
        </w:tc>
      </w:tr>
      <w:tr w:rsidR="00EB19CA" w:rsidRPr="00C93770" w14:paraId="46E48FA3" w14:textId="77777777" w:rsidTr="1756A420">
        <w:tc>
          <w:tcPr>
            <w:tcW w:w="4074" w:type="dxa"/>
          </w:tcPr>
          <w:p w14:paraId="25CB179A" w14:textId="330D3DC8"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7B553D18" w14:textId="1E07F3C8"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color w:val="000000" w:themeColor="text1"/>
                <w:sz w:val="24"/>
                <w:szCs w:val="24"/>
              </w:rPr>
              <w:t>...</w:t>
            </w:r>
          </w:p>
        </w:tc>
        <w:tc>
          <w:tcPr>
            <w:tcW w:w="4074" w:type="dxa"/>
          </w:tcPr>
          <w:p w14:paraId="1015ACDF" w14:textId="77777777" w:rsidR="00EB19CA" w:rsidRPr="00D462F0" w:rsidRDefault="00EB19CA" w:rsidP="00D462F0">
            <w:pPr>
              <w:jc w:val="both"/>
              <w:rPr>
                <w:rFonts w:asciiTheme="majorHAnsi" w:hAnsiTheme="majorHAnsi" w:cstheme="majorHAnsi"/>
                <w:sz w:val="24"/>
                <w:szCs w:val="24"/>
              </w:rPr>
            </w:pPr>
          </w:p>
        </w:tc>
        <w:tc>
          <w:tcPr>
            <w:tcW w:w="4075" w:type="dxa"/>
          </w:tcPr>
          <w:p w14:paraId="2A9590E6" w14:textId="77777777" w:rsidR="00EB19CA" w:rsidRPr="00D462F0" w:rsidRDefault="00EB19CA" w:rsidP="00D462F0">
            <w:pPr>
              <w:jc w:val="both"/>
              <w:rPr>
                <w:rFonts w:asciiTheme="majorHAnsi" w:hAnsiTheme="majorHAnsi" w:cstheme="majorHAnsi"/>
                <w:bCs/>
                <w:sz w:val="24"/>
                <w:szCs w:val="24"/>
              </w:rPr>
            </w:pPr>
          </w:p>
        </w:tc>
      </w:tr>
      <w:tr w:rsidR="00EB19CA" w:rsidRPr="00C93770" w14:paraId="36859AAF" w14:textId="77777777" w:rsidTr="1756A420">
        <w:tc>
          <w:tcPr>
            <w:tcW w:w="4074" w:type="dxa"/>
          </w:tcPr>
          <w:p w14:paraId="321FF621" w14:textId="4E7F2F57" w:rsidR="00EB19CA" w:rsidRPr="00D462F0" w:rsidRDefault="00EB19CA"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VII</w:t>
            </w:r>
          </w:p>
          <w:p w14:paraId="49673003" w14:textId="0F322BDB"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Notas Explicativas</w:t>
            </w:r>
          </w:p>
        </w:tc>
        <w:tc>
          <w:tcPr>
            <w:tcW w:w="4074" w:type="dxa"/>
          </w:tcPr>
          <w:p w14:paraId="12C91833" w14:textId="0047EB22" w:rsidR="00EB19CA" w:rsidRPr="00D462F0" w:rsidRDefault="00EB19CA" w:rsidP="0028717C">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VII</w:t>
            </w:r>
          </w:p>
          <w:p w14:paraId="16A9CE17" w14:textId="47B21360"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Notas Explicativas</w:t>
            </w:r>
          </w:p>
        </w:tc>
        <w:tc>
          <w:tcPr>
            <w:tcW w:w="4074" w:type="dxa"/>
          </w:tcPr>
          <w:p w14:paraId="0B540A85" w14:textId="77777777" w:rsidR="00EB19CA" w:rsidRPr="00D462F0" w:rsidRDefault="00EB19CA" w:rsidP="00D462F0">
            <w:pPr>
              <w:jc w:val="both"/>
              <w:rPr>
                <w:rFonts w:asciiTheme="majorHAnsi" w:hAnsiTheme="majorHAnsi" w:cstheme="majorHAnsi"/>
                <w:sz w:val="24"/>
                <w:szCs w:val="24"/>
              </w:rPr>
            </w:pPr>
          </w:p>
        </w:tc>
        <w:tc>
          <w:tcPr>
            <w:tcW w:w="4075" w:type="dxa"/>
          </w:tcPr>
          <w:p w14:paraId="322452B4" w14:textId="77777777" w:rsidR="00EB19CA" w:rsidRPr="00D462F0" w:rsidRDefault="00EB19CA" w:rsidP="00D462F0">
            <w:pPr>
              <w:jc w:val="both"/>
              <w:rPr>
                <w:rFonts w:asciiTheme="majorHAnsi" w:hAnsiTheme="majorHAnsi" w:cstheme="majorHAnsi"/>
                <w:bCs/>
                <w:sz w:val="24"/>
                <w:szCs w:val="24"/>
              </w:rPr>
            </w:pPr>
          </w:p>
        </w:tc>
      </w:tr>
      <w:tr w:rsidR="00EB19CA" w:rsidRPr="00C93770" w14:paraId="320AF5CF" w14:textId="77777777" w:rsidTr="1756A420">
        <w:tc>
          <w:tcPr>
            <w:tcW w:w="4074" w:type="dxa"/>
          </w:tcPr>
          <w:p w14:paraId="3E8BF681" w14:textId="159E223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Art. 208.  </w:t>
            </w:r>
            <w:r w:rsidRPr="00D462F0">
              <w:rPr>
                <w:rFonts w:asciiTheme="majorHAnsi" w:eastAsia="Calibri" w:hAnsiTheme="majorHAnsi" w:cstheme="majorHAnsi"/>
                <w:sz w:val="24"/>
                <w:szCs w:val="24"/>
              </w:rPr>
              <w:t xml:space="preserve">As EFPC devem elaborar as Notas Explicativas às Demonstrações Contábeis contemplando, no mínimo, as seguintes informações, segregadas, quando possível, por planos de benefícios e pelo Plano de Gestão Administrativa: </w:t>
            </w:r>
          </w:p>
        </w:tc>
        <w:tc>
          <w:tcPr>
            <w:tcW w:w="4074" w:type="dxa"/>
          </w:tcPr>
          <w:p w14:paraId="1A7C7EEB" w14:textId="1872B7AA" w:rsidR="00EB19CA" w:rsidRPr="00D462F0" w:rsidRDefault="004153BF"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351DBEDC" w14:textId="2604308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Revogar o art. 208 e todos os seus incisos, simultaneamente à criação do art. 208-A, tendo em vista a necessidade de inclusão, readequação e reordenamento do conteúdo do artigo e de seus incisos.</w:t>
            </w:r>
          </w:p>
        </w:tc>
        <w:tc>
          <w:tcPr>
            <w:tcW w:w="4075" w:type="dxa"/>
          </w:tcPr>
          <w:p w14:paraId="512FCE52" w14:textId="77777777" w:rsidR="00EB19CA" w:rsidRPr="00D462F0" w:rsidRDefault="00EB19CA" w:rsidP="00D462F0">
            <w:pPr>
              <w:jc w:val="both"/>
              <w:rPr>
                <w:rFonts w:asciiTheme="majorHAnsi" w:hAnsiTheme="majorHAnsi" w:cstheme="majorHAnsi"/>
                <w:bCs/>
                <w:sz w:val="24"/>
                <w:szCs w:val="24"/>
              </w:rPr>
            </w:pPr>
          </w:p>
        </w:tc>
      </w:tr>
      <w:tr w:rsidR="00EB19CA" w:rsidRPr="00C93770" w14:paraId="60E5F6D3" w14:textId="77777777" w:rsidTr="1756A420">
        <w:tc>
          <w:tcPr>
            <w:tcW w:w="4074" w:type="dxa"/>
          </w:tcPr>
          <w:p w14:paraId="6984CDC1" w14:textId="2A656CBF"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I - </w:t>
            </w:r>
            <w:proofErr w:type="gramStart"/>
            <w:r w:rsidRPr="00D462F0">
              <w:rPr>
                <w:rFonts w:asciiTheme="majorHAnsi" w:eastAsia="Calibri" w:hAnsiTheme="majorHAnsi" w:cstheme="majorHAnsi"/>
                <w:sz w:val="24"/>
                <w:szCs w:val="24"/>
              </w:rPr>
              <w:t>contexto</w:t>
            </w:r>
            <w:proofErr w:type="gramEnd"/>
            <w:r w:rsidRPr="00D462F0">
              <w:rPr>
                <w:rFonts w:asciiTheme="majorHAnsi" w:eastAsia="Calibri" w:hAnsiTheme="majorHAnsi" w:cstheme="majorHAns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w:t>
            </w:r>
          </w:p>
        </w:tc>
        <w:tc>
          <w:tcPr>
            <w:tcW w:w="4074" w:type="dxa"/>
          </w:tcPr>
          <w:p w14:paraId="26D650DD" w14:textId="179E3A1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06E8E968" w14:textId="093775E9" w:rsidR="00EB19CA" w:rsidRPr="00D462F0" w:rsidRDefault="00EB19CA" w:rsidP="00D462F0">
            <w:pPr>
              <w:jc w:val="both"/>
              <w:rPr>
                <w:rFonts w:asciiTheme="majorHAnsi" w:hAnsiTheme="majorHAnsi" w:cstheme="majorHAnsi"/>
                <w:sz w:val="24"/>
                <w:szCs w:val="24"/>
              </w:rPr>
            </w:pPr>
          </w:p>
        </w:tc>
        <w:tc>
          <w:tcPr>
            <w:tcW w:w="4075" w:type="dxa"/>
          </w:tcPr>
          <w:p w14:paraId="304EFA52" w14:textId="77777777" w:rsidR="00EB19CA" w:rsidRPr="00D462F0" w:rsidRDefault="00EB19CA" w:rsidP="00D462F0">
            <w:pPr>
              <w:jc w:val="both"/>
              <w:rPr>
                <w:rFonts w:asciiTheme="majorHAnsi" w:hAnsiTheme="majorHAnsi" w:cstheme="majorHAnsi"/>
                <w:bCs/>
                <w:sz w:val="24"/>
                <w:szCs w:val="24"/>
              </w:rPr>
            </w:pPr>
          </w:p>
        </w:tc>
      </w:tr>
      <w:tr w:rsidR="00EB19CA" w:rsidRPr="00C93770" w14:paraId="3BBE0F52" w14:textId="77777777" w:rsidTr="1756A420">
        <w:tc>
          <w:tcPr>
            <w:tcW w:w="4074" w:type="dxa"/>
          </w:tcPr>
          <w:p w14:paraId="713AF117" w14:textId="5CA0249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II - </w:t>
            </w:r>
            <w:proofErr w:type="gramStart"/>
            <w:r w:rsidRPr="00D462F0">
              <w:rPr>
                <w:rFonts w:asciiTheme="majorHAnsi" w:eastAsia="Calibri" w:hAnsiTheme="majorHAnsi" w:cstheme="majorHAnsi"/>
                <w:sz w:val="24"/>
                <w:szCs w:val="24"/>
              </w:rPr>
              <w:t>descrição</w:t>
            </w:r>
            <w:proofErr w:type="gramEnd"/>
            <w:r w:rsidRPr="00D462F0">
              <w:rPr>
                <w:rFonts w:asciiTheme="majorHAnsi" w:eastAsia="Calibri" w:hAnsiTheme="majorHAnsi" w:cstheme="majorHAnsi"/>
                <w:sz w:val="24"/>
                <w:szCs w:val="24"/>
              </w:rPr>
              <w:t xml:space="preserve"> das contingências passivas relevantes, cujas chances de perda sejam prováveis ou possíveis;</w:t>
            </w:r>
          </w:p>
        </w:tc>
        <w:tc>
          <w:tcPr>
            <w:tcW w:w="4074" w:type="dxa"/>
          </w:tcPr>
          <w:p w14:paraId="7D3FE388" w14:textId="7CE27B0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1708D311" w14:textId="2FB32F9B" w:rsidR="00EB19CA" w:rsidRPr="00D462F0" w:rsidRDefault="00EB19CA" w:rsidP="00D462F0">
            <w:pPr>
              <w:jc w:val="both"/>
              <w:rPr>
                <w:rFonts w:asciiTheme="majorHAnsi" w:hAnsiTheme="majorHAnsi" w:cstheme="majorHAnsi"/>
                <w:sz w:val="24"/>
                <w:szCs w:val="24"/>
              </w:rPr>
            </w:pPr>
          </w:p>
        </w:tc>
        <w:tc>
          <w:tcPr>
            <w:tcW w:w="4075" w:type="dxa"/>
          </w:tcPr>
          <w:p w14:paraId="4895F3FD" w14:textId="77777777" w:rsidR="00EB19CA" w:rsidRPr="00D462F0" w:rsidRDefault="00EB19CA" w:rsidP="00D462F0">
            <w:pPr>
              <w:jc w:val="both"/>
              <w:rPr>
                <w:rFonts w:asciiTheme="majorHAnsi" w:hAnsiTheme="majorHAnsi" w:cstheme="majorHAnsi"/>
                <w:bCs/>
                <w:sz w:val="24"/>
                <w:szCs w:val="24"/>
              </w:rPr>
            </w:pPr>
          </w:p>
        </w:tc>
      </w:tr>
      <w:tr w:rsidR="00EB19CA" w:rsidRPr="00C93770" w14:paraId="0B0EDA0D" w14:textId="77777777" w:rsidTr="1756A420">
        <w:tc>
          <w:tcPr>
            <w:tcW w:w="4074" w:type="dxa"/>
          </w:tcPr>
          <w:p w14:paraId="055E9189" w14:textId="0D09823C"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III - critérios, natureza e percentual utilizados para a constituição de provisões;</w:t>
            </w:r>
          </w:p>
        </w:tc>
        <w:tc>
          <w:tcPr>
            <w:tcW w:w="4074" w:type="dxa"/>
          </w:tcPr>
          <w:p w14:paraId="1801F8F5" w14:textId="6BD29A8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1EB88DB9" w14:textId="08361D7C" w:rsidR="00EB19CA" w:rsidRPr="00D462F0" w:rsidRDefault="00EB19CA" w:rsidP="00D462F0">
            <w:pPr>
              <w:jc w:val="both"/>
              <w:rPr>
                <w:rFonts w:asciiTheme="majorHAnsi" w:hAnsiTheme="majorHAnsi" w:cstheme="majorHAnsi"/>
                <w:sz w:val="24"/>
                <w:szCs w:val="24"/>
              </w:rPr>
            </w:pPr>
          </w:p>
        </w:tc>
        <w:tc>
          <w:tcPr>
            <w:tcW w:w="4075" w:type="dxa"/>
          </w:tcPr>
          <w:p w14:paraId="2921A6F5" w14:textId="77777777" w:rsidR="00EB19CA" w:rsidRPr="00D462F0" w:rsidRDefault="00EB19CA" w:rsidP="00D462F0">
            <w:pPr>
              <w:jc w:val="both"/>
              <w:rPr>
                <w:rFonts w:asciiTheme="majorHAnsi" w:hAnsiTheme="majorHAnsi" w:cstheme="majorHAnsi"/>
                <w:bCs/>
                <w:sz w:val="24"/>
                <w:szCs w:val="24"/>
              </w:rPr>
            </w:pPr>
          </w:p>
        </w:tc>
      </w:tr>
      <w:tr w:rsidR="00EB19CA" w:rsidRPr="00C93770" w14:paraId="0B9197BF" w14:textId="77777777" w:rsidTr="1756A420">
        <w:tc>
          <w:tcPr>
            <w:tcW w:w="4074" w:type="dxa"/>
          </w:tcPr>
          <w:p w14:paraId="15DF6A6B" w14:textId="0884D49D"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IV - </w:t>
            </w:r>
            <w:proofErr w:type="gramStart"/>
            <w:r w:rsidRPr="00D462F0">
              <w:rPr>
                <w:rFonts w:asciiTheme="majorHAnsi" w:eastAsia="Calibri" w:hAnsiTheme="majorHAnsi" w:cstheme="majorHAnsi"/>
                <w:sz w:val="24"/>
                <w:szCs w:val="24"/>
              </w:rPr>
              <w:t>critérios</w:t>
            </w:r>
            <w:proofErr w:type="gramEnd"/>
            <w:r w:rsidRPr="00D462F0">
              <w:rPr>
                <w:rFonts w:asciiTheme="majorHAnsi" w:eastAsia="Calibri" w:hAnsiTheme="majorHAnsi" w:cstheme="majorHAnsi"/>
                <w:sz w:val="24"/>
                <w:szCs w:val="24"/>
              </w:rPr>
              <w:t xml:space="preserve"> de avaliação e de amortização das aplicações de recursos existentes no ativo intangível;</w:t>
            </w:r>
          </w:p>
        </w:tc>
        <w:tc>
          <w:tcPr>
            <w:tcW w:w="4074" w:type="dxa"/>
          </w:tcPr>
          <w:p w14:paraId="37024EC2" w14:textId="7D42D6E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6E9431AE" w14:textId="1F15DF29" w:rsidR="00EB19CA" w:rsidRPr="00D462F0" w:rsidRDefault="00EB19CA" w:rsidP="00D462F0">
            <w:pPr>
              <w:jc w:val="both"/>
              <w:rPr>
                <w:rFonts w:asciiTheme="majorHAnsi" w:hAnsiTheme="majorHAnsi" w:cstheme="majorHAnsi"/>
                <w:sz w:val="24"/>
                <w:szCs w:val="24"/>
              </w:rPr>
            </w:pPr>
          </w:p>
        </w:tc>
        <w:tc>
          <w:tcPr>
            <w:tcW w:w="4075" w:type="dxa"/>
          </w:tcPr>
          <w:p w14:paraId="4642CBCF" w14:textId="77777777" w:rsidR="00EB19CA" w:rsidRPr="00D462F0" w:rsidRDefault="00EB19CA" w:rsidP="00D462F0">
            <w:pPr>
              <w:jc w:val="both"/>
              <w:rPr>
                <w:rFonts w:asciiTheme="majorHAnsi" w:hAnsiTheme="majorHAnsi" w:cstheme="majorHAnsi"/>
                <w:bCs/>
                <w:sz w:val="24"/>
                <w:szCs w:val="24"/>
              </w:rPr>
            </w:pPr>
          </w:p>
        </w:tc>
      </w:tr>
      <w:tr w:rsidR="00EB19CA" w:rsidRPr="00C93770" w14:paraId="24BF1204" w14:textId="77777777" w:rsidTr="1756A420">
        <w:tc>
          <w:tcPr>
            <w:tcW w:w="4074" w:type="dxa"/>
          </w:tcPr>
          <w:p w14:paraId="6B77422A" w14:textId="45E4AB8E"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V - </w:t>
            </w:r>
            <w:proofErr w:type="gramStart"/>
            <w:r w:rsidRPr="00D462F0">
              <w:rPr>
                <w:rFonts w:asciiTheme="majorHAnsi" w:eastAsia="Calibri" w:hAnsiTheme="majorHAnsi" w:cstheme="majorHAnsi"/>
                <w:sz w:val="24"/>
                <w:szCs w:val="24"/>
              </w:rPr>
              <w:t>avaliações e reavaliações</w:t>
            </w:r>
            <w:proofErr w:type="gramEnd"/>
            <w:r w:rsidRPr="00D462F0">
              <w:rPr>
                <w:rFonts w:asciiTheme="majorHAnsi" w:eastAsia="Calibri" w:hAnsiTheme="majorHAnsi" w:cstheme="majorHAnsi"/>
                <w:sz w:val="24"/>
                <w:szCs w:val="24"/>
              </w:rPr>
              <w:t xml:space="preserve"> dos bens imóveis do ativo “Imobilizado” e dos “Investimentos em imóveis” indicando, no mínimo, histórico, data da avaliação, identificação dos avaliadores responsáveis e respectivos valores, bem como os efeitos no exercício;</w:t>
            </w:r>
          </w:p>
        </w:tc>
        <w:tc>
          <w:tcPr>
            <w:tcW w:w="4074" w:type="dxa"/>
          </w:tcPr>
          <w:p w14:paraId="593245E9" w14:textId="066A281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78B0D0D6" w14:textId="251EFBD1" w:rsidR="00EB19CA" w:rsidRPr="00D462F0" w:rsidRDefault="00EB19CA" w:rsidP="00D462F0">
            <w:pPr>
              <w:jc w:val="both"/>
              <w:rPr>
                <w:rFonts w:asciiTheme="majorHAnsi" w:hAnsiTheme="majorHAnsi" w:cstheme="majorHAnsi"/>
                <w:sz w:val="24"/>
                <w:szCs w:val="24"/>
              </w:rPr>
            </w:pPr>
          </w:p>
        </w:tc>
        <w:tc>
          <w:tcPr>
            <w:tcW w:w="4075" w:type="dxa"/>
          </w:tcPr>
          <w:p w14:paraId="32488FBD" w14:textId="77777777" w:rsidR="00EB19CA" w:rsidRPr="00D462F0" w:rsidRDefault="00EB19CA" w:rsidP="00D462F0">
            <w:pPr>
              <w:jc w:val="both"/>
              <w:rPr>
                <w:rFonts w:asciiTheme="majorHAnsi" w:hAnsiTheme="majorHAnsi" w:cstheme="majorHAnsi"/>
                <w:bCs/>
                <w:sz w:val="24"/>
                <w:szCs w:val="24"/>
              </w:rPr>
            </w:pPr>
          </w:p>
        </w:tc>
      </w:tr>
      <w:tr w:rsidR="00EB19CA" w:rsidRPr="00C93770" w14:paraId="3E871359" w14:textId="77777777" w:rsidTr="1756A420">
        <w:tc>
          <w:tcPr>
            <w:tcW w:w="4074" w:type="dxa"/>
          </w:tcPr>
          <w:p w14:paraId="5122DA73" w14:textId="4CE801A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VI - </w:t>
            </w:r>
            <w:proofErr w:type="gramStart"/>
            <w:r w:rsidRPr="00D462F0">
              <w:rPr>
                <w:rFonts w:asciiTheme="majorHAnsi" w:eastAsia="Calibri" w:hAnsiTheme="majorHAnsi" w:cstheme="majorHAnsi"/>
                <w:sz w:val="24"/>
                <w:szCs w:val="24"/>
              </w:rPr>
              <w:t>ajustes</w:t>
            </w:r>
            <w:proofErr w:type="gramEnd"/>
            <w:r w:rsidRPr="00D462F0">
              <w:rPr>
                <w:rFonts w:asciiTheme="majorHAnsi" w:eastAsia="Calibri" w:hAnsiTheme="majorHAnsi" w:cstheme="majorHAnsi"/>
                <w:sz w:val="24"/>
                <w:szCs w:val="24"/>
              </w:rPr>
              <w:t xml:space="preserve"> de exercícios anteriores decorrentes de mudanças de práticas contábeis ou de retificações de erros de períodos anteriores, não atribuíveis a eventos subsequentes, com descrição da natureza e dos seus respectivos efeitos, conforme normas do Conselho Federal de Contabilidade (CFC);</w:t>
            </w:r>
          </w:p>
        </w:tc>
        <w:tc>
          <w:tcPr>
            <w:tcW w:w="4074" w:type="dxa"/>
          </w:tcPr>
          <w:p w14:paraId="4123540E" w14:textId="2E34A40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035C749B" w14:textId="30AF4530" w:rsidR="00EB19CA" w:rsidRPr="00D462F0" w:rsidRDefault="00EB19CA" w:rsidP="00D462F0">
            <w:pPr>
              <w:jc w:val="both"/>
              <w:rPr>
                <w:rFonts w:asciiTheme="majorHAnsi" w:hAnsiTheme="majorHAnsi" w:cstheme="majorHAnsi"/>
                <w:sz w:val="24"/>
                <w:szCs w:val="24"/>
              </w:rPr>
            </w:pPr>
          </w:p>
        </w:tc>
        <w:tc>
          <w:tcPr>
            <w:tcW w:w="4075" w:type="dxa"/>
          </w:tcPr>
          <w:p w14:paraId="0CF217C8" w14:textId="77777777" w:rsidR="00EB19CA" w:rsidRPr="00D462F0" w:rsidRDefault="00EB19CA" w:rsidP="00D462F0">
            <w:pPr>
              <w:jc w:val="both"/>
              <w:rPr>
                <w:rFonts w:asciiTheme="majorHAnsi" w:hAnsiTheme="majorHAnsi" w:cstheme="majorHAnsi"/>
                <w:bCs/>
                <w:sz w:val="24"/>
                <w:szCs w:val="24"/>
              </w:rPr>
            </w:pPr>
          </w:p>
        </w:tc>
      </w:tr>
      <w:tr w:rsidR="00EB19CA" w:rsidRPr="00C93770" w14:paraId="7DD3213A" w14:textId="77777777" w:rsidTr="1756A420">
        <w:tc>
          <w:tcPr>
            <w:tcW w:w="4074" w:type="dxa"/>
          </w:tcPr>
          <w:p w14:paraId="5EFDFFF1" w14:textId="007E7C1C"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lastRenderedPageBreak/>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tc>
        <w:tc>
          <w:tcPr>
            <w:tcW w:w="4074" w:type="dxa"/>
          </w:tcPr>
          <w:p w14:paraId="5150ACBF" w14:textId="6509E66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1F000051" w14:textId="4EFE081F" w:rsidR="00EB19CA" w:rsidRPr="00D462F0" w:rsidRDefault="00EB19CA" w:rsidP="00D462F0">
            <w:pPr>
              <w:jc w:val="both"/>
              <w:rPr>
                <w:rFonts w:asciiTheme="majorHAnsi" w:hAnsiTheme="majorHAnsi" w:cstheme="majorHAnsi"/>
                <w:sz w:val="24"/>
                <w:szCs w:val="24"/>
              </w:rPr>
            </w:pPr>
          </w:p>
        </w:tc>
        <w:tc>
          <w:tcPr>
            <w:tcW w:w="4075" w:type="dxa"/>
          </w:tcPr>
          <w:p w14:paraId="5E18F09A" w14:textId="77777777" w:rsidR="00EB19CA" w:rsidRPr="00D462F0" w:rsidRDefault="00EB19CA" w:rsidP="00D462F0">
            <w:pPr>
              <w:jc w:val="both"/>
              <w:rPr>
                <w:rFonts w:asciiTheme="majorHAnsi" w:hAnsiTheme="majorHAnsi" w:cstheme="majorHAnsi"/>
                <w:bCs/>
                <w:sz w:val="24"/>
                <w:szCs w:val="24"/>
              </w:rPr>
            </w:pPr>
          </w:p>
        </w:tc>
      </w:tr>
      <w:tr w:rsidR="00EB19CA" w:rsidRPr="00C93770" w14:paraId="2DB1E987" w14:textId="77777777" w:rsidTr="1756A420">
        <w:tc>
          <w:tcPr>
            <w:tcW w:w="4074" w:type="dxa"/>
          </w:tcPr>
          <w:p w14:paraId="27AEB3BF" w14:textId="3BFCB526"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VIII - composição das contribuições em atraso e contratadas, por patrocinador e por plano de benefícios, comparativos com o exercício anterior;</w:t>
            </w:r>
          </w:p>
        </w:tc>
        <w:tc>
          <w:tcPr>
            <w:tcW w:w="4074" w:type="dxa"/>
          </w:tcPr>
          <w:p w14:paraId="74325BA8" w14:textId="022F1DF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4AF341DA" w14:textId="028A6442" w:rsidR="00EB19CA" w:rsidRPr="00D462F0" w:rsidRDefault="00EB19CA" w:rsidP="00D462F0">
            <w:pPr>
              <w:jc w:val="both"/>
              <w:rPr>
                <w:rFonts w:asciiTheme="majorHAnsi" w:hAnsiTheme="majorHAnsi" w:cstheme="majorHAnsi"/>
                <w:sz w:val="24"/>
                <w:szCs w:val="24"/>
              </w:rPr>
            </w:pPr>
          </w:p>
        </w:tc>
        <w:tc>
          <w:tcPr>
            <w:tcW w:w="4075" w:type="dxa"/>
          </w:tcPr>
          <w:p w14:paraId="713231EB" w14:textId="77777777" w:rsidR="00EB19CA" w:rsidRPr="00D462F0" w:rsidRDefault="00EB19CA" w:rsidP="00D462F0">
            <w:pPr>
              <w:jc w:val="both"/>
              <w:rPr>
                <w:rFonts w:asciiTheme="majorHAnsi" w:hAnsiTheme="majorHAnsi" w:cstheme="majorHAnsi"/>
                <w:bCs/>
                <w:sz w:val="24"/>
                <w:szCs w:val="24"/>
              </w:rPr>
            </w:pPr>
          </w:p>
        </w:tc>
      </w:tr>
      <w:tr w:rsidR="00EB19CA" w:rsidRPr="00C93770" w14:paraId="4A805A7A" w14:textId="77777777" w:rsidTr="1756A420">
        <w:tc>
          <w:tcPr>
            <w:tcW w:w="4074" w:type="dxa"/>
          </w:tcPr>
          <w:p w14:paraId="6845AF70"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IX - </w:t>
            </w:r>
            <w:proofErr w:type="gramStart"/>
            <w:r w:rsidRPr="00D462F0">
              <w:rPr>
                <w:rFonts w:asciiTheme="majorHAnsi" w:eastAsia="Calibri" w:hAnsiTheme="majorHAnsi" w:cstheme="majorHAnsi"/>
                <w:sz w:val="24"/>
                <w:szCs w:val="24"/>
              </w:rPr>
              <w:t>composição</w:t>
            </w:r>
            <w:proofErr w:type="gramEnd"/>
            <w:r w:rsidRPr="00D462F0">
              <w:rPr>
                <w:rFonts w:asciiTheme="majorHAnsi" w:eastAsia="Calibri" w:hAnsiTheme="majorHAnsi" w:cstheme="majorHAnsi"/>
                <w:sz w:val="24"/>
                <w:szCs w:val="24"/>
              </w:rPr>
              <w:t xml:space="preserve"> da carteira de investimentos, em comparação com a do exercício anterior;</w:t>
            </w:r>
          </w:p>
          <w:p w14:paraId="1D589BEA" w14:textId="77777777" w:rsidR="00EB19CA" w:rsidRPr="00D462F0" w:rsidRDefault="00EB19CA" w:rsidP="00D462F0">
            <w:pPr>
              <w:jc w:val="both"/>
              <w:rPr>
                <w:rFonts w:asciiTheme="majorHAnsi" w:hAnsiTheme="majorHAnsi" w:cstheme="majorHAnsi"/>
                <w:sz w:val="24"/>
                <w:szCs w:val="24"/>
              </w:rPr>
            </w:pPr>
          </w:p>
        </w:tc>
        <w:tc>
          <w:tcPr>
            <w:tcW w:w="4074" w:type="dxa"/>
          </w:tcPr>
          <w:p w14:paraId="6B621880" w14:textId="66B382E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2D52E50E" w14:textId="1234E709" w:rsidR="00EB19CA" w:rsidRPr="00D462F0" w:rsidRDefault="00EB19CA" w:rsidP="00D462F0">
            <w:pPr>
              <w:jc w:val="both"/>
              <w:rPr>
                <w:rFonts w:asciiTheme="majorHAnsi" w:hAnsiTheme="majorHAnsi" w:cstheme="majorHAnsi"/>
                <w:sz w:val="24"/>
                <w:szCs w:val="24"/>
              </w:rPr>
            </w:pPr>
          </w:p>
        </w:tc>
        <w:tc>
          <w:tcPr>
            <w:tcW w:w="4075" w:type="dxa"/>
          </w:tcPr>
          <w:p w14:paraId="602A1BFB" w14:textId="77777777" w:rsidR="00EB19CA" w:rsidRPr="00D462F0" w:rsidRDefault="00EB19CA" w:rsidP="00D462F0">
            <w:pPr>
              <w:jc w:val="both"/>
              <w:rPr>
                <w:rFonts w:asciiTheme="majorHAnsi" w:hAnsiTheme="majorHAnsi" w:cstheme="majorHAnsi"/>
                <w:bCs/>
                <w:sz w:val="24"/>
                <w:szCs w:val="24"/>
              </w:rPr>
            </w:pPr>
          </w:p>
        </w:tc>
      </w:tr>
      <w:tr w:rsidR="00EB19CA" w:rsidRPr="00C93770" w14:paraId="5CAD69E3" w14:textId="77777777" w:rsidTr="1756A420">
        <w:tc>
          <w:tcPr>
            <w:tcW w:w="4074" w:type="dxa"/>
          </w:tcPr>
          <w:p w14:paraId="3E55BCA5"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X - </w:t>
            </w:r>
            <w:proofErr w:type="gramStart"/>
            <w:r w:rsidRPr="00D462F0">
              <w:rPr>
                <w:rFonts w:asciiTheme="majorHAnsi" w:eastAsia="Calibri" w:hAnsiTheme="majorHAnsi" w:cstheme="majorHAnsi"/>
                <w:sz w:val="24"/>
                <w:szCs w:val="24"/>
              </w:rPr>
              <w:t>critérios</w:t>
            </w:r>
            <w:proofErr w:type="gramEnd"/>
            <w:r w:rsidRPr="00D462F0">
              <w:rPr>
                <w:rFonts w:asciiTheme="majorHAnsi" w:eastAsia="Calibri" w:hAnsiTheme="majorHAnsi" w:cstheme="majorHAnsi"/>
                <w:sz w:val="24"/>
                <w:szCs w:val="24"/>
              </w:rPr>
              <w:t xml:space="preserve"> utilizados para o rateio das despesas administrativas entre os planos de benefícios, se for o caso;</w:t>
            </w:r>
          </w:p>
          <w:p w14:paraId="391BE28C" w14:textId="77777777" w:rsidR="00EB19CA" w:rsidRPr="00D462F0" w:rsidRDefault="00EB19CA" w:rsidP="00D462F0">
            <w:pPr>
              <w:jc w:val="both"/>
              <w:rPr>
                <w:rFonts w:asciiTheme="majorHAnsi" w:hAnsiTheme="majorHAnsi" w:cstheme="majorHAnsi"/>
                <w:sz w:val="24"/>
                <w:szCs w:val="24"/>
              </w:rPr>
            </w:pPr>
          </w:p>
        </w:tc>
        <w:tc>
          <w:tcPr>
            <w:tcW w:w="4074" w:type="dxa"/>
          </w:tcPr>
          <w:p w14:paraId="7DCEE1BB" w14:textId="61ACA95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04B6D114" w14:textId="128FFA73" w:rsidR="00EB19CA" w:rsidRPr="00D462F0" w:rsidRDefault="00EB19CA" w:rsidP="00D462F0">
            <w:pPr>
              <w:jc w:val="both"/>
              <w:rPr>
                <w:rFonts w:asciiTheme="majorHAnsi" w:hAnsiTheme="majorHAnsi" w:cstheme="majorHAnsi"/>
                <w:sz w:val="24"/>
                <w:szCs w:val="24"/>
              </w:rPr>
            </w:pPr>
          </w:p>
        </w:tc>
        <w:tc>
          <w:tcPr>
            <w:tcW w:w="4075" w:type="dxa"/>
          </w:tcPr>
          <w:p w14:paraId="747F8F67" w14:textId="77777777" w:rsidR="00EB19CA" w:rsidRPr="00D462F0" w:rsidRDefault="00EB19CA" w:rsidP="00D462F0">
            <w:pPr>
              <w:jc w:val="both"/>
              <w:rPr>
                <w:rFonts w:asciiTheme="majorHAnsi" w:hAnsiTheme="majorHAnsi" w:cstheme="majorHAnsi"/>
                <w:bCs/>
                <w:sz w:val="24"/>
                <w:szCs w:val="24"/>
              </w:rPr>
            </w:pPr>
          </w:p>
        </w:tc>
      </w:tr>
      <w:tr w:rsidR="00EB19CA" w:rsidRPr="00C93770" w14:paraId="541E6021" w14:textId="77777777" w:rsidTr="1756A420">
        <w:tc>
          <w:tcPr>
            <w:tcW w:w="4074" w:type="dxa"/>
          </w:tcPr>
          <w:p w14:paraId="03C412E5" w14:textId="0BA61A01"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XI - objetivos e critérios utilizados para constituição e reversão de fundos;</w:t>
            </w:r>
          </w:p>
        </w:tc>
        <w:tc>
          <w:tcPr>
            <w:tcW w:w="4074" w:type="dxa"/>
          </w:tcPr>
          <w:p w14:paraId="14157E1C" w14:textId="3A0977A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1793C460" w14:textId="3887BE68" w:rsidR="00EB19CA" w:rsidRPr="00D462F0" w:rsidRDefault="00EB19CA" w:rsidP="00D462F0">
            <w:pPr>
              <w:jc w:val="both"/>
              <w:rPr>
                <w:rFonts w:asciiTheme="majorHAnsi" w:hAnsiTheme="majorHAnsi" w:cstheme="majorHAnsi"/>
                <w:sz w:val="24"/>
                <w:szCs w:val="24"/>
              </w:rPr>
            </w:pPr>
          </w:p>
        </w:tc>
        <w:tc>
          <w:tcPr>
            <w:tcW w:w="4075" w:type="dxa"/>
          </w:tcPr>
          <w:p w14:paraId="1AE1664D" w14:textId="77777777" w:rsidR="00EB19CA" w:rsidRPr="00D462F0" w:rsidRDefault="00EB19CA" w:rsidP="00D462F0">
            <w:pPr>
              <w:jc w:val="both"/>
              <w:rPr>
                <w:rFonts w:asciiTheme="majorHAnsi" w:hAnsiTheme="majorHAnsi" w:cstheme="majorHAnsi"/>
                <w:bCs/>
                <w:sz w:val="24"/>
                <w:szCs w:val="24"/>
              </w:rPr>
            </w:pPr>
          </w:p>
        </w:tc>
      </w:tr>
      <w:tr w:rsidR="00EB19CA" w:rsidRPr="00C93770" w14:paraId="063A64A7" w14:textId="77777777" w:rsidTr="1756A420">
        <w:tc>
          <w:tcPr>
            <w:tcW w:w="4074" w:type="dxa"/>
          </w:tcPr>
          <w:p w14:paraId="06A126A4"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XII - detalhamento dos saldos das contas que contenham a denominação "Outros", quando ultrapassarem, no total, um décimo do valor do respectivo grupo da referida conta;</w:t>
            </w:r>
          </w:p>
          <w:p w14:paraId="2C5AA8C2" w14:textId="77777777" w:rsidR="00EB19CA" w:rsidRPr="00D462F0" w:rsidRDefault="00EB19CA" w:rsidP="00D462F0">
            <w:pPr>
              <w:jc w:val="both"/>
              <w:rPr>
                <w:rFonts w:asciiTheme="majorHAnsi" w:hAnsiTheme="majorHAnsi" w:cstheme="majorHAnsi"/>
                <w:sz w:val="24"/>
                <w:szCs w:val="24"/>
              </w:rPr>
            </w:pPr>
          </w:p>
        </w:tc>
        <w:tc>
          <w:tcPr>
            <w:tcW w:w="4074" w:type="dxa"/>
          </w:tcPr>
          <w:p w14:paraId="2D08DAFE" w14:textId="126BBD4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47C604CF" w14:textId="4AA07133" w:rsidR="00EB19CA" w:rsidRPr="00D462F0" w:rsidRDefault="00EB19CA" w:rsidP="00D462F0">
            <w:pPr>
              <w:jc w:val="both"/>
              <w:rPr>
                <w:rFonts w:asciiTheme="majorHAnsi" w:hAnsiTheme="majorHAnsi" w:cstheme="majorHAnsi"/>
                <w:sz w:val="24"/>
                <w:szCs w:val="24"/>
              </w:rPr>
            </w:pPr>
          </w:p>
        </w:tc>
        <w:tc>
          <w:tcPr>
            <w:tcW w:w="4075" w:type="dxa"/>
          </w:tcPr>
          <w:p w14:paraId="12B35E6E" w14:textId="77777777" w:rsidR="00EB19CA" w:rsidRPr="00D462F0" w:rsidRDefault="00EB19CA" w:rsidP="00D462F0">
            <w:pPr>
              <w:jc w:val="both"/>
              <w:rPr>
                <w:rFonts w:asciiTheme="majorHAnsi" w:hAnsiTheme="majorHAnsi" w:cstheme="majorHAnsi"/>
                <w:bCs/>
                <w:sz w:val="24"/>
                <w:szCs w:val="24"/>
              </w:rPr>
            </w:pPr>
          </w:p>
        </w:tc>
      </w:tr>
      <w:tr w:rsidR="00EB19CA" w:rsidRPr="00C93770" w14:paraId="63525BB3" w14:textId="77777777" w:rsidTr="1756A420">
        <w:tc>
          <w:tcPr>
            <w:tcW w:w="4074" w:type="dxa"/>
          </w:tcPr>
          <w:p w14:paraId="059C2413"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XIII - detalhamento dos ajustes e eliminações decorrentes do processo de consolidação das Demonstrações Contábeis;</w:t>
            </w:r>
          </w:p>
          <w:p w14:paraId="0934011C" w14:textId="77777777" w:rsidR="00EB19CA" w:rsidRPr="00D462F0" w:rsidRDefault="00EB19CA" w:rsidP="00D462F0">
            <w:pPr>
              <w:jc w:val="both"/>
              <w:rPr>
                <w:rFonts w:asciiTheme="majorHAnsi" w:hAnsiTheme="majorHAnsi" w:cstheme="majorHAnsi"/>
                <w:sz w:val="24"/>
                <w:szCs w:val="24"/>
              </w:rPr>
            </w:pPr>
          </w:p>
        </w:tc>
        <w:tc>
          <w:tcPr>
            <w:tcW w:w="4074" w:type="dxa"/>
          </w:tcPr>
          <w:p w14:paraId="2B1B499E" w14:textId="76C5BF3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50E3FFF3" w14:textId="08238E11" w:rsidR="00EB19CA" w:rsidRPr="00D462F0" w:rsidRDefault="00EB19CA" w:rsidP="00D462F0">
            <w:pPr>
              <w:jc w:val="both"/>
              <w:rPr>
                <w:rFonts w:asciiTheme="majorHAnsi" w:hAnsiTheme="majorHAnsi" w:cstheme="majorHAnsi"/>
                <w:sz w:val="24"/>
                <w:szCs w:val="24"/>
              </w:rPr>
            </w:pPr>
          </w:p>
        </w:tc>
        <w:tc>
          <w:tcPr>
            <w:tcW w:w="4075" w:type="dxa"/>
          </w:tcPr>
          <w:p w14:paraId="55DEE70A" w14:textId="77777777" w:rsidR="00EB19CA" w:rsidRPr="00D462F0" w:rsidRDefault="00EB19CA" w:rsidP="00D462F0">
            <w:pPr>
              <w:jc w:val="both"/>
              <w:rPr>
                <w:rFonts w:asciiTheme="majorHAnsi" w:hAnsiTheme="majorHAnsi" w:cstheme="majorHAnsi"/>
                <w:bCs/>
                <w:sz w:val="24"/>
                <w:szCs w:val="24"/>
              </w:rPr>
            </w:pPr>
          </w:p>
        </w:tc>
      </w:tr>
      <w:tr w:rsidR="00EB19CA" w:rsidRPr="00C93770" w14:paraId="29E13A06" w14:textId="77777777" w:rsidTr="1756A420">
        <w:tc>
          <w:tcPr>
            <w:tcW w:w="4074" w:type="dxa"/>
          </w:tcPr>
          <w:p w14:paraId="49C96E7F"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XIV - descrição de operações de empréstimo de títulos ou valores mobiliários em que o ativo recebido for diverso daquele originalmente entregue, classificado na categoria </w:t>
            </w:r>
            <w:r w:rsidRPr="00D462F0">
              <w:rPr>
                <w:rFonts w:asciiTheme="majorHAnsi" w:eastAsia="Calibri" w:hAnsiTheme="majorHAnsi" w:cstheme="majorHAnsi"/>
                <w:sz w:val="24"/>
                <w:szCs w:val="24"/>
              </w:rPr>
              <w:lastRenderedPageBreak/>
              <w:t>"títulos mantidos até o vencimento", com informações sobre ativos emprestados e recebidos, datas da operação original e da devolução, quantidades envolvidas e efeito no resultado do período;</w:t>
            </w:r>
          </w:p>
          <w:p w14:paraId="6994BF89" w14:textId="77777777" w:rsidR="00EB19CA" w:rsidRPr="00D462F0" w:rsidRDefault="00EB19CA" w:rsidP="00D462F0">
            <w:pPr>
              <w:jc w:val="both"/>
              <w:rPr>
                <w:rFonts w:asciiTheme="majorHAnsi" w:hAnsiTheme="majorHAnsi" w:cstheme="majorHAnsi"/>
                <w:sz w:val="24"/>
                <w:szCs w:val="24"/>
              </w:rPr>
            </w:pPr>
          </w:p>
        </w:tc>
        <w:tc>
          <w:tcPr>
            <w:tcW w:w="4074" w:type="dxa"/>
          </w:tcPr>
          <w:p w14:paraId="0A84DEFD" w14:textId="49EECA7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lastRenderedPageBreak/>
              <w:t>Revogar</w:t>
            </w:r>
          </w:p>
        </w:tc>
        <w:tc>
          <w:tcPr>
            <w:tcW w:w="4074" w:type="dxa"/>
          </w:tcPr>
          <w:p w14:paraId="266B38D3" w14:textId="570DE22A" w:rsidR="00EB19CA" w:rsidRPr="00D462F0" w:rsidRDefault="00EB19CA" w:rsidP="00D462F0">
            <w:pPr>
              <w:jc w:val="both"/>
              <w:rPr>
                <w:rFonts w:asciiTheme="majorHAnsi" w:hAnsiTheme="majorHAnsi" w:cstheme="majorHAnsi"/>
                <w:sz w:val="24"/>
                <w:szCs w:val="24"/>
              </w:rPr>
            </w:pPr>
          </w:p>
        </w:tc>
        <w:tc>
          <w:tcPr>
            <w:tcW w:w="4075" w:type="dxa"/>
          </w:tcPr>
          <w:p w14:paraId="7A6FB0DE" w14:textId="77777777" w:rsidR="00EB19CA" w:rsidRPr="00D462F0" w:rsidRDefault="00EB19CA" w:rsidP="00D462F0">
            <w:pPr>
              <w:jc w:val="both"/>
              <w:rPr>
                <w:rFonts w:asciiTheme="majorHAnsi" w:hAnsiTheme="majorHAnsi" w:cstheme="majorHAnsi"/>
                <w:bCs/>
                <w:sz w:val="24"/>
                <w:szCs w:val="24"/>
              </w:rPr>
            </w:pPr>
          </w:p>
        </w:tc>
      </w:tr>
      <w:tr w:rsidR="00EB19CA" w:rsidRPr="00C93770" w14:paraId="4F66035E" w14:textId="77777777" w:rsidTr="1756A420">
        <w:tc>
          <w:tcPr>
            <w:tcW w:w="4074" w:type="dxa"/>
          </w:tcPr>
          <w:p w14:paraId="66AD38F5"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XV - </w:t>
            </w:r>
            <w:bookmarkStart w:id="0" w:name="_Int_1D69QThR"/>
            <w:proofErr w:type="gramStart"/>
            <w:r w:rsidRPr="00D462F0">
              <w:rPr>
                <w:rFonts w:asciiTheme="majorHAnsi" w:eastAsia="Calibri" w:hAnsiTheme="majorHAnsi" w:cstheme="majorHAnsi"/>
                <w:sz w:val="24"/>
                <w:szCs w:val="24"/>
              </w:rPr>
              <w:t>eventos</w:t>
            </w:r>
            <w:bookmarkEnd w:id="0"/>
            <w:proofErr w:type="gramEnd"/>
            <w:r w:rsidRPr="00D462F0">
              <w:rPr>
                <w:rFonts w:asciiTheme="majorHAnsi" w:eastAsia="Calibri" w:hAnsiTheme="majorHAnsi" w:cstheme="majorHAnsi"/>
                <w:sz w:val="24"/>
                <w:szCs w:val="24"/>
              </w:rPr>
              <w:t xml:space="preserve"> subsequentes à data de encerramento do exercício que tenham ou possam vir a ter efeitos relevantes sobre a situação financeira ou econômica dos planos de benefícios e do Plano de Gestão Administrativa;</w:t>
            </w:r>
          </w:p>
          <w:p w14:paraId="407BB7F2" w14:textId="77777777" w:rsidR="00EB19CA" w:rsidRPr="00D462F0" w:rsidRDefault="00EB19CA" w:rsidP="00D462F0">
            <w:pPr>
              <w:jc w:val="both"/>
              <w:rPr>
                <w:rFonts w:asciiTheme="majorHAnsi" w:hAnsiTheme="majorHAnsi" w:cstheme="majorHAnsi"/>
                <w:sz w:val="24"/>
                <w:szCs w:val="24"/>
              </w:rPr>
            </w:pPr>
          </w:p>
        </w:tc>
        <w:tc>
          <w:tcPr>
            <w:tcW w:w="4074" w:type="dxa"/>
          </w:tcPr>
          <w:p w14:paraId="654C887E" w14:textId="27458E6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441D31D9" w14:textId="4AAA43BE" w:rsidR="00EB19CA" w:rsidRPr="00D462F0" w:rsidRDefault="00EB19CA" w:rsidP="00D462F0">
            <w:pPr>
              <w:jc w:val="both"/>
              <w:rPr>
                <w:rFonts w:asciiTheme="majorHAnsi" w:hAnsiTheme="majorHAnsi" w:cstheme="majorHAnsi"/>
                <w:sz w:val="24"/>
                <w:szCs w:val="24"/>
              </w:rPr>
            </w:pPr>
          </w:p>
        </w:tc>
        <w:tc>
          <w:tcPr>
            <w:tcW w:w="4075" w:type="dxa"/>
          </w:tcPr>
          <w:p w14:paraId="2F0E3723" w14:textId="77777777" w:rsidR="00EB19CA" w:rsidRPr="00D462F0" w:rsidRDefault="00EB19CA" w:rsidP="00D462F0">
            <w:pPr>
              <w:jc w:val="both"/>
              <w:rPr>
                <w:rFonts w:asciiTheme="majorHAnsi" w:hAnsiTheme="majorHAnsi" w:cstheme="majorHAnsi"/>
                <w:bCs/>
                <w:sz w:val="24"/>
                <w:szCs w:val="24"/>
              </w:rPr>
            </w:pPr>
          </w:p>
        </w:tc>
      </w:tr>
      <w:tr w:rsidR="00EB19CA" w:rsidRPr="00C93770" w14:paraId="1773E3AD" w14:textId="77777777" w:rsidTr="1756A420">
        <w:tc>
          <w:tcPr>
            <w:tcW w:w="4074" w:type="dxa"/>
          </w:tcPr>
          <w:p w14:paraId="249EC1D3" w14:textId="77777777" w:rsidR="00EB19CA" w:rsidRPr="00D462F0" w:rsidRDefault="00EB19CA" w:rsidP="00D462F0">
            <w:pPr>
              <w:jc w:val="both"/>
              <w:rPr>
                <w:rFonts w:asciiTheme="majorHAnsi" w:eastAsia="Calibri" w:hAnsiTheme="majorHAnsi" w:cstheme="majorHAnsi"/>
                <w:sz w:val="24"/>
                <w:szCs w:val="24"/>
              </w:rPr>
            </w:pPr>
            <w:r w:rsidRPr="00D462F0">
              <w:rPr>
                <w:rFonts w:asciiTheme="majorHAnsi" w:eastAsia="Calibri" w:hAnsiTheme="majorHAnsi" w:cstheme="majorHAns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p w14:paraId="179C1C32" w14:textId="77777777" w:rsidR="00EB19CA" w:rsidRPr="00D462F0" w:rsidRDefault="00EB19CA" w:rsidP="00D462F0">
            <w:pPr>
              <w:jc w:val="both"/>
              <w:rPr>
                <w:rFonts w:asciiTheme="majorHAnsi" w:hAnsiTheme="majorHAnsi" w:cstheme="majorHAnsi"/>
                <w:sz w:val="24"/>
                <w:szCs w:val="24"/>
              </w:rPr>
            </w:pPr>
          </w:p>
        </w:tc>
        <w:tc>
          <w:tcPr>
            <w:tcW w:w="4074" w:type="dxa"/>
          </w:tcPr>
          <w:p w14:paraId="5AF264FB" w14:textId="711A86A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2018E194" w14:textId="00F5ABBD" w:rsidR="00EB19CA" w:rsidRPr="00D462F0" w:rsidRDefault="00EB19CA" w:rsidP="00D462F0">
            <w:pPr>
              <w:jc w:val="both"/>
              <w:rPr>
                <w:rFonts w:asciiTheme="majorHAnsi" w:hAnsiTheme="majorHAnsi" w:cstheme="majorHAnsi"/>
                <w:sz w:val="24"/>
                <w:szCs w:val="24"/>
              </w:rPr>
            </w:pPr>
          </w:p>
        </w:tc>
        <w:tc>
          <w:tcPr>
            <w:tcW w:w="4075" w:type="dxa"/>
          </w:tcPr>
          <w:p w14:paraId="7592AFEC" w14:textId="77777777" w:rsidR="00EB19CA" w:rsidRPr="00D462F0" w:rsidRDefault="00EB19CA" w:rsidP="00D462F0">
            <w:pPr>
              <w:jc w:val="both"/>
              <w:rPr>
                <w:rFonts w:asciiTheme="majorHAnsi" w:hAnsiTheme="majorHAnsi" w:cstheme="majorHAnsi"/>
                <w:bCs/>
                <w:sz w:val="24"/>
                <w:szCs w:val="24"/>
              </w:rPr>
            </w:pPr>
          </w:p>
        </w:tc>
      </w:tr>
      <w:tr w:rsidR="00EB19CA" w:rsidRPr="00C93770" w14:paraId="6A4FAF7D" w14:textId="77777777" w:rsidTr="1756A420">
        <w:tc>
          <w:tcPr>
            <w:tcW w:w="4074" w:type="dxa"/>
          </w:tcPr>
          <w:p w14:paraId="53F22FE6" w14:textId="077C1CFC"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XVII - premissas utilizadas para avaliação de imóveis constantes do laudo de avaliação, bem como as justificativas para a escolha do preço do ativo nos casos em que mais de uma opção seja apresentada pelo avaliador;</w:t>
            </w:r>
          </w:p>
        </w:tc>
        <w:tc>
          <w:tcPr>
            <w:tcW w:w="4074" w:type="dxa"/>
          </w:tcPr>
          <w:p w14:paraId="0D247269" w14:textId="2753F27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4A45D02E" w14:textId="6BCA31B9" w:rsidR="00EB19CA" w:rsidRPr="00D462F0" w:rsidRDefault="00EB19CA" w:rsidP="00D462F0">
            <w:pPr>
              <w:jc w:val="both"/>
              <w:rPr>
                <w:rFonts w:asciiTheme="majorHAnsi" w:hAnsiTheme="majorHAnsi" w:cstheme="majorHAnsi"/>
                <w:sz w:val="24"/>
                <w:szCs w:val="24"/>
              </w:rPr>
            </w:pPr>
          </w:p>
        </w:tc>
        <w:tc>
          <w:tcPr>
            <w:tcW w:w="4075" w:type="dxa"/>
          </w:tcPr>
          <w:p w14:paraId="73504ABA" w14:textId="77777777" w:rsidR="00EB19CA" w:rsidRPr="00D462F0" w:rsidRDefault="00EB19CA" w:rsidP="00D462F0">
            <w:pPr>
              <w:jc w:val="both"/>
              <w:rPr>
                <w:rFonts w:asciiTheme="majorHAnsi" w:hAnsiTheme="majorHAnsi" w:cstheme="majorHAnsi"/>
                <w:bCs/>
                <w:sz w:val="24"/>
                <w:szCs w:val="24"/>
              </w:rPr>
            </w:pPr>
          </w:p>
        </w:tc>
      </w:tr>
      <w:tr w:rsidR="00EB19CA" w:rsidRPr="00C93770" w14:paraId="5B3CD382" w14:textId="77777777" w:rsidTr="1756A420">
        <w:tc>
          <w:tcPr>
            <w:tcW w:w="4074" w:type="dxa"/>
          </w:tcPr>
          <w:p w14:paraId="5F9DE9AD"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XVIII - controle e acompanhamento contábil e financeiro dos títulos objeto do ajuste de precificação contendo, no mínimo, a natureza, a quantidade e o montante de títulos por faixa de vencimento, o valor investido e o valor </w:t>
            </w:r>
            <w:r w:rsidRPr="00D462F0">
              <w:rPr>
                <w:rFonts w:asciiTheme="majorHAnsi" w:eastAsia="Calibri" w:hAnsiTheme="majorHAnsi" w:cstheme="majorHAnsi"/>
                <w:sz w:val="24"/>
                <w:szCs w:val="24"/>
              </w:rPr>
              <w:lastRenderedPageBreak/>
              <w:t>do ajuste posicionado na data de encerramento do exercício ou em decorrência de fato relevante;</w:t>
            </w:r>
          </w:p>
          <w:p w14:paraId="0E0C3A3C" w14:textId="77777777" w:rsidR="00EB19CA" w:rsidRPr="00D462F0" w:rsidRDefault="00EB19CA" w:rsidP="00D462F0">
            <w:pPr>
              <w:jc w:val="both"/>
              <w:rPr>
                <w:rFonts w:asciiTheme="majorHAnsi" w:hAnsiTheme="majorHAnsi" w:cstheme="majorHAnsi"/>
                <w:sz w:val="24"/>
                <w:szCs w:val="24"/>
              </w:rPr>
            </w:pPr>
          </w:p>
        </w:tc>
        <w:tc>
          <w:tcPr>
            <w:tcW w:w="4074" w:type="dxa"/>
          </w:tcPr>
          <w:p w14:paraId="0622D1E3" w14:textId="5F9EC50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lastRenderedPageBreak/>
              <w:t>Revogar</w:t>
            </w:r>
          </w:p>
        </w:tc>
        <w:tc>
          <w:tcPr>
            <w:tcW w:w="4074" w:type="dxa"/>
          </w:tcPr>
          <w:p w14:paraId="00DAACE3" w14:textId="46E26BA9" w:rsidR="00EB19CA" w:rsidRPr="00D462F0" w:rsidRDefault="00EB19CA" w:rsidP="00D462F0">
            <w:pPr>
              <w:jc w:val="both"/>
              <w:rPr>
                <w:rFonts w:asciiTheme="majorHAnsi" w:hAnsiTheme="majorHAnsi" w:cstheme="majorHAnsi"/>
                <w:sz w:val="24"/>
                <w:szCs w:val="24"/>
              </w:rPr>
            </w:pPr>
          </w:p>
        </w:tc>
        <w:tc>
          <w:tcPr>
            <w:tcW w:w="4075" w:type="dxa"/>
          </w:tcPr>
          <w:p w14:paraId="60273583" w14:textId="77777777" w:rsidR="00EB19CA" w:rsidRPr="00D462F0" w:rsidRDefault="00EB19CA" w:rsidP="00D462F0">
            <w:pPr>
              <w:jc w:val="both"/>
              <w:rPr>
                <w:rFonts w:asciiTheme="majorHAnsi" w:hAnsiTheme="majorHAnsi" w:cstheme="majorHAnsi"/>
                <w:bCs/>
                <w:sz w:val="24"/>
                <w:szCs w:val="24"/>
              </w:rPr>
            </w:pPr>
          </w:p>
        </w:tc>
      </w:tr>
      <w:tr w:rsidR="00EB19CA" w:rsidRPr="00C93770" w14:paraId="00E4657C" w14:textId="77777777" w:rsidTr="1756A420">
        <w:tc>
          <w:tcPr>
            <w:tcW w:w="4074" w:type="dxa"/>
          </w:tcPr>
          <w:p w14:paraId="3C9BA2D4"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p w14:paraId="478AFD44" w14:textId="77777777" w:rsidR="00EB19CA" w:rsidRPr="00D462F0" w:rsidRDefault="00EB19CA" w:rsidP="00D462F0">
            <w:pPr>
              <w:jc w:val="both"/>
              <w:rPr>
                <w:rFonts w:asciiTheme="majorHAnsi" w:hAnsiTheme="majorHAnsi" w:cstheme="majorHAnsi"/>
                <w:sz w:val="24"/>
                <w:szCs w:val="24"/>
              </w:rPr>
            </w:pPr>
          </w:p>
        </w:tc>
        <w:tc>
          <w:tcPr>
            <w:tcW w:w="4074" w:type="dxa"/>
          </w:tcPr>
          <w:p w14:paraId="3A22E7C7" w14:textId="2F0A9DC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6822A178" w14:textId="77491586" w:rsidR="00EB19CA" w:rsidRPr="00D462F0" w:rsidRDefault="00EB19CA" w:rsidP="00D462F0">
            <w:pPr>
              <w:jc w:val="both"/>
              <w:rPr>
                <w:rFonts w:asciiTheme="majorHAnsi" w:hAnsiTheme="majorHAnsi" w:cstheme="majorHAnsi"/>
                <w:sz w:val="24"/>
                <w:szCs w:val="24"/>
              </w:rPr>
            </w:pPr>
          </w:p>
        </w:tc>
        <w:tc>
          <w:tcPr>
            <w:tcW w:w="4075" w:type="dxa"/>
          </w:tcPr>
          <w:p w14:paraId="1399732E" w14:textId="77777777" w:rsidR="00EB19CA" w:rsidRPr="00D462F0" w:rsidRDefault="00EB19CA" w:rsidP="00D462F0">
            <w:pPr>
              <w:jc w:val="both"/>
              <w:rPr>
                <w:rFonts w:asciiTheme="majorHAnsi" w:hAnsiTheme="majorHAnsi" w:cstheme="majorHAnsi"/>
                <w:bCs/>
                <w:sz w:val="24"/>
                <w:szCs w:val="24"/>
              </w:rPr>
            </w:pPr>
          </w:p>
        </w:tc>
      </w:tr>
      <w:tr w:rsidR="00EB19CA" w:rsidRPr="00C93770" w14:paraId="72F291DA" w14:textId="77777777" w:rsidTr="1756A420">
        <w:tc>
          <w:tcPr>
            <w:tcW w:w="4074" w:type="dxa"/>
          </w:tcPr>
          <w:p w14:paraId="7469BDD0"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XX - </w:t>
            </w:r>
            <w:proofErr w:type="gramStart"/>
            <w:r w:rsidRPr="00D462F0">
              <w:rPr>
                <w:rFonts w:asciiTheme="majorHAnsi" w:eastAsia="Calibri" w:hAnsiTheme="majorHAnsi" w:cstheme="majorHAnsi"/>
                <w:sz w:val="24"/>
                <w:szCs w:val="24"/>
              </w:rPr>
              <w:t>critérios</w:t>
            </w:r>
            <w:proofErr w:type="gramEnd"/>
            <w:r w:rsidRPr="00D462F0">
              <w:rPr>
                <w:rFonts w:asciiTheme="majorHAnsi" w:eastAsia="Calibri" w:hAnsiTheme="majorHAnsi" w:cstheme="majorHAnsi"/>
                <w:sz w:val="24"/>
                <w:szCs w:val="24"/>
              </w:rPr>
              <w:t xml:space="preserve"> e prazos utilizados para a destinação de superávit técnico, caso aplicável;</w:t>
            </w:r>
          </w:p>
          <w:p w14:paraId="5515FB3F" w14:textId="77777777" w:rsidR="00EB19CA" w:rsidRPr="00D462F0" w:rsidRDefault="00EB19CA" w:rsidP="00D462F0">
            <w:pPr>
              <w:jc w:val="both"/>
              <w:rPr>
                <w:rFonts w:asciiTheme="majorHAnsi" w:hAnsiTheme="majorHAnsi" w:cstheme="majorHAnsi"/>
                <w:sz w:val="24"/>
                <w:szCs w:val="24"/>
              </w:rPr>
            </w:pPr>
          </w:p>
        </w:tc>
        <w:tc>
          <w:tcPr>
            <w:tcW w:w="4074" w:type="dxa"/>
          </w:tcPr>
          <w:p w14:paraId="47547861" w14:textId="1F935CC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0E9AF40A" w14:textId="49CB9B6F" w:rsidR="00EB19CA" w:rsidRPr="00D462F0" w:rsidRDefault="00EB19CA" w:rsidP="00D462F0">
            <w:pPr>
              <w:jc w:val="both"/>
              <w:rPr>
                <w:rFonts w:asciiTheme="majorHAnsi" w:hAnsiTheme="majorHAnsi" w:cstheme="majorHAnsi"/>
                <w:sz w:val="24"/>
                <w:szCs w:val="24"/>
              </w:rPr>
            </w:pPr>
          </w:p>
        </w:tc>
        <w:tc>
          <w:tcPr>
            <w:tcW w:w="4075" w:type="dxa"/>
          </w:tcPr>
          <w:p w14:paraId="6990CC18" w14:textId="77777777" w:rsidR="00EB19CA" w:rsidRPr="00D462F0" w:rsidRDefault="00EB19CA" w:rsidP="00D462F0">
            <w:pPr>
              <w:jc w:val="both"/>
              <w:rPr>
                <w:rFonts w:asciiTheme="majorHAnsi" w:hAnsiTheme="majorHAnsi" w:cstheme="majorHAnsi"/>
                <w:bCs/>
                <w:sz w:val="24"/>
                <w:szCs w:val="24"/>
              </w:rPr>
            </w:pPr>
          </w:p>
        </w:tc>
      </w:tr>
      <w:tr w:rsidR="00EB19CA" w:rsidRPr="00C93770" w14:paraId="14F913AF" w14:textId="77777777" w:rsidTr="1756A420">
        <w:tc>
          <w:tcPr>
            <w:tcW w:w="4074" w:type="dxa"/>
          </w:tcPr>
          <w:p w14:paraId="03EF6BE7"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XXI - títulos públicos federais classificados na categoria "títulos mantidos até o vencimento", negociados no período, especificando a data da negociação, quantidade negociada, valor total negociado, o efeito no resultado e a justificativa para negociação;</w:t>
            </w:r>
          </w:p>
          <w:p w14:paraId="5ED24FEE" w14:textId="77777777" w:rsidR="00EB19CA" w:rsidRPr="00D462F0" w:rsidRDefault="00EB19CA" w:rsidP="00D462F0">
            <w:pPr>
              <w:jc w:val="both"/>
              <w:rPr>
                <w:rFonts w:asciiTheme="majorHAnsi" w:hAnsiTheme="majorHAnsi" w:cstheme="majorHAnsi"/>
                <w:sz w:val="24"/>
                <w:szCs w:val="24"/>
              </w:rPr>
            </w:pPr>
          </w:p>
        </w:tc>
        <w:tc>
          <w:tcPr>
            <w:tcW w:w="4074" w:type="dxa"/>
          </w:tcPr>
          <w:p w14:paraId="4551417D" w14:textId="3345180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594A450E" w14:textId="2316BE94" w:rsidR="00EB19CA" w:rsidRPr="00D462F0" w:rsidRDefault="00EB19CA" w:rsidP="00D462F0">
            <w:pPr>
              <w:jc w:val="both"/>
              <w:rPr>
                <w:rFonts w:asciiTheme="majorHAnsi" w:hAnsiTheme="majorHAnsi" w:cstheme="majorHAnsi"/>
                <w:sz w:val="24"/>
                <w:szCs w:val="24"/>
              </w:rPr>
            </w:pPr>
          </w:p>
        </w:tc>
        <w:tc>
          <w:tcPr>
            <w:tcW w:w="4075" w:type="dxa"/>
          </w:tcPr>
          <w:p w14:paraId="11481277" w14:textId="77777777" w:rsidR="00EB19CA" w:rsidRPr="00D462F0" w:rsidRDefault="00EB19CA" w:rsidP="00D462F0">
            <w:pPr>
              <w:jc w:val="both"/>
              <w:rPr>
                <w:rFonts w:asciiTheme="majorHAnsi" w:hAnsiTheme="majorHAnsi" w:cstheme="majorHAnsi"/>
                <w:bCs/>
                <w:sz w:val="24"/>
                <w:szCs w:val="24"/>
              </w:rPr>
            </w:pPr>
          </w:p>
        </w:tc>
      </w:tr>
      <w:tr w:rsidR="00EB19CA" w:rsidRPr="00C93770" w14:paraId="0AE6985C" w14:textId="77777777" w:rsidTr="1756A420">
        <w:tc>
          <w:tcPr>
            <w:tcW w:w="4074" w:type="dxa"/>
          </w:tcPr>
          <w:p w14:paraId="2D49DB84"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XXII - títulos públicos federais reclassificados da categoria "títulos mantidos até o vencimento" para “títulos mantidos para negociação”;</w:t>
            </w:r>
          </w:p>
          <w:p w14:paraId="3274D9BF" w14:textId="77777777" w:rsidR="00EB19CA" w:rsidRPr="00D462F0" w:rsidRDefault="00EB19CA" w:rsidP="00D462F0">
            <w:pPr>
              <w:jc w:val="both"/>
              <w:rPr>
                <w:rFonts w:asciiTheme="majorHAnsi" w:hAnsiTheme="majorHAnsi" w:cstheme="majorHAnsi"/>
                <w:sz w:val="24"/>
                <w:szCs w:val="24"/>
              </w:rPr>
            </w:pPr>
          </w:p>
        </w:tc>
        <w:tc>
          <w:tcPr>
            <w:tcW w:w="4074" w:type="dxa"/>
          </w:tcPr>
          <w:p w14:paraId="47D23E91" w14:textId="0E57346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67B713C5" w14:textId="3A99F1A8" w:rsidR="00EB19CA" w:rsidRPr="00D462F0" w:rsidRDefault="00EB19CA" w:rsidP="00D462F0">
            <w:pPr>
              <w:jc w:val="both"/>
              <w:rPr>
                <w:rFonts w:asciiTheme="majorHAnsi" w:hAnsiTheme="majorHAnsi" w:cstheme="majorHAnsi"/>
                <w:sz w:val="24"/>
                <w:szCs w:val="24"/>
              </w:rPr>
            </w:pPr>
          </w:p>
        </w:tc>
        <w:tc>
          <w:tcPr>
            <w:tcW w:w="4075" w:type="dxa"/>
          </w:tcPr>
          <w:p w14:paraId="757E5743" w14:textId="77777777" w:rsidR="00EB19CA" w:rsidRPr="00D462F0" w:rsidRDefault="00EB19CA" w:rsidP="00D462F0">
            <w:pPr>
              <w:jc w:val="both"/>
              <w:rPr>
                <w:rFonts w:asciiTheme="majorHAnsi" w:hAnsiTheme="majorHAnsi" w:cstheme="majorHAnsi"/>
                <w:bCs/>
                <w:sz w:val="24"/>
                <w:szCs w:val="24"/>
              </w:rPr>
            </w:pPr>
          </w:p>
        </w:tc>
      </w:tr>
      <w:tr w:rsidR="00EB19CA" w:rsidRPr="00C93770" w14:paraId="66422286" w14:textId="77777777" w:rsidTr="1756A420">
        <w:tc>
          <w:tcPr>
            <w:tcW w:w="4074" w:type="dxa"/>
          </w:tcPr>
          <w:p w14:paraId="44170147"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XXIII - utilização de recursos de fundo previdencial para cobertura parcial ou total das contribuições para o plano de benefícios;</w:t>
            </w:r>
          </w:p>
          <w:p w14:paraId="4B6FAE01" w14:textId="77777777" w:rsidR="00EB19CA" w:rsidRPr="00D462F0" w:rsidRDefault="00EB19CA" w:rsidP="00D462F0">
            <w:pPr>
              <w:jc w:val="both"/>
              <w:rPr>
                <w:rFonts w:asciiTheme="majorHAnsi" w:hAnsiTheme="majorHAnsi" w:cstheme="majorHAnsi"/>
                <w:sz w:val="24"/>
                <w:szCs w:val="24"/>
              </w:rPr>
            </w:pPr>
          </w:p>
        </w:tc>
        <w:tc>
          <w:tcPr>
            <w:tcW w:w="4074" w:type="dxa"/>
          </w:tcPr>
          <w:p w14:paraId="16733921" w14:textId="2C6498E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5D635584" w14:textId="3ED89538" w:rsidR="00EB19CA" w:rsidRPr="00D462F0" w:rsidRDefault="00EB19CA" w:rsidP="00D462F0">
            <w:pPr>
              <w:jc w:val="both"/>
              <w:rPr>
                <w:rFonts w:asciiTheme="majorHAnsi" w:hAnsiTheme="majorHAnsi" w:cstheme="majorHAnsi"/>
                <w:sz w:val="24"/>
                <w:szCs w:val="24"/>
              </w:rPr>
            </w:pPr>
          </w:p>
        </w:tc>
        <w:tc>
          <w:tcPr>
            <w:tcW w:w="4075" w:type="dxa"/>
          </w:tcPr>
          <w:p w14:paraId="46D4A170" w14:textId="77777777" w:rsidR="00EB19CA" w:rsidRPr="00D462F0" w:rsidRDefault="00EB19CA" w:rsidP="00D462F0">
            <w:pPr>
              <w:jc w:val="both"/>
              <w:rPr>
                <w:rFonts w:asciiTheme="majorHAnsi" w:hAnsiTheme="majorHAnsi" w:cstheme="majorHAnsi"/>
                <w:bCs/>
                <w:sz w:val="24"/>
                <w:szCs w:val="24"/>
              </w:rPr>
            </w:pPr>
          </w:p>
        </w:tc>
      </w:tr>
      <w:tr w:rsidR="00EB19CA" w:rsidRPr="00C93770" w14:paraId="39F091D2" w14:textId="77777777" w:rsidTr="1756A420">
        <w:tc>
          <w:tcPr>
            <w:tcW w:w="4074" w:type="dxa"/>
          </w:tcPr>
          <w:p w14:paraId="20672642"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 xml:space="preserve">XXIV - operações com patrocinador, incluindo detalhamento dos ativos </w:t>
            </w:r>
            <w:r w:rsidRPr="00D462F0">
              <w:rPr>
                <w:rFonts w:asciiTheme="majorHAnsi" w:eastAsia="Calibri" w:hAnsiTheme="majorHAnsi" w:cstheme="majorHAnsi"/>
                <w:sz w:val="24"/>
                <w:szCs w:val="24"/>
              </w:rPr>
              <w:lastRenderedPageBreak/>
              <w:t>financeiros e de recebíveis, indicando o grau de dependência (percentual apurado pela soma de ativos financeiros e recebíveis junto aos patrocinadores em relação ao ativo total) por plano de benefícios;</w:t>
            </w:r>
          </w:p>
          <w:p w14:paraId="00561E58" w14:textId="77777777" w:rsidR="00EB19CA" w:rsidRPr="00D462F0" w:rsidRDefault="00EB19CA" w:rsidP="00D462F0">
            <w:pPr>
              <w:jc w:val="both"/>
              <w:rPr>
                <w:rFonts w:asciiTheme="majorHAnsi" w:hAnsiTheme="majorHAnsi" w:cstheme="majorHAnsi"/>
                <w:sz w:val="24"/>
                <w:szCs w:val="24"/>
              </w:rPr>
            </w:pPr>
          </w:p>
        </w:tc>
        <w:tc>
          <w:tcPr>
            <w:tcW w:w="4074" w:type="dxa"/>
          </w:tcPr>
          <w:p w14:paraId="02D6BEA9" w14:textId="35DCEF2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lastRenderedPageBreak/>
              <w:t>Revogar</w:t>
            </w:r>
          </w:p>
        </w:tc>
        <w:tc>
          <w:tcPr>
            <w:tcW w:w="4074" w:type="dxa"/>
          </w:tcPr>
          <w:p w14:paraId="035CFEB7" w14:textId="15E1615C" w:rsidR="00EB19CA" w:rsidRPr="00D462F0" w:rsidRDefault="00EB19CA" w:rsidP="00D462F0">
            <w:pPr>
              <w:jc w:val="both"/>
              <w:rPr>
                <w:rFonts w:asciiTheme="majorHAnsi" w:hAnsiTheme="majorHAnsi" w:cstheme="majorHAnsi"/>
                <w:sz w:val="24"/>
                <w:szCs w:val="24"/>
              </w:rPr>
            </w:pPr>
          </w:p>
        </w:tc>
        <w:tc>
          <w:tcPr>
            <w:tcW w:w="4075" w:type="dxa"/>
          </w:tcPr>
          <w:p w14:paraId="21A45F81" w14:textId="77777777" w:rsidR="00EB19CA" w:rsidRPr="00D462F0" w:rsidRDefault="00EB19CA" w:rsidP="00D462F0">
            <w:pPr>
              <w:jc w:val="both"/>
              <w:rPr>
                <w:rFonts w:asciiTheme="majorHAnsi" w:hAnsiTheme="majorHAnsi" w:cstheme="majorHAnsi"/>
                <w:bCs/>
                <w:sz w:val="24"/>
                <w:szCs w:val="24"/>
              </w:rPr>
            </w:pPr>
          </w:p>
        </w:tc>
      </w:tr>
      <w:tr w:rsidR="00EB19CA" w:rsidRPr="00C93770" w14:paraId="2BB69C0F" w14:textId="77777777" w:rsidTr="1756A420">
        <w:tc>
          <w:tcPr>
            <w:tcW w:w="4074" w:type="dxa"/>
          </w:tcPr>
          <w:p w14:paraId="41546775" w14:textId="77777777" w:rsidR="00EB19CA" w:rsidRPr="00D462F0" w:rsidRDefault="00EB19CA" w:rsidP="00D462F0">
            <w:pPr>
              <w:jc w:val="both"/>
              <w:rPr>
                <w:rFonts w:asciiTheme="majorHAnsi" w:hAnsiTheme="majorHAnsi" w:cstheme="majorHAnsi"/>
                <w:sz w:val="24"/>
                <w:szCs w:val="24"/>
              </w:rPr>
            </w:pPr>
            <w:r w:rsidRPr="00D462F0">
              <w:rPr>
                <w:rFonts w:asciiTheme="majorHAnsi" w:eastAsia="Calibri" w:hAnsiTheme="majorHAnsi" w:cstheme="majorHAnsi"/>
                <w:sz w:val="24"/>
                <w:szCs w:val="24"/>
              </w:rPr>
              <w:t>XXV - identificação dos perfis de investimentos de participantes em planos de benefícios de caráter previdencial e suas características; e</w:t>
            </w:r>
          </w:p>
          <w:p w14:paraId="5D16FF17" w14:textId="77777777" w:rsidR="00EB19CA" w:rsidRPr="00D462F0" w:rsidRDefault="00EB19CA" w:rsidP="00D462F0">
            <w:pPr>
              <w:jc w:val="both"/>
              <w:rPr>
                <w:rFonts w:asciiTheme="majorHAnsi" w:hAnsiTheme="majorHAnsi" w:cstheme="majorHAnsi"/>
                <w:sz w:val="24"/>
                <w:szCs w:val="24"/>
              </w:rPr>
            </w:pPr>
          </w:p>
        </w:tc>
        <w:tc>
          <w:tcPr>
            <w:tcW w:w="4074" w:type="dxa"/>
          </w:tcPr>
          <w:p w14:paraId="5644F6C3" w14:textId="64F0E55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2EBB75C6" w14:textId="0260BC00" w:rsidR="00EB19CA" w:rsidRPr="00D462F0" w:rsidRDefault="00EB19CA" w:rsidP="00D462F0">
            <w:pPr>
              <w:jc w:val="both"/>
              <w:rPr>
                <w:rFonts w:asciiTheme="majorHAnsi" w:hAnsiTheme="majorHAnsi" w:cstheme="majorHAnsi"/>
                <w:sz w:val="24"/>
                <w:szCs w:val="24"/>
              </w:rPr>
            </w:pPr>
          </w:p>
        </w:tc>
        <w:tc>
          <w:tcPr>
            <w:tcW w:w="4075" w:type="dxa"/>
          </w:tcPr>
          <w:p w14:paraId="68A20C16" w14:textId="77777777" w:rsidR="00EB19CA" w:rsidRPr="00D462F0" w:rsidRDefault="00EB19CA" w:rsidP="00D462F0">
            <w:pPr>
              <w:jc w:val="both"/>
              <w:rPr>
                <w:rFonts w:asciiTheme="majorHAnsi" w:hAnsiTheme="majorHAnsi" w:cstheme="majorHAnsi"/>
                <w:bCs/>
                <w:sz w:val="24"/>
                <w:szCs w:val="24"/>
              </w:rPr>
            </w:pPr>
          </w:p>
        </w:tc>
      </w:tr>
      <w:tr w:rsidR="00EB19CA" w:rsidRPr="00C93770" w14:paraId="2C400C74" w14:textId="77777777" w:rsidTr="1756A420">
        <w:tc>
          <w:tcPr>
            <w:tcW w:w="4074" w:type="dxa"/>
          </w:tcPr>
          <w:p w14:paraId="178DACCA" w14:textId="69B7F4E4" w:rsidR="00EB19CA" w:rsidRPr="00D462F0" w:rsidRDefault="00EB19CA" w:rsidP="00D462F0">
            <w:pPr>
              <w:jc w:val="both"/>
              <w:rPr>
                <w:rFonts w:asciiTheme="majorHAnsi" w:hAnsiTheme="majorHAnsi" w:cstheme="majorHAnsi"/>
                <w:sz w:val="24"/>
                <w:szCs w:val="24"/>
              </w:rPr>
            </w:pPr>
            <w:bookmarkStart w:id="1" w:name="_Hlk205977014"/>
            <w:r w:rsidRPr="00D462F0">
              <w:rPr>
                <w:rFonts w:asciiTheme="majorHAnsi" w:hAnsiTheme="majorHAnsi" w:cstheme="majorHAnsi"/>
                <w:sz w:val="24"/>
                <w:szCs w:val="24"/>
              </w:rPr>
              <w:t xml:space="preserve">XXVI - operações entre partes relacionadas com, no mínimo, condições pactuadas e os montantes dos saldos existentes das transações, bem como a provisão para créditos de liquidação duvidosa </w:t>
            </w:r>
            <w:bookmarkEnd w:id="1"/>
            <w:r w:rsidRPr="00D462F0">
              <w:rPr>
                <w:rFonts w:asciiTheme="majorHAnsi" w:hAnsiTheme="majorHAnsi" w:cstheme="majorHAnsi"/>
                <w:sz w:val="24"/>
                <w:szCs w:val="24"/>
              </w:rPr>
              <w:t>relacionada com o montante dos saldos existentes.</w:t>
            </w:r>
          </w:p>
        </w:tc>
        <w:tc>
          <w:tcPr>
            <w:tcW w:w="4074" w:type="dxa"/>
          </w:tcPr>
          <w:p w14:paraId="312A83D8" w14:textId="45F26B7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color w:val="EE0000"/>
                <w:sz w:val="24"/>
                <w:szCs w:val="24"/>
              </w:rPr>
              <w:t>Revogar</w:t>
            </w:r>
          </w:p>
        </w:tc>
        <w:tc>
          <w:tcPr>
            <w:tcW w:w="4074" w:type="dxa"/>
          </w:tcPr>
          <w:p w14:paraId="4710D3BA" w14:textId="5418FA9B" w:rsidR="00EB19CA" w:rsidRPr="00D462F0" w:rsidRDefault="00EB19CA" w:rsidP="00D462F0">
            <w:pPr>
              <w:jc w:val="both"/>
              <w:rPr>
                <w:rFonts w:asciiTheme="majorHAnsi" w:hAnsiTheme="majorHAnsi" w:cstheme="majorHAnsi"/>
                <w:sz w:val="24"/>
                <w:szCs w:val="24"/>
              </w:rPr>
            </w:pPr>
          </w:p>
        </w:tc>
        <w:tc>
          <w:tcPr>
            <w:tcW w:w="4075" w:type="dxa"/>
          </w:tcPr>
          <w:p w14:paraId="6B9773BD" w14:textId="77777777" w:rsidR="00EB19CA" w:rsidRPr="00D462F0" w:rsidRDefault="00EB19CA" w:rsidP="00D462F0">
            <w:pPr>
              <w:jc w:val="both"/>
              <w:rPr>
                <w:rFonts w:asciiTheme="majorHAnsi" w:hAnsiTheme="majorHAnsi" w:cstheme="majorHAnsi"/>
                <w:bCs/>
                <w:sz w:val="24"/>
                <w:szCs w:val="24"/>
              </w:rPr>
            </w:pPr>
          </w:p>
        </w:tc>
      </w:tr>
      <w:tr w:rsidR="00EB19CA" w:rsidRPr="00C93770" w14:paraId="79676A59" w14:textId="77777777" w:rsidTr="1756A420">
        <w:tc>
          <w:tcPr>
            <w:tcW w:w="4074" w:type="dxa"/>
          </w:tcPr>
          <w:p w14:paraId="302A7C1C" w14:textId="745DA82B"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6F76528" w14:textId="734819CF" w:rsidR="00EB19CA" w:rsidRPr="00D462F0" w:rsidRDefault="00EB19CA" w:rsidP="00D462F0">
            <w:pPr>
              <w:spacing w:after="20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Art. 208-A.</w:t>
            </w:r>
            <w:r w:rsidR="004153BF"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 xml:space="preserve"> As EFPC devem elaborar e apresentar as Notas Explicativas às Demonstrações Contábeis seguindo obrigatoriamente a ordem dos incisos deste artigo, contendo, no mínimo, as informações neles previstas, segregadas, quando possível, por planos de benefícios e pelo Plano de Gestão Administrativa:</w:t>
            </w:r>
          </w:p>
          <w:p w14:paraId="68E7F9F6"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6BF093A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 inclusão do artigo 208-A em substituição ao art. 208, tendo o objetivo de estabelecer ordem mínima padronizada de forma a garantir uniformidade na apresentação das informações, facilitando a leitura técnica, a análise comparativa entre entidades e o acompanhamento pelo órgão fiscalizador. Além disso, atende aos princípios da compreensibilidade e comparabilidade, fundamentais na estrutura conceitual da contabilidade prevista no CPC 00 (R2). Atualmente, a ausência de um modelo sequencial tem gerado divergências na forma de exposição das informações, dificultando a análise técnica. Além disso, verificou-se a necessidade de incluir e readequar alguns incisos, </w:t>
            </w:r>
            <w:r w:rsidRPr="00D462F0">
              <w:rPr>
                <w:rFonts w:asciiTheme="majorHAnsi" w:hAnsiTheme="majorHAnsi" w:cstheme="majorHAnsi"/>
                <w:sz w:val="24"/>
                <w:szCs w:val="24"/>
              </w:rPr>
              <w:lastRenderedPageBreak/>
              <w:t>demandados por áreas técnicas internas e externas.</w:t>
            </w:r>
          </w:p>
          <w:p w14:paraId="266D50A0" w14:textId="77777777" w:rsidR="00EB19CA" w:rsidRPr="00D462F0" w:rsidRDefault="00EB19CA" w:rsidP="00D462F0">
            <w:pPr>
              <w:jc w:val="both"/>
              <w:rPr>
                <w:rFonts w:asciiTheme="majorHAnsi" w:hAnsiTheme="majorHAnsi" w:cstheme="majorHAnsi"/>
                <w:sz w:val="24"/>
                <w:szCs w:val="24"/>
              </w:rPr>
            </w:pPr>
          </w:p>
        </w:tc>
        <w:tc>
          <w:tcPr>
            <w:tcW w:w="4075" w:type="dxa"/>
          </w:tcPr>
          <w:p w14:paraId="64C951FC"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Inciso III do art. 4º do Decreto nº 10.411/2020.</w:t>
            </w:r>
          </w:p>
          <w:p w14:paraId="4E58EE1B" w14:textId="17459DF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dispensa de AIR está baseada em ato normativo de baixo impacto, pois trata de substituição de artigo (art. 208) para ficar mais claro para o leitor, pois verificou-se a necessidade de inclusão e reordenamento de incisos. </w:t>
            </w:r>
          </w:p>
          <w:p w14:paraId="4ABAC013" w14:textId="44B359B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As alterações e inclusões propostas são pontuais para trazer maior transparência para as notas explicativas. </w:t>
            </w:r>
          </w:p>
        </w:tc>
      </w:tr>
      <w:tr w:rsidR="00EB19CA" w:rsidRPr="00C93770" w14:paraId="4F6411C9" w14:textId="77777777" w:rsidTr="1756A420">
        <w:tc>
          <w:tcPr>
            <w:tcW w:w="4074" w:type="dxa"/>
          </w:tcPr>
          <w:p w14:paraId="0F67C32F" w14:textId="77777777" w:rsidR="00EB19CA" w:rsidRPr="00D462F0" w:rsidRDefault="00EB19CA" w:rsidP="00D462F0">
            <w:pPr>
              <w:jc w:val="both"/>
              <w:rPr>
                <w:rFonts w:asciiTheme="majorHAnsi" w:hAnsiTheme="majorHAnsi" w:cstheme="majorHAnsi"/>
                <w:sz w:val="24"/>
                <w:szCs w:val="24"/>
              </w:rPr>
            </w:pPr>
          </w:p>
        </w:tc>
        <w:tc>
          <w:tcPr>
            <w:tcW w:w="4074" w:type="dxa"/>
          </w:tcPr>
          <w:p w14:paraId="1AB79674" w14:textId="2F85045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contexto</w:t>
            </w:r>
            <w:proofErr w:type="gramEnd"/>
            <w:r w:rsidRPr="00D462F0">
              <w:rPr>
                <w:rFonts w:asciiTheme="majorHAnsi" w:hAnsiTheme="majorHAnsi" w:cstheme="majorHAnsi"/>
                <w:bCs/>
                <w:color w:val="0000FF"/>
                <w:sz w:val="24"/>
                <w:szCs w:val="24"/>
              </w:rPr>
              <w:t xml:space="preserve"> operacional das EFPC, incluindo resumo das principais práticas contábeis, relação dos itens avaliados, descrição dos critérios adotados nos períodos, anterior e atual, e eventuais efeitos decorrentes de mudanças de critérios;</w:t>
            </w:r>
          </w:p>
        </w:tc>
        <w:tc>
          <w:tcPr>
            <w:tcW w:w="4074" w:type="dxa"/>
          </w:tcPr>
          <w:p w14:paraId="10139259" w14:textId="1D044F0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Inciso I do art. 208</w:t>
            </w:r>
          </w:p>
        </w:tc>
        <w:tc>
          <w:tcPr>
            <w:tcW w:w="4075" w:type="dxa"/>
          </w:tcPr>
          <w:p w14:paraId="59E20844" w14:textId="4959909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570E8FAC" w14:textId="77777777" w:rsidTr="1756A420">
        <w:tc>
          <w:tcPr>
            <w:tcW w:w="4074" w:type="dxa"/>
          </w:tcPr>
          <w:p w14:paraId="4D0B3A3D" w14:textId="77777777" w:rsidR="00EB19CA" w:rsidRPr="00D462F0" w:rsidRDefault="00EB19CA" w:rsidP="00D462F0">
            <w:pPr>
              <w:jc w:val="both"/>
              <w:rPr>
                <w:rFonts w:asciiTheme="majorHAnsi" w:hAnsiTheme="majorHAnsi" w:cstheme="majorHAnsi"/>
                <w:sz w:val="24"/>
                <w:szCs w:val="24"/>
              </w:rPr>
            </w:pPr>
          </w:p>
        </w:tc>
        <w:tc>
          <w:tcPr>
            <w:tcW w:w="4074" w:type="dxa"/>
          </w:tcPr>
          <w:p w14:paraId="0C0C0BA2"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composição</w:t>
            </w:r>
            <w:proofErr w:type="gramEnd"/>
            <w:r w:rsidRPr="00D462F0">
              <w:rPr>
                <w:rFonts w:asciiTheme="majorHAnsi" w:hAnsiTheme="majorHAnsi" w:cstheme="majorHAnsi"/>
                <w:bCs/>
                <w:color w:val="0000FF"/>
                <w:sz w:val="24"/>
                <w:szCs w:val="24"/>
              </w:rPr>
              <w:t xml:space="preserve"> da carteira de investimentos, em comparação com a do exercício anterior;</w:t>
            </w:r>
          </w:p>
          <w:p w14:paraId="42C6176B"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447D34DE" w14:textId="4526EA1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à reorganização do ordenamento do conteúdo mínimo das notas explicativas, o inciso IX do art. 208 foi realocado para inciso II do art. 208-A.</w:t>
            </w:r>
          </w:p>
        </w:tc>
        <w:tc>
          <w:tcPr>
            <w:tcW w:w="4075" w:type="dxa"/>
          </w:tcPr>
          <w:p w14:paraId="1262100D" w14:textId="00F0577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607C968" w14:textId="77777777" w:rsidTr="1756A420">
        <w:tc>
          <w:tcPr>
            <w:tcW w:w="4074" w:type="dxa"/>
          </w:tcPr>
          <w:p w14:paraId="64AAA83A" w14:textId="77777777" w:rsidR="00EB19CA" w:rsidRPr="00D462F0" w:rsidRDefault="00EB19CA" w:rsidP="00D462F0">
            <w:pPr>
              <w:jc w:val="both"/>
              <w:rPr>
                <w:rFonts w:asciiTheme="majorHAnsi" w:hAnsiTheme="majorHAnsi" w:cstheme="majorHAnsi"/>
                <w:sz w:val="24"/>
                <w:szCs w:val="24"/>
              </w:rPr>
            </w:pPr>
          </w:p>
        </w:tc>
        <w:tc>
          <w:tcPr>
            <w:tcW w:w="4074" w:type="dxa"/>
          </w:tcPr>
          <w:p w14:paraId="0204A4BF" w14:textId="1F575C06"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III - títulos públicos federais classificados na categoria "títulos mantidos até o vencimento", negociados no período, especificando a data da negociação, quantidade negociada, valor total negociado, o efeito no resultado e a justificativa para negociação;</w:t>
            </w:r>
          </w:p>
        </w:tc>
        <w:tc>
          <w:tcPr>
            <w:tcW w:w="4074" w:type="dxa"/>
          </w:tcPr>
          <w:p w14:paraId="0730E78A" w14:textId="7572211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à reorganização do ordenamento do conteúdo mínimo das notas explicativas, o inciso XXI do art. 208 foi realocado para inciso III do art. 208-A.</w:t>
            </w:r>
          </w:p>
        </w:tc>
        <w:tc>
          <w:tcPr>
            <w:tcW w:w="4075" w:type="dxa"/>
          </w:tcPr>
          <w:p w14:paraId="7A2F5CCB" w14:textId="366BEBD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CF85F84" w14:textId="77777777" w:rsidTr="1756A420">
        <w:tc>
          <w:tcPr>
            <w:tcW w:w="4074" w:type="dxa"/>
          </w:tcPr>
          <w:p w14:paraId="73C65419" w14:textId="77777777" w:rsidR="00EB19CA" w:rsidRPr="00D462F0" w:rsidRDefault="00EB19CA" w:rsidP="00D462F0">
            <w:pPr>
              <w:jc w:val="both"/>
              <w:rPr>
                <w:rFonts w:asciiTheme="majorHAnsi" w:hAnsiTheme="majorHAnsi" w:cstheme="majorHAnsi"/>
                <w:sz w:val="24"/>
                <w:szCs w:val="24"/>
              </w:rPr>
            </w:pPr>
          </w:p>
        </w:tc>
        <w:tc>
          <w:tcPr>
            <w:tcW w:w="4074" w:type="dxa"/>
          </w:tcPr>
          <w:p w14:paraId="6544A5F2"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IV - </w:t>
            </w:r>
            <w:proofErr w:type="gramStart"/>
            <w:r w:rsidRPr="00D462F0">
              <w:rPr>
                <w:rFonts w:asciiTheme="majorHAnsi" w:hAnsiTheme="majorHAnsi" w:cstheme="majorHAnsi"/>
                <w:bCs/>
                <w:color w:val="0000FF"/>
                <w:sz w:val="24"/>
                <w:szCs w:val="24"/>
              </w:rPr>
              <w:t>títulos</w:t>
            </w:r>
            <w:proofErr w:type="gramEnd"/>
            <w:r w:rsidRPr="00D462F0">
              <w:rPr>
                <w:rFonts w:asciiTheme="majorHAnsi" w:hAnsiTheme="majorHAnsi" w:cstheme="majorHAnsi"/>
                <w:bCs/>
                <w:color w:val="0000FF"/>
                <w:sz w:val="24"/>
                <w:szCs w:val="24"/>
              </w:rPr>
              <w:t xml:space="preserve"> públicos federais reclassificados da categoria "títulos mantidos até o vencimento" para “títulos mantidos para negociação”;</w:t>
            </w:r>
          </w:p>
          <w:p w14:paraId="1A954190"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6B00FC2A" w14:textId="159F304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XXII do art. 208 foi realocado para inciso IV do art. 208-A.</w:t>
            </w:r>
          </w:p>
        </w:tc>
        <w:tc>
          <w:tcPr>
            <w:tcW w:w="4075" w:type="dxa"/>
          </w:tcPr>
          <w:p w14:paraId="1FD6C2B5" w14:textId="170AB9F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2848DCC" w14:textId="77777777" w:rsidTr="1756A420">
        <w:tc>
          <w:tcPr>
            <w:tcW w:w="4074" w:type="dxa"/>
          </w:tcPr>
          <w:p w14:paraId="2F75028D" w14:textId="77777777" w:rsidR="00EB19CA" w:rsidRPr="00D462F0" w:rsidRDefault="00EB19CA" w:rsidP="00D462F0">
            <w:pPr>
              <w:jc w:val="both"/>
              <w:rPr>
                <w:rFonts w:asciiTheme="majorHAnsi" w:hAnsiTheme="majorHAnsi" w:cstheme="majorHAnsi"/>
                <w:sz w:val="24"/>
                <w:szCs w:val="24"/>
              </w:rPr>
            </w:pPr>
          </w:p>
        </w:tc>
        <w:tc>
          <w:tcPr>
            <w:tcW w:w="4074" w:type="dxa"/>
          </w:tcPr>
          <w:p w14:paraId="118D848A"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V - </w:t>
            </w:r>
            <w:proofErr w:type="gramStart"/>
            <w:r w:rsidRPr="00D462F0">
              <w:rPr>
                <w:rFonts w:asciiTheme="majorHAnsi" w:hAnsiTheme="majorHAnsi" w:cstheme="majorHAnsi"/>
                <w:bCs/>
                <w:color w:val="0000FF"/>
                <w:sz w:val="24"/>
                <w:szCs w:val="24"/>
              </w:rPr>
              <w:t>premissas</w:t>
            </w:r>
            <w:proofErr w:type="gramEnd"/>
            <w:r w:rsidRPr="00D462F0">
              <w:rPr>
                <w:rFonts w:asciiTheme="majorHAnsi" w:hAnsiTheme="majorHAnsi" w:cstheme="majorHAnsi"/>
                <w:bCs/>
                <w:color w:val="0000FF"/>
                <w:sz w:val="24"/>
                <w:szCs w:val="24"/>
              </w:rPr>
              <w:t xml:space="preserve">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w:t>
            </w:r>
            <w:r w:rsidRPr="00D462F0">
              <w:rPr>
                <w:rFonts w:asciiTheme="majorHAnsi" w:hAnsiTheme="majorHAnsi" w:cstheme="majorHAnsi"/>
                <w:bCs/>
                <w:color w:val="0000FF"/>
                <w:sz w:val="24"/>
                <w:szCs w:val="24"/>
              </w:rPr>
              <w:lastRenderedPageBreak/>
              <w:t>de uma opção seja apresentada pelo avaliador;</w:t>
            </w:r>
          </w:p>
          <w:p w14:paraId="36EFAC85"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7D22580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Devido a reorganização do ordenamento do conteúdo mínimo das notas explicativas, o inciso XVI do art. 208 foi realocado para inciso V do art. 208-A.</w:t>
            </w:r>
          </w:p>
          <w:p w14:paraId="23BA473B" w14:textId="77777777" w:rsidR="00EB19CA" w:rsidRPr="00D462F0" w:rsidRDefault="00EB19CA" w:rsidP="00D462F0">
            <w:pPr>
              <w:jc w:val="both"/>
              <w:rPr>
                <w:rFonts w:asciiTheme="majorHAnsi" w:hAnsiTheme="majorHAnsi" w:cstheme="majorHAnsi"/>
                <w:sz w:val="24"/>
                <w:szCs w:val="24"/>
              </w:rPr>
            </w:pPr>
          </w:p>
        </w:tc>
        <w:tc>
          <w:tcPr>
            <w:tcW w:w="4075" w:type="dxa"/>
          </w:tcPr>
          <w:p w14:paraId="3C4B5EE7" w14:textId="29970F3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44C2CE89" w14:textId="77777777" w:rsidTr="009C0A86">
        <w:tc>
          <w:tcPr>
            <w:tcW w:w="4074" w:type="dxa"/>
          </w:tcPr>
          <w:p w14:paraId="2240A8B2" w14:textId="77777777" w:rsidR="00EB19CA" w:rsidRPr="00D462F0" w:rsidRDefault="00EB19CA" w:rsidP="009C0A86">
            <w:pPr>
              <w:jc w:val="both"/>
              <w:rPr>
                <w:rFonts w:asciiTheme="majorHAnsi" w:hAnsiTheme="majorHAnsi" w:cstheme="majorHAnsi"/>
                <w:sz w:val="24"/>
                <w:szCs w:val="24"/>
              </w:rPr>
            </w:pPr>
          </w:p>
        </w:tc>
        <w:tc>
          <w:tcPr>
            <w:tcW w:w="4074" w:type="dxa"/>
          </w:tcPr>
          <w:p w14:paraId="2594897C" w14:textId="17D6538C" w:rsidR="00431370" w:rsidRPr="00431370" w:rsidRDefault="00431370" w:rsidP="00FB3502">
            <w:pPr>
              <w:jc w:val="both"/>
              <w:rPr>
                <w:rFonts w:asciiTheme="majorHAnsi" w:hAnsiTheme="majorHAnsi" w:cstheme="majorHAnsi"/>
                <w:color w:val="0000FF"/>
                <w:sz w:val="24"/>
                <w:szCs w:val="24"/>
              </w:rPr>
            </w:pPr>
            <w:r w:rsidRPr="009C0A86">
              <w:rPr>
                <w:rFonts w:asciiTheme="majorHAnsi" w:hAnsiTheme="majorHAnsi" w:cstheme="majorHAnsi"/>
                <w:color w:val="0000FF"/>
                <w:sz w:val="24"/>
                <w:szCs w:val="24"/>
              </w:rPr>
              <w:t xml:space="preserve">VI – </w:t>
            </w:r>
            <w:proofErr w:type="gramStart"/>
            <w:r w:rsidRPr="009C0A86">
              <w:rPr>
                <w:rFonts w:asciiTheme="majorHAnsi" w:hAnsiTheme="majorHAnsi" w:cstheme="majorHAnsi"/>
                <w:color w:val="0000FF"/>
                <w:sz w:val="24"/>
                <w:szCs w:val="24"/>
              </w:rPr>
              <w:t>controle</w:t>
            </w:r>
            <w:proofErr w:type="gramEnd"/>
            <w:r w:rsidRPr="009C0A86">
              <w:rPr>
                <w:rFonts w:asciiTheme="majorHAnsi" w:hAnsiTheme="majorHAnsi" w:cstheme="majorHAnsi"/>
                <w:color w:val="0000FF"/>
                <w:sz w:val="24"/>
                <w:szCs w:val="24"/>
              </w:rPr>
              <w:t xml:space="preserve"> e acompanhamento contábil e financeiro dos títulos objeto do ajuste de precificação, contendo, no mínimo, a natureza, a quantidade e o montante de títulos por faixa de vencimento, o valor investido, o valor do ajuste posicionado na data de encerramento do exercício ou em decorrência de fato relevante, bem como a indicação de sua utilização no valor a equacionar ou no superávit a destinar, </w:t>
            </w:r>
            <w:r w:rsidR="006947E7">
              <w:rPr>
                <w:rFonts w:asciiTheme="majorHAnsi" w:hAnsiTheme="majorHAnsi" w:cstheme="majorHAnsi"/>
                <w:color w:val="0000FF"/>
                <w:sz w:val="24"/>
                <w:szCs w:val="24"/>
              </w:rPr>
              <w:t xml:space="preserve">observado o disposto no § 2º do art. 54 e no art. 55 desta Resolução. </w:t>
            </w:r>
          </w:p>
        </w:tc>
        <w:tc>
          <w:tcPr>
            <w:tcW w:w="4074" w:type="dxa"/>
          </w:tcPr>
          <w:p w14:paraId="63DE8DE0" w14:textId="77777777" w:rsidR="00EB19CA" w:rsidRPr="00D462F0" w:rsidRDefault="00EB19CA" w:rsidP="009C0A86">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XVIII do art. 208 foi realocado para inciso VI do art. 208-A.</w:t>
            </w:r>
          </w:p>
          <w:p w14:paraId="4E6B2533" w14:textId="77777777" w:rsidR="00EB19CA" w:rsidRPr="00D462F0" w:rsidRDefault="00EB19CA" w:rsidP="009C0A86">
            <w:pPr>
              <w:jc w:val="both"/>
              <w:rPr>
                <w:rFonts w:asciiTheme="majorHAnsi" w:hAnsiTheme="majorHAnsi" w:cstheme="majorHAnsi"/>
                <w:sz w:val="24"/>
                <w:szCs w:val="24"/>
              </w:rPr>
            </w:pPr>
          </w:p>
        </w:tc>
        <w:tc>
          <w:tcPr>
            <w:tcW w:w="4075" w:type="dxa"/>
          </w:tcPr>
          <w:p w14:paraId="7F7EF67B" w14:textId="6BF5B6A5" w:rsidR="00EB19CA" w:rsidRPr="00D462F0" w:rsidRDefault="00EB19CA" w:rsidP="009C0A86">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A96BAAE" w14:textId="77777777" w:rsidTr="1756A420">
        <w:tc>
          <w:tcPr>
            <w:tcW w:w="4074" w:type="dxa"/>
          </w:tcPr>
          <w:p w14:paraId="007A2F5F" w14:textId="77777777" w:rsidR="00EB19CA" w:rsidRPr="00D462F0" w:rsidRDefault="00EB19CA" w:rsidP="00D462F0">
            <w:pPr>
              <w:jc w:val="both"/>
              <w:rPr>
                <w:rFonts w:asciiTheme="majorHAnsi" w:hAnsiTheme="majorHAnsi" w:cstheme="majorHAnsi"/>
                <w:sz w:val="24"/>
                <w:szCs w:val="24"/>
              </w:rPr>
            </w:pPr>
          </w:p>
        </w:tc>
        <w:tc>
          <w:tcPr>
            <w:tcW w:w="4074" w:type="dxa"/>
          </w:tcPr>
          <w:p w14:paraId="6A77FB91" w14:textId="4C6CC3D6"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VII - identificação dos perfis de investimentos de participantes em planos de benefícios de caráter previdencial e suas características;</w:t>
            </w:r>
          </w:p>
        </w:tc>
        <w:tc>
          <w:tcPr>
            <w:tcW w:w="4074" w:type="dxa"/>
          </w:tcPr>
          <w:p w14:paraId="17FAE264" w14:textId="03A1D82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XXV do art. 208 foi realocado para inciso VII do art. 208-A.</w:t>
            </w:r>
          </w:p>
        </w:tc>
        <w:tc>
          <w:tcPr>
            <w:tcW w:w="4075" w:type="dxa"/>
          </w:tcPr>
          <w:p w14:paraId="0ECBC6CF" w14:textId="72EE7A8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7679172E" w14:textId="77777777" w:rsidTr="1756A420">
        <w:tc>
          <w:tcPr>
            <w:tcW w:w="4074" w:type="dxa"/>
          </w:tcPr>
          <w:p w14:paraId="438489FD" w14:textId="77777777" w:rsidR="00EB19CA" w:rsidRPr="00D462F0" w:rsidRDefault="00EB19CA" w:rsidP="00D462F0">
            <w:pPr>
              <w:jc w:val="both"/>
              <w:rPr>
                <w:rFonts w:asciiTheme="majorHAnsi" w:hAnsiTheme="majorHAnsi" w:cstheme="majorHAnsi"/>
                <w:sz w:val="24"/>
                <w:szCs w:val="24"/>
              </w:rPr>
            </w:pPr>
          </w:p>
        </w:tc>
        <w:tc>
          <w:tcPr>
            <w:tcW w:w="4074" w:type="dxa"/>
          </w:tcPr>
          <w:p w14:paraId="41E07560"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VIII - avaliações dos bens imóveis do ativo “Imobilizado” </w:t>
            </w:r>
            <w:r w:rsidRPr="00D462F0">
              <w:rPr>
                <w:rFonts w:asciiTheme="majorHAnsi" w:eastAsiaTheme="minorEastAsia" w:hAnsiTheme="majorHAnsi" w:cstheme="majorHAnsi"/>
                <w:bCs/>
                <w:color w:val="0000FF"/>
                <w:sz w:val="24"/>
                <w:szCs w:val="24"/>
              </w:rPr>
              <w:t xml:space="preserve">indicando, no mínimo, as avaliações realizadas, o método de depreciação adotado, o histórico e a data da avaliação, a identificação dos avaliadores </w:t>
            </w:r>
            <w:r w:rsidRPr="00D462F0">
              <w:rPr>
                <w:rFonts w:asciiTheme="majorHAnsi" w:hAnsiTheme="majorHAnsi" w:cstheme="majorHAnsi"/>
                <w:bCs/>
                <w:color w:val="0000FF"/>
                <w:sz w:val="24"/>
                <w:szCs w:val="24"/>
              </w:rPr>
              <w:t>responsáveis e os respectivos valores, bem como, quando aplicável, a justificativa para reconhecimento ou reversão de perda por redução ao valor recuperável do ativo e os efeitos decorrentes no exercício;</w:t>
            </w:r>
          </w:p>
          <w:p w14:paraId="4EAE9483"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5B03AAFB"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V do art. 208 foi dividido em dois incisos e uma parte foi realocado para inciso VIII e outra para o inciso IX do art. 208-A.</w:t>
            </w:r>
          </w:p>
          <w:p w14:paraId="36C3477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 alteração proposta de divisão do inciso V anterior em dois incisos, tem por finalidade fortalecer a qualidade e a completude das informações divulgadas pelas EFPC nas notas explicativas, especificamente no que se refere à mensuração e à avaliação de bens imóveis classificados como </w:t>
            </w:r>
            <w:r w:rsidRPr="00D462F0">
              <w:rPr>
                <w:rFonts w:asciiTheme="majorHAnsi" w:hAnsiTheme="majorHAnsi" w:cstheme="majorHAnsi"/>
                <w:b/>
                <w:bCs/>
                <w:sz w:val="24"/>
                <w:szCs w:val="24"/>
              </w:rPr>
              <w:t>“Imobilizado”</w:t>
            </w:r>
            <w:r w:rsidRPr="00D462F0">
              <w:rPr>
                <w:rFonts w:asciiTheme="majorHAnsi" w:hAnsiTheme="majorHAnsi" w:cstheme="majorHAnsi"/>
                <w:sz w:val="24"/>
                <w:szCs w:val="24"/>
              </w:rPr>
              <w:t xml:space="preserve"> ou como </w:t>
            </w:r>
            <w:r w:rsidRPr="00D462F0">
              <w:rPr>
                <w:rFonts w:asciiTheme="majorHAnsi" w:hAnsiTheme="majorHAnsi" w:cstheme="majorHAnsi"/>
                <w:b/>
                <w:bCs/>
                <w:sz w:val="24"/>
                <w:szCs w:val="24"/>
              </w:rPr>
              <w:t>“Investimentos em imóveis”</w:t>
            </w:r>
            <w:r w:rsidRPr="00D462F0">
              <w:rPr>
                <w:rFonts w:asciiTheme="majorHAnsi" w:hAnsiTheme="majorHAnsi" w:cstheme="majorHAnsi"/>
                <w:sz w:val="24"/>
                <w:szCs w:val="24"/>
              </w:rPr>
              <w:t>.</w:t>
            </w:r>
          </w:p>
          <w:p w14:paraId="7C9A33E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O texto original tratava conjuntamente dos dois tipos de classificação contábil, exigindo apenas informações genéricas sobre as avaliações e reavaliações, sem distinguir a natureza e o tratamento contábil distinto entre esses grupos patrimoniais. A nova redação propõe separar de forma explícita as exigências para:</w:t>
            </w:r>
          </w:p>
          <w:p w14:paraId="42C5957C" w14:textId="77777777" w:rsidR="00EB19CA" w:rsidRPr="00D462F0" w:rsidRDefault="00EB19CA" w:rsidP="00D462F0">
            <w:pPr>
              <w:numPr>
                <w:ilvl w:val="0"/>
                <w:numId w:val="2"/>
              </w:numPr>
              <w:spacing w:after="200"/>
              <w:jc w:val="both"/>
              <w:rPr>
                <w:rFonts w:asciiTheme="majorHAnsi" w:hAnsiTheme="majorHAnsi" w:cstheme="majorHAnsi"/>
                <w:sz w:val="24"/>
                <w:szCs w:val="24"/>
              </w:rPr>
            </w:pPr>
            <w:r w:rsidRPr="00D462F0">
              <w:rPr>
                <w:rFonts w:asciiTheme="majorHAnsi" w:hAnsiTheme="majorHAnsi" w:cstheme="majorHAnsi"/>
                <w:sz w:val="24"/>
                <w:szCs w:val="24"/>
              </w:rPr>
              <w:t xml:space="preserve">Imóveis classificados como imobilizado (ativo operacional da entidade), que estão sujeitos a depreciação sistemática e avaliação de recuperabilidade (teste de </w:t>
            </w:r>
            <w:proofErr w:type="spellStart"/>
            <w:r w:rsidRPr="00D462F0">
              <w:rPr>
                <w:rFonts w:asciiTheme="majorHAnsi" w:hAnsiTheme="majorHAnsi" w:cstheme="majorHAnsi"/>
                <w:i/>
                <w:iCs/>
                <w:sz w:val="24"/>
                <w:szCs w:val="24"/>
              </w:rPr>
              <w:t>impairment</w:t>
            </w:r>
            <w:proofErr w:type="spellEnd"/>
            <w:r w:rsidRPr="00D462F0">
              <w:rPr>
                <w:rFonts w:asciiTheme="majorHAnsi" w:hAnsiTheme="majorHAnsi" w:cstheme="majorHAnsi"/>
                <w:sz w:val="24"/>
                <w:szCs w:val="24"/>
              </w:rPr>
              <w:t>); e</w:t>
            </w:r>
          </w:p>
          <w:p w14:paraId="31048001" w14:textId="77777777" w:rsidR="00EB19CA" w:rsidRPr="00D462F0" w:rsidRDefault="00EB19CA" w:rsidP="00D462F0">
            <w:pPr>
              <w:numPr>
                <w:ilvl w:val="0"/>
                <w:numId w:val="2"/>
              </w:numPr>
              <w:spacing w:after="200"/>
              <w:jc w:val="both"/>
              <w:rPr>
                <w:rFonts w:asciiTheme="majorHAnsi" w:hAnsiTheme="majorHAnsi" w:cstheme="majorHAnsi"/>
                <w:sz w:val="24"/>
                <w:szCs w:val="24"/>
              </w:rPr>
            </w:pPr>
            <w:r w:rsidRPr="00D462F0">
              <w:rPr>
                <w:rFonts w:asciiTheme="majorHAnsi" w:hAnsiTheme="majorHAnsi" w:cstheme="majorHAnsi"/>
                <w:sz w:val="24"/>
                <w:szCs w:val="24"/>
              </w:rPr>
              <w:t>Imóveis classificados como Investimentos, que têm como finalidade a renda ou valorização de capital, demandando divulgação clara dos critérios de avaliação justa ou reavaliação periódica.</w:t>
            </w:r>
          </w:p>
          <w:p w14:paraId="14AF648F"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Essa separação decorre das exigências dos Pronunciamentos Técnicos </w:t>
            </w:r>
            <w:r w:rsidRPr="00D462F0">
              <w:rPr>
                <w:rFonts w:asciiTheme="majorHAnsi" w:hAnsiTheme="majorHAnsi" w:cstheme="majorHAnsi"/>
                <w:b/>
                <w:bCs/>
                <w:sz w:val="24"/>
                <w:szCs w:val="24"/>
              </w:rPr>
              <w:t>CPC 27</w:t>
            </w:r>
            <w:r w:rsidRPr="00D462F0">
              <w:rPr>
                <w:rFonts w:asciiTheme="majorHAnsi" w:hAnsiTheme="majorHAnsi" w:cstheme="majorHAnsi"/>
                <w:sz w:val="24"/>
                <w:szCs w:val="24"/>
              </w:rPr>
              <w:t xml:space="preserve"> (Ativo Imobilizado) e </w:t>
            </w:r>
            <w:r w:rsidRPr="00D462F0">
              <w:rPr>
                <w:rFonts w:asciiTheme="majorHAnsi" w:hAnsiTheme="majorHAnsi" w:cstheme="majorHAnsi"/>
                <w:b/>
                <w:bCs/>
                <w:sz w:val="24"/>
                <w:szCs w:val="24"/>
              </w:rPr>
              <w:t>CPC 28</w:t>
            </w:r>
            <w:r w:rsidRPr="00D462F0">
              <w:rPr>
                <w:rFonts w:asciiTheme="majorHAnsi" w:hAnsiTheme="majorHAnsi" w:cstheme="majorHAnsi"/>
                <w:sz w:val="24"/>
                <w:szCs w:val="24"/>
              </w:rPr>
              <w:t xml:space="preserve"> (Propriedade para Investimento), ambos exigíveis às EFPC por força da Resolução CNPC nº 43/2021, e tem como objetivo evitar assimetrias e omissões na apresentação das informações contábeis.</w:t>
            </w:r>
          </w:p>
          <w:p w14:paraId="1A844B1F" w14:textId="77777777" w:rsidR="00EB19CA" w:rsidRPr="00D462F0" w:rsidRDefault="00EB19CA" w:rsidP="00D462F0">
            <w:pPr>
              <w:jc w:val="both"/>
              <w:rPr>
                <w:rFonts w:asciiTheme="majorHAnsi" w:hAnsiTheme="majorHAnsi" w:cstheme="majorHAnsi"/>
                <w:sz w:val="24"/>
                <w:szCs w:val="24"/>
              </w:rPr>
            </w:pPr>
          </w:p>
        </w:tc>
        <w:tc>
          <w:tcPr>
            <w:tcW w:w="4075" w:type="dxa"/>
          </w:tcPr>
          <w:p w14:paraId="60429C75" w14:textId="27B16C4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68EF732C" w14:textId="77777777" w:rsidTr="1756A420">
        <w:tc>
          <w:tcPr>
            <w:tcW w:w="4074" w:type="dxa"/>
          </w:tcPr>
          <w:p w14:paraId="45F5F025"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1E7B4862" w14:textId="77777777" w:rsidR="00EB19CA" w:rsidRPr="00D462F0" w:rsidRDefault="00EB19CA" w:rsidP="00D462F0">
            <w:pPr>
              <w:jc w:val="both"/>
              <w:rPr>
                <w:rFonts w:asciiTheme="majorHAnsi" w:hAnsiTheme="majorHAnsi" w:cstheme="majorHAnsi"/>
                <w:sz w:val="24"/>
                <w:szCs w:val="24"/>
              </w:rPr>
            </w:pPr>
          </w:p>
        </w:tc>
        <w:tc>
          <w:tcPr>
            <w:tcW w:w="4074" w:type="dxa"/>
          </w:tcPr>
          <w:p w14:paraId="7A949710" w14:textId="5C93F80C"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IX - </w:t>
            </w:r>
            <w:proofErr w:type="gramStart"/>
            <w:r w:rsidRPr="00D462F0">
              <w:rPr>
                <w:rFonts w:asciiTheme="majorHAnsi" w:hAnsiTheme="majorHAnsi" w:cstheme="majorHAnsi"/>
                <w:bCs/>
                <w:color w:val="0000FF"/>
                <w:sz w:val="24"/>
                <w:szCs w:val="24"/>
              </w:rPr>
              <w:t>avaliações</w:t>
            </w:r>
            <w:proofErr w:type="gramEnd"/>
            <w:r w:rsidRPr="00D462F0">
              <w:rPr>
                <w:rFonts w:asciiTheme="majorHAnsi" w:hAnsiTheme="majorHAnsi" w:cstheme="majorHAnsi"/>
                <w:bCs/>
                <w:color w:val="0000FF"/>
                <w:sz w:val="24"/>
                <w:szCs w:val="24"/>
              </w:rPr>
              <w:t xml:space="preserve"> e, quando aplicável, reavaliações dos bens imóveis classificados como investimento, indicando, no mínimo, o histórico, a data da avaliação, a identificação dos </w:t>
            </w:r>
            <w:r w:rsidRPr="00D462F0">
              <w:rPr>
                <w:rFonts w:asciiTheme="majorHAnsi" w:hAnsiTheme="majorHAnsi" w:cstheme="majorHAnsi"/>
                <w:bCs/>
                <w:color w:val="0000FF"/>
                <w:sz w:val="24"/>
                <w:szCs w:val="24"/>
              </w:rPr>
              <w:lastRenderedPageBreak/>
              <w:t>avaliadores responsáveis e os respectivos valores, o critério de mensuração adotado (valor justo ou custo) e os efeitos decorrentes no exercício;</w:t>
            </w:r>
          </w:p>
        </w:tc>
        <w:tc>
          <w:tcPr>
            <w:tcW w:w="4074" w:type="dxa"/>
          </w:tcPr>
          <w:p w14:paraId="1494785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Inclusão de inciso decorrente da divisão do inciso V do art. 208 em dois incisos, no art. 208-A, sendo este inciso IX referente a imóveis classificados como investimentos.</w:t>
            </w:r>
          </w:p>
          <w:p w14:paraId="31743B3F" w14:textId="7D6486CE" w:rsidR="00EB19CA" w:rsidRPr="00D462F0" w:rsidRDefault="00EB19CA" w:rsidP="00D462F0">
            <w:pPr>
              <w:jc w:val="both"/>
              <w:rPr>
                <w:rFonts w:asciiTheme="majorHAnsi" w:hAnsiTheme="majorHAnsi" w:cstheme="majorHAnsi"/>
                <w:sz w:val="24"/>
                <w:szCs w:val="24"/>
              </w:rPr>
            </w:pPr>
          </w:p>
        </w:tc>
        <w:tc>
          <w:tcPr>
            <w:tcW w:w="4075" w:type="dxa"/>
          </w:tcPr>
          <w:p w14:paraId="5311B23B" w14:textId="6B3BD45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50FC3BF7" w14:textId="77777777" w:rsidTr="1756A420">
        <w:tc>
          <w:tcPr>
            <w:tcW w:w="4074" w:type="dxa"/>
          </w:tcPr>
          <w:p w14:paraId="452254D9" w14:textId="77777777" w:rsidR="00EB19CA" w:rsidRPr="00D462F0" w:rsidRDefault="00EB19CA" w:rsidP="00D462F0">
            <w:pPr>
              <w:jc w:val="both"/>
              <w:rPr>
                <w:rFonts w:asciiTheme="majorHAnsi" w:hAnsiTheme="majorHAnsi" w:cstheme="majorHAnsi"/>
                <w:sz w:val="24"/>
                <w:szCs w:val="24"/>
              </w:rPr>
            </w:pPr>
          </w:p>
        </w:tc>
        <w:tc>
          <w:tcPr>
            <w:tcW w:w="4074" w:type="dxa"/>
          </w:tcPr>
          <w:p w14:paraId="511DD7F5" w14:textId="714D7D0B"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X - </w:t>
            </w:r>
            <w:proofErr w:type="gramStart"/>
            <w:r w:rsidRPr="00D462F0">
              <w:rPr>
                <w:rFonts w:asciiTheme="majorHAnsi" w:hAnsiTheme="majorHAnsi" w:cstheme="majorHAnsi"/>
                <w:bCs/>
                <w:color w:val="0000FF"/>
                <w:sz w:val="24"/>
                <w:szCs w:val="24"/>
              </w:rPr>
              <w:t>premissas</w:t>
            </w:r>
            <w:proofErr w:type="gramEnd"/>
            <w:r w:rsidRPr="00D462F0">
              <w:rPr>
                <w:rFonts w:asciiTheme="majorHAnsi" w:hAnsiTheme="majorHAnsi" w:cstheme="majorHAnsi"/>
                <w:bCs/>
                <w:color w:val="0000FF"/>
                <w:sz w:val="24"/>
                <w:szCs w:val="24"/>
              </w:rPr>
              <w:t xml:space="preserve"> utilizadas para avaliação de imóveis constantes do laudo de avaliação, bem como as justificativas para a escolha do preço do ativo nos casos em que mais de uma opção seja apresentada pelo avaliador;</w:t>
            </w:r>
          </w:p>
        </w:tc>
        <w:tc>
          <w:tcPr>
            <w:tcW w:w="4074" w:type="dxa"/>
          </w:tcPr>
          <w:p w14:paraId="44C309CE"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XVII do art. 208 foi realocado para inciso X do art. 208-A.</w:t>
            </w:r>
          </w:p>
          <w:p w14:paraId="00F2A4A7" w14:textId="77777777" w:rsidR="00EB19CA" w:rsidRPr="00D462F0" w:rsidRDefault="00EB19CA" w:rsidP="00D462F0">
            <w:pPr>
              <w:jc w:val="both"/>
              <w:rPr>
                <w:rFonts w:asciiTheme="majorHAnsi" w:hAnsiTheme="majorHAnsi" w:cstheme="majorHAnsi"/>
                <w:sz w:val="24"/>
                <w:szCs w:val="24"/>
              </w:rPr>
            </w:pPr>
          </w:p>
        </w:tc>
        <w:tc>
          <w:tcPr>
            <w:tcW w:w="4075" w:type="dxa"/>
          </w:tcPr>
          <w:p w14:paraId="77A35B8E" w14:textId="095BF29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EEE4F7C" w14:textId="77777777" w:rsidTr="1756A420">
        <w:tc>
          <w:tcPr>
            <w:tcW w:w="4074" w:type="dxa"/>
          </w:tcPr>
          <w:p w14:paraId="77954EF7" w14:textId="77777777" w:rsidR="00EB19CA" w:rsidRPr="00D462F0" w:rsidRDefault="00EB19CA" w:rsidP="00D462F0">
            <w:pPr>
              <w:jc w:val="both"/>
              <w:rPr>
                <w:rFonts w:asciiTheme="majorHAnsi" w:hAnsiTheme="majorHAnsi" w:cstheme="majorHAnsi"/>
                <w:sz w:val="24"/>
                <w:szCs w:val="24"/>
              </w:rPr>
            </w:pPr>
          </w:p>
        </w:tc>
        <w:tc>
          <w:tcPr>
            <w:tcW w:w="4074" w:type="dxa"/>
          </w:tcPr>
          <w:p w14:paraId="36034A93" w14:textId="27763AA9"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XI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tc>
        <w:tc>
          <w:tcPr>
            <w:tcW w:w="4074" w:type="dxa"/>
          </w:tcPr>
          <w:p w14:paraId="7DB53AE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XIV do art. 208 foi realocado para inciso XI do art. 208-A.</w:t>
            </w:r>
          </w:p>
          <w:p w14:paraId="3750B229" w14:textId="77777777" w:rsidR="00EB19CA" w:rsidRPr="00D462F0" w:rsidRDefault="00EB19CA" w:rsidP="00D462F0">
            <w:pPr>
              <w:jc w:val="both"/>
              <w:rPr>
                <w:rFonts w:asciiTheme="majorHAnsi" w:hAnsiTheme="majorHAnsi" w:cstheme="majorHAnsi"/>
                <w:sz w:val="24"/>
                <w:szCs w:val="24"/>
              </w:rPr>
            </w:pPr>
          </w:p>
        </w:tc>
        <w:tc>
          <w:tcPr>
            <w:tcW w:w="4075" w:type="dxa"/>
          </w:tcPr>
          <w:p w14:paraId="2DCF90AF" w14:textId="2CA0F9F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2DA5107" w14:textId="77777777" w:rsidTr="1756A420">
        <w:tc>
          <w:tcPr>
            <w:tcW w:w="4074" w:type="dxa"/>
          </w:tcPr>
          <w:p w14:paraId="676C0D94" w14:textId="77777777" w:rsidR="00EB19CA" w:rsidRPr="00D462F0" w:rsidRDefault="00EB19CA" w:rsidP="00D462F0">
            <w:pPr>
              <w:jc w:val="both"/>
              <w:rPr>
                <w:rFonts w:asciiTheme="majorHAnsi" w:hAnsiTheme="majorHAnsi" w:cstheme="majorHAnsi"/>
                <w:sz w:val="24"/>
                <w:szCs w:val="24"/>
              </w:rPr>
            </w:pPr>
          </w:p>
        </w:tc>
        <w:tc>
          <w:tcPr>
            <w:tcW w:w="4074" w:type="dxa"/>
          </w:tcPr>
          <w:p w14:paraId="3751D62F" w14:textId="36A28153"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XII - operações entre partes relacionadas com, no mínimo, condições pactuadas e os montantes dos saldos existentes das transações, bem como a provisão para créditos de liquidação duvidosa relacionada com o montante dos saldos existentes;</w:t>
            </w:r>
          </w:p>
        </w:tc>
        <w:tc>
          <w:tcPr>
            <w:tcW w:w="4074" w:type="dxa"/>
          </w:tcPr>
          <w:p w14:paraId="51B50D2F"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XXVI do art. 208 foi realocado para inciso XII do art. 208-A.</w:t>
            </w:r>
          </w:p>
          <w:p w14:paraId="5992A6BC" w14:textId="13983850" w:rsidR="00EB19CA" w:rsidRPr="00D462F0" w:rsidRDefault="00EB19CA" w:rsidP="00D462F0">
            <w:pPr>
              <w:jc w:val="both"/>
              <w:rPr>
                <w:rFonts w:asciiTheme="majorHAnsi" w:hAnsiTheme="majorHAnsi" w:cstheme="majorHAnsi"/>
                <w:sz w:val="24"/>
                <w:szCs w:val="24"/>
              </w:rPr>
            </w:pPr>
          </w:p>
        </w:tc>
        <w:tc>
          <w:tcPr>
            <w:tcW w:w="4075" w:type="dxa"/>
          </w:tcPr>
          <w:p w14:paraId="6A135615" w14:textId="283466F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7044EEE" w14:textId="77777777" w:rsidTr="1756A420">
        <w:tc>
          <w:tcPr>
            <w:tcW w:w="4074" w:type="dxa"/>
          </w:tcPr>
          <w:p w14:paraId="0C633484" w14:textId="77777777" w:rsidR="00EB19CA" w:rsidRPr="00D462F0" w:rsidRDefault="00EB19CA" w:rsidP="00D462F0">
            <w:pPr>
              <w:jc w:val="both"/>
              <w:rPr>
                <w:rFonts w:asciiTheme="majorHAnsi" w:hAnsiTheme="majorHAnsi" w:cstheme="majorHAnsi"/>
                <w:sz w:val="24"/>
                <w:szCs w:val="24"/>
              </w:rPr>
            </w:pPr>
          </w:p>
        </w:tc>
        <w:tc>
          <w:tcPr>
            <w:tcW w:w="4074" w:type="dxa"/>
          </w:tcPr>
          <w:p w14:paraId="54E25D8F" w14:textId="7D5F6C25"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XIII - operações entre partes relacionadas com, no mínimo, condições pactuadas com seus prazos e condições, incluindo eventuais garantias dadas ou recebidas, os montantes dos saldos existentes das transações, bem como a provisão para créditos de liquidação duvidosa </w:t>
            </w:r>
            <w:r w:rsidRPr="00D462F0">
              <w:rPr>
                <w:rFonts w:asciiTheme="majorHAnsi" w:hAnsiTheme="majorHAnsi" w:cstheme="majorHAnsi"/>
                <w:bCs/>
                <w:color w:val="0000FF"/>
                <w:sz w:val="24"/>
                <w:szCs w:val="24"/>
              </w:rPr>
              <w:lastRenderedPageBreak/>
              <w:t>relacionada com o montante dos saldos existentes;</w:t>
            </w:r>
          </w:p>
        </w:tc>
        <w:tc>
          <w:tcPr>
            <w:tcW w:w="4074" w:type="dxa"/>
          </w:tcPr>
          <w:p w14:paraId="50C4B3C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Devido a reorganização do ordenamento do conteúdo mínimo das notas explicativas, o inciso XXVI do art. 208 foi realocado para inciso XIII do art. 208-A.</w:t>
            </w:r>
          </w:p>
          <w:p w14:paraId="2532190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texto para melhor detalhamento de informações sobre partes relacionadas.</w:t>
            </w:r>
          </w:p>
          <w:p w14:paraId="0B2C0ADD" w14:textId="77777777" w:rsidR="00EB19CA" w:rsidRPr="00D462F0" w:rsidRDefault="00EB19CA" w:rsidP="00D462F0">
            <w:pPr>
              <w:jc w:val="both"/>
              <w:rPr>
                <w:rFonts w:asciiTheme="majorHAnsi" w:hAnsiTheme="majorHAnsi" w:cstheme="majorHAnsi"/>
                <w:sz w:val="24"/>
                <w:szCs w:val="24"/>
              </w:rPr>
            </w:pPr>
          </w:p>
        </w:tc>
        <w:tc>
          <w:tcPr>
            <w:tcW w:w="4075" w:type="dxa"/>
          </w:tcPr>
          <w:p w14:paraId="33A97543" w14:textId="0DF7412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B5BC962" w14:textId="77777777" w:rsidTr="1756A420">
        <w:tc>
          <w:tcPr>
            <w:tcW w:w="4074" w:type="dxa"/>
          </w:tcPr>
          <w:p w14:paraId="4B54ADCB" w14:textId="77777777" w:rsidR="00EB19CA" w:rsidRPr="00D462F0" w:rsidRDefault="00EB19CA" w:rsidP="00D462F0">
            <w:pPr>
              <w:jc w:val="both"/>
              <w:rPr>
                <w:rFonts w:asciiTheme="majorHAnsi" w:hAnsiTheme="majorHAnsi" w:cstheme="majorHAnsi"/>
                <w:sz w:val="24"/>
                <w:szCs w:val="24"/>
              </w:rPr>
            </w:pPr>
          </w:p>
        </w:tc>
        <w:tc>
          <w:tcPr>
            <w:tcW w:w="4074" w:type="dxa"/>
          </w:tcPr>
          <w:p w14:paraId="0A9C1A78" w14:textId="618AD7DF"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XIV - critérios de avaliação e de amortização das aplicações de recursos existentes no ativo intangível;</w:t>
            </w:r>
          </w:p>
        </w:tc>
        <w:tc>
          <w:tcPr>
            <w:tcW w:w="4074" w:type="dxa"/>
          </w:tcPr>
          <w:p w14:paraId="21B01947" w14:textId="26885F0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IV do art. 208 foi realocado para inciso XIV do art. 208-A.</w:t>
            </w:r>
          </w:p>
        </w:tc>
        <w:tc>
          <w:tcPr>
            <w:tcW w:w="4075" w:type="dxa"/>
          </w:tcPr>
          <w:p w14:paraId="7BC68EA8" w14:textId="58B2614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6ADA0965" w14:textId="77777777" w:rsidTr="1756A420">
        <w:tc>
          <w:tcPr>
            <w:tcW w:w="4074" w:type="dxa"/>
          </w:tcPr>
          <w:p w14:paraId="5B495BF0" w14:textId="77777777" w:rsidR="00EB19CA" w:rsidRPr="00D462F0" w:rsidRDefault="00EB19CA" w:rsidP="00D462F0">
            <w:pPr>
              <w:jc w:val="both"/>
              <w:rPr>
                <w:rFonts w:asciiTheme="majorHAnsi" w:hAnsiTheme="majorHAnsi" w:cstheme="majorHAnsi"/>
                <w:sz w:val="24"/>
                <w:szCs w:val="24"/>
              </w:rPr>
            </w:pPr>
          </w:p>
        </w:tc>
        <w:tc>
          <w:tcPr>
            <w:tcW w:w="4074" w:type="dxa"/>
          </w:tcPr>
          <w:p w14:paraId="4E4B343D"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XV - </w:t>
            </w:r>
            <w:proofErr w:type="gramStart"/>
            <w:r w:rsidRPr="00D462F0">
              <w:rPr>
                <w:rFonts w:asciiTheme="majorHAnsi" w:hAnsiTheme="majorHAnsi" w:cstheme="majorHAnsi"/>
                <w:bCs/>
                <w:color w:val="0000FF"/>
                <w:sz w:val="24"/>
                <w:szCs w:val="24"/>
              </w:rPr>
              <w:t>descrição</w:t>
            </w:r>
            <w:proofErr w:type="gramEnd"/>
            <w:r w:rsidRPr="00D462F0">
              <w:rPr>
                <w:rFonts w:asciiTheme="majorHAnsi" w:hAnsiTheme="majorHAnsi" w:cstheme="majorHAnsi"/>
                <w:bCs/>
                <w:color w:val="0000FF"/>
                <w:sz w:val="24"/>
                <w:szCs w:val="24"/>
              </w:rPr>
              <w:t xml:space="preserve"> das contingências passivas relevantes, cujas chances de perda sejam prováveis ou possíveis;</w:t>
            </w:r>
          </w:p>
          <w:p w14:paraId="2858EDE4"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361FF8A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II do art. 208 foi realocado para inciso XV XIV do art. 208-A.</w:t>
            </w:r>
          </w:p>
          <w:p w14:paraId="76AB0649" w14:textId="77777777" w:rsidR="00EB19CA" w:rsidRPr="00D462F0" w:rsidRDefault="00EB19CA" w:rsidP="00D462F0">
            <w:pPr>
              <w:jc w:val="both"/>
              <w:rPr>
                <w:rFonts w:asciiTheme="majorHAnsi" w:hAnsiTheme="majorHAnsi" w:cstheme="majorHAnsi"/>
                <w:sz w:val="24"/>
                <w:szCs w:val="24"/>
              </w:rPr>
            </w:pPr>
          </w:p>
        </w:tc>
        <w:tc>
          <w:tcPr>
            <w:tcW w:w="4075" w:type="dxa"/>
          </w:tcPr>
          <w:p w14:paraId="1A1D2325" w14:textId="0392049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8EBC7A5" w14:textId="77777777" w:rsidTr="1756A420">
        <w:tc>
          <w:tcPr>
            <w:tcW w:w="4074" w:type="dxa"/>
          </w:tcPr>
          <w:p w14:paraId="49A7686B" w14:textId="77777777" w:rsidR="00EB19CA" w:rsidRPr="00D462F0" w:rsidRDefault="00EB19CA" w:rsidP="00D462F0">
            <w:pPr>
              <w:jc w:val="both"/>
              <w:rPr>
                <w:rFonts w:asciiTheme="majorHAnsi" w:hAnsiTheme="majorHAnsi" w:cstheme="majorHAnsi"/>
                <w:sz w:val="24"/>
                <w:szCs w:val="24"/>
              </w:rPr>
            </w:pPr>
          </w:p>
        </w:tc>
        <w:tc>
          <w:tcPr>
            <w:tcW w:w="4074" w:type="dxa"/>
          </w:tcPr>
          <w:p w14:paraId="365DAD1C" w14:textId="13C7E9DB"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XVI - detalhamentos e justificativas das provisões reconhecidas no período, bem como dos passivos contingentes, cujas perdas sejam classificadas como prováveis ou possíveis, nos termos das normas contábeis aplicáveis;</w:t>
            </w:r>
          </w:p>
        </w:tc>
        <w:tc>
          <w:tcPr>
            <w:tcW w:w="4074" w:type="dxa"/>
          </w:tcPr>
          <w:p w14:paraId="776342D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novo inciso.</w:t>
            </w:r>
          </w:p>
          <w:p w14:paraId="7429874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do inciso proposto visa aprimorar o conteúdo das notas explicativas exigidas das EFPC no que se refere à divulgação de provisões reconhecidas no período e de passivos contingentes classificados como de perda provável ou possível, conforme definido pelas normas contábeis aplicáveis.</w:t>
            </w:r>
            <w:r w:rsidRPr="00D462F0">
              <w:rPr>
                <w:rFonts w:asciiTheme="majorHAnsi" w:hAnsiTheme="majorHAnsi" w:cstheme="majorHAnsi"/>
                <w:sz w:val="24"/>
                <w:szCs w:val="24"/>
              </w:rPr>
              <w:br/>
              <w:t>O objetivo é assegurar maior transparência e clareza na apresentação dessas informações, permitindo que os usuários das demonstrações contábeis — como participantes, assistidos, órgãos de fiscalização e auditorias — compreendam de forma adequada quais obrigações foram efetivamente reconhecidas no período, bem como quais passivos contingentes relevantes, ainda não reconhecidos contabilmente, apresentam probabilidade de perda provável ou possível, por exemplo.</w:t>
            </w:r>
            <w:r w:rsidRPr="00D462F0">
              <w:rPr>
                <w:rFonts w:asciiTheme="majorHAnsi" w:hAnsiTheme="majorHAnsi" w:cstheme="majorHAnsi"/>
                <w:sz w:val="24"/>
                <w:szCs w:val="24"/>
              </w:rPr>
              <w:br/>
              <w:t xml:space="preserve">Essa melhoria contribui para o </w:t>
            </w:r>
            <w:r w:rsidRPr="00D462F0">
              <w:rPr>
                <w:rFonts w:asciiTheme="majorHAnsi" w:hAnsiTheme="majorHAnsi" w:cstheme="majorHAnsi"/>
                <w:sz w:val="24"/>
                <w:szCs w:val="24"/>
              </w:rPr>
              <w:lastRenderedPageBreak/>
              <w:t>alinhamento às boas práticas contábeis e regulatórias, reforçando a fidedignidade e utilidade das demonstrações financeiras.</w:t>
            </w:r>
          </w:p>
          <w:p w14:paraId="790DA8C2" w14:textId="54CA68F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Do ponto de vista contábil, essa distinção é fundamental para assegurar a fidedignidade das demonstrações financeiras, permitindo que os usuários (como participantes, assistidos, órgãos de fiscalização e auditorias) compreendam:</w:t>
            </w:r>
          </w:p>
          <w:p w14:paraId="1C102014" w14:textId="77777777" w:rsidR="00EB19CA" w:rsidRPr="00D462F0" w:rsidRDefault="00EB19CA" w:rsidP="00D462F0">
            <w:pPr>
              <w:tabs>
                <w:tab w:val="num" w:pos="720"/>
              </w:tabs>
              <w:jc w:val="both"/>
              <w:rPr>
                <w:rFonts w:asciiTheme="majorHAnsi" w:hAnsiTheme="majorHAnsi" w:cstheme="majorHAnsi"/>
                <w:sz w:val="24"/>
                <w:szCs w:val="24"/>
              </w:rPr>
            </w:pPr>
            <w:r w:rsidRPr="00D462F0">
              <w:rPr>
                <w:rFonts w:asciiTheme="majorHAnsi" w:hAnsiTheme="majorHAnsi" w:cstheme="majorHAnsi"/>
                <w:sz w:val="24"/>
                <w:szCs w:val="24"/>
              </w:rPr>
              <w:t>Quais são as obrigações efetivas já reconhecidas e com impacto patrimonial;</w:t>
            </w:r>
          </w:p>
          <w:p w14:paraId="42C6D5A7" w14:textId="31AB4DA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Quais são riscos potenciais ainda não registrados contabilmente, mas que merecem monitoramento.</w:t>
            </w:r>
          </w:p>
        </w:tc>
        <w:tc>
          <w:tcPr>
            <w:tcW w:w="4075" w:type="dxa"/>
          </w:tcPr>
          <w:p w14:paraId="60FF3046" w14:textId="13CE9D7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4353F5A6" w14:textId="77777777" w:rsidTr="1756A420">
        <w:tc>
          <w:tcPr>
            <w:tcW w:w="4074" w:type="dxa"/>
          </w:tcPr>
          <w:p w14:paraId="3A02063E" w14:textId="77777777" w:rsidR="00EB19CA" w:rsidRPr="00D462F0" w:rsidRDefault="00EB19CA" w:rsidP="00D462F0">
            <w:pPr>
              <w:jc w:val="both"/>
              <w:rPr>
                <w:rFonts w:asciiTheme="majorHAnsi" w:hAnsiTheme="majorHAnsi" w:cstheme="majorHAnsi"/>
                <w:sz w:val="24"/>
                <w:szCs w:val="24"/>
              </w:rPr>
            </w:pPr>
          </w:p>
        </w:tc>
        <w:tc>
          <w:tcPr>
            <w:tcW w:w="4074" w:type="dxa"/>
          </w:tcPr>
          <w:p w14:paraId="7AB642ED" w14:textId="49560AAD"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XVII - critérios, natureza e percentual utilizados para a constituição de provisões;</w:t>
            </w:r>
          </w:p>
        </w:tc>
        <w:tc>
          <w:tcPr>
            <w:tcW w:w="4074" w:type="dxa"/>
          </w:tcPr>
          <w:p w14:paraId="04E46E2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III do art. 208 foi realocado para inciso XVII do art. 208-A.</w:t>
            </w:r>
          </w:p>
          <w:p w14:paraId="3D326619" w14:textId="77777777" w:rsidR="00EB19CA" w:rsidRPr="00D462F0" w:rsidRDefault="00EB19CA" w:rsidP="00D462F0">
            <w:pPr>
              <w:jc w:val="both"/>
              <w:rPr>
                <w:rFonts w:asciiTheme="majorHAnsi" w:hAnsiTheme="majorHAnsi" w:cstheme="majorHAnsi"/>
                <w:sz w:val="24"/>
                <w:szCs w:val="24"/>
              </w:rPr>
            </w:pPr>
          </w:p>
        </w:tc>
        <w:tc>
          <w:tcPr>
            <w:tcW w:w="4075" w:type="dxa"/>
          </w:tcPr>
          <w:p w14:paraId="5183AB6A" w14:textId="4A62D02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AC71E8F" w14:textId="77777777" w:rsidTr="1756A420">
        <w:tc>
          <w:tcPr>
            <w:tcW w:w="4074" w:type="dxa"/>
          </w:tcPr>
          <w:p w14:paraId="0703A99D" w14:textId="77777777" w:rsidR="00EB19CA" w:rsidRPr="00D462F0" w:rsidRDefault="00EB19CA" w:rsidP="00D462F0">
            <w:pPr>
              <w:jc w:val="both"/>
              <w:rPr>
                <w:rFonts w:asciiTheme="majorHAnsi" w:hAnsiTheme="majorHAnsi" w:cstheme="majorHAnsi"/>
                <w:sz w:val="24"/>
                <w:szCs w:val="24"/>
              </w:rPr>
            </w:pPr>
          </w:p>
        </w:tc>
        <w:tc>
          <w:tcPr>
            <w:tcW w:w="4074" w:type="dxa"/>
          </w:tcPr>
          <w:p w14:paraId="328EAA60" w14:textId="4BD8E114"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XVIII - critérios e prazos utilizados para a destinação de superávit técnico, caso aplicável;</w:t>
            </w:r>
          </w:p>
        </w:tc>
        <w:tc>
          <w:tcPr>
            <w:tcW w:w="4074" w:type="dxa"/>
          </w:tcPr>
          <w:p w14:paraId="262B0383" w14:textId="5A3FA5D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XX do art. 208 foi realocado para inciso XVIII do art. 208-A.</w:t>
            </w:r>
          </w:p>
        </w:tc>
        <w:tc>
          <w:tcPr>
            <w:tcW w:w="4075" w:type="dxa"/>
          </w:tcPr>
          <w:p w14:paraId="5B327BE0" w14:textId="56CA005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2E7CC693" w14:textId="77777777" w:rsidTr="1756A420">
        <w:tc>
          <w:tcPr>
            <w:tcW w:w="4074" w:type="dxa"/>
          </w:tcPr>
          <w:p w14:paraId="03EC3A28" w14:textId="77777777" w:rsidR="00EB19CA" w:rsidRPr="00D462F0" w:rsidRDefault="00EB19CA" w:rsidP="00D462F0">
            <w:pPr>
              <w:jc w:val="both"/>
              <w:rPr>
                <w:rFonts w:asciiTheme="majorHAnsi" w:hAnsiTheme="majorHAnsi" w:cstheme="majorHAnsi"/>
                <w:sz w:val="24"/>
                <w:szCs w:val="24"/>
              </w:rPr>
            </w:pPr>
          </w:p>
        </w:tc>
        <w:tc>
          <w:tcPr>
            <w:tcW w:w="4074" w:type="dxa"/>
          </w:tcPr>
          <w:p w14:paraId="1E7B341D" w14:textId="77777777" w:rsidR="00EB19CA" w:rsidRPr="00D462F0" w:rsidRDefault="00EB19CA" w:rsidP="00D462F0">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XIX - objetivos e critérios utilizados para constituição e reversão de fundos;</w:t>
            </w:r>
          </w:p>
          <w:p w14:paraId="187FBAB8"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778B0CB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XI do art. 208 foi realocado para inciso XIX do art. 208-A.</w:t>
            </w:r>
          </w:p>
          <w:p w14:paraId="772AE26F" w14:textId="77777777" w:rsidR="00EB19CA" w:rsidRPr="00D462F0" w:rsidRDefault="00EB19CA" w:rsidP="00D462F0">
            <w:pPr>
              <w:jc w:val="both"/>
              <w:rPr>
                <w:rFonts w:asciiTheme="majorHAnsi" w:hAnsiTheme="majorHAnsi" w:cstheme="majorHAnsi"/>
                <w:sz w:val="24"/>
                <w:szCs w:val="24"/>
              </w:rPr>
            </w:pPr>
          </w:p>
        </w:tc>
        <w:tc>
          <w:tcPr>
            <w:tcW w:w="4075" w:type="dxa"/>
          </w:tcPr>
          <w:p w14:paraId="433DA201" w14:textId="2C73633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1E56D67" w14:textId="77777777" w:rsidTr="1756A420">
        <w:tc>
          <w:tcPr>
            <w:tcW w:w="4074" w:type="dxa"/>
          </w:tcPr>
          <w:p w14:paraId="03DAB073" w14:textId="77777777" w:rsidR="00EB19CA" w:rsidRPr="00D462F0" w:rsidRDefault="00EB19CA" w:rsidP="00D462F0">
            <w:pPr>
              <w:jc w:val="both"/>
              <w:rPr>
                <w:rFonts w:asciiTheme="majorHAnsi" w:hAnsiTheme="majorHAnsi" w:cstheme="majorHAnsi"/>
                <w:sz w:val="24"/>
                <w:szCs w:val="24"/>
              </w:rPr>
            </w:pPr>
          </w:p>
        </w:tc>
        <w:tc>
          <w:tcPr>
            <w:tcW w:w="4074" w:type="dxa"/>
          </w:tcPr>
          <w:p w14:paraId="77AFE458" w14:textId="61B2A26D"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XX - </w:t>
            </w:r>
            <w:proofErr w:type="gramStart"/>
            <w:r w:rsidRPr="00D462F0">
              <w:rPr>
                <w:rFonts w:asciiTheme="majorHAnsi" w:hAnsiTheme="majorHAnsi" w:cstheme="majorHAnsi"/>
                <w:bCs/>
                <w:color w:val="0000FF"/>
                <w:sz w:val="24"/>
                <w:szCs w:val="24"/>
              </w:rPr>
              <w:t>utilização</w:t>
            </w:r>
            <w:proofErr w:type="gramEnd"/>
            <w:r w:rsidRPr="00D462F0">
              <w:rPr>
                <w:rFonts w:asciiTheme="majorHAnsi" w:hAnsiTheme="majorHAnsi" w:cstheme="majorHAnsi"/>
                <w:bCs/>
                <w:color w:val="0000FF"/>
                <w:sz w:val="24"/>
                <w:szCs w:val="24"/>
              </w:rPr>
              <w:t xml:space="preserve"> de recursos de fundo previdencial para cobertura parcial ou total das contribuições para o plano de benefícios;</w:t>
            </w:r>
          </w:p>
        </w:tc>
        <w:tc>
          <w:tcPr>
            <w:tcW w:w="4074" w:type="dxa"/>
          </w:tcPr>
          <w:p w14:paraId="1D0E213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Devido a reorganização do ordenamento do conteúdo mínimo das notas explicativas, o inciso XXIII do art. </w:t>
            </w:r>
            <w:r w:rsidRPr="00D462F0">
              <w:rPr>
                <w:rFonts w:asciiTheme="majorHAnsi" w:hAnsiTheme="majorHAnsi" w:cstheme="majorHAnsi"/>
                <w:sz w:val="24"/>
                <w:szCs w:val="24"/>
              </w:rPr>
              <w:lastRenderedPageBreak/>
              <w:t>208 foi realocado para inciso XX do art. 208-A.</w:t>
            </w:r>
          </w:p>
          <w:p w14:paraId="31D8097E" w14:textId="77777777" w:rsidR="00EB19CA" w:rsidRPr="00D462F0" w:rsidRDefault="00EB19CA" w:rsidP="00D462F0">
            <w:pPr>
              <w:jc w:val="both"/>
              <w:rPr>
                <w:rFonts w:asciiTheme="majorHAnsi" w:hAnsiTheme="majorHAnsi" w:cstheme="majorHAnsi"/>
                <w:sz w:val="24"/>
                <w:szCs w:val="24"/>
              </w:rPr>
            </w:pPr>
          </w:p>
        </w:tc>
        <w:tc>
          <w:tcPr>
            <w:tcW w:w="4075" w:type="dxa"/>
          </w:tcPr>
          <w:p w14:paraId="47F0F4A0" w14:textId="421C165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Idem art. 208-A</w:t>
            </w:r>
          </w:p>
        </w:tc>
      </w:tr>
      <w:tr w:rsidR="00EB19CA" w:rsidRPr="00C93770" w14:paraId="41E58B4C" w14:textId="77777777" w:rsidTr="1756A420">
        <w:tc>
          <w:tcPr>
            <w:tcW w:w="4074" w:type="dxa"/>
          </w:tcPr>
          <w:p w14:paraId="59A2C2A3" w14:textId="77777777" w:rsidR="00EB19CA" w:rsidRPr="00D462F0" w:rsidRDefault="00EB19CA" w:rsidP="00D462F0">
            <w:pPr>
              <w:jc w:val="both"/>
              <w:rPr>
                <w:rFonts w:asciiTheme="majorHAnsi" w:hAnsiTheme="majorHAnsi" w:cstheme="majorHAnsi"/>
                <w:sz w:val="24"/>
                <w:szCs w:val="24"/>
              </w:rPr>
            </w:pPr>
          </w:p>
        </w:tc>
        <w:tc>
          <w:tcPr>
            <w:tcW w:w="4074" w:type="dxa"/>
          </w:tcPr>
          <w:p w14:paraId="5411C63A" w14:textId="6E91D941" w:rsidR="00EB19CA" w:rsidRPr="00D462F0" w:rsidRDefault="00EB19CA" w:rsidP="004E06F1">
            <w:pPr>
              <w:spacing w:after="160"/>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XXI - composição das contribuições em atraso e contratadas, por patrocinador e por plano de benefícios, comparativos com o exercício anterior;</w:t>
            </w:r>
          </w:p>
        </w:tc>
        <w:tc>
          <w:tcPr>
            <w:tcW w:w="4074" w:type="dxa"/>
          </w:tcPr>
          <w:p w14:paraId="7BA23B10"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VIII do art. 208 foi realocado para inciso XXI do art. 208-A.</w:t>
            </w:r>
          </w:p>
          <w:p w14:paraId="48EE75D6" w14:textId="77777777" w:rsidR="00EB19CA" w:rsidRPr="00D462F0" w:rsidRDefault="00EB19CA" w:rsidP="00D462F0">
            <w:pPr>
              <w:jc w:val="both"/>
              <w:rPr>
                <w:rFonts w:asciiTheme="majorHAnsi" w:hAnsiTheme="majorHAnsi" w:cstheme="majorHAnsi"/>
                <w:sz w:val="24"/>
                <w:szCs w:val="24"/>
              </w:rPr>
            </w:pPr>
          </w:p>
        </w:tc>
        <w:tc>
          <w:tcPr>
            <w:tcW w:w="4075" w:type="dxa"/>
          </w:tcPr>
          <w:p w14:paraId="7F2B799D" w14:textId="19C0C31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2CD02D8B" w14:textId="77777777" w:rsidTr="1756A420">
        <w:tc>
          <w:tcPr>
            <w:tcW w:w="4074" w:type="dxa"/>
          </w:tcPr>
          <w:p w14:paraId="1E1DC7D7" w14:textId="77777777" w:rsidR="00EB19CA" w:rsidRPr="00D462F0" w:rsidRDefault="00EB19CA" w:rsidP="00D462F0">
            <w:pPr>
              <w:jc w:val="both"/>
              <w:rPr>
                <w:rFonts w:asciiTheme="majorHAnsi" w:hAnsiTheme="majorHAnsi" w:cstheme="majorHAnsi"/>
                <w:sz w:val="24"/>
                <w:szCs w:val="24"/>
              </w:rPr>
            </w:pPr>
          </w:p>
        </w:tc>
        <w:tc>
          <w:tcPr>
            <w:tcW w:w="4074" w:type="dxa"/>
          </w:tcPr>
          <w:p w14:paraId="778845CA" w14:textId="1309CB09"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XXII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tc>
        <w:tc>
          <w:tcPr>
            <w:tcW w:w="4074" w:type="dxa"/>
          </w:tcPr>
          <w:p w14:paraId="79BEE52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XIX do art. 208 foi realocado para inciso XXII do art. 208-A.</w:t>
            </w:r>
          </w:p>
          <w:p w14:paraId="41EA498C" w14:textId="77777777" w:rsidR="00EB19CA" w:rsidRPr="00D462F0" w:rsidRDefault="00EB19CA" w:rsidP="00D462F0">
            <w:pPr>
              <w:jc w:val="both"/>
              <w:rPr>
                <w:rFonts w:asciiTheme="majorHAnsi" w:hAnsiTheme="majorHAnsi" w:cstheme="majorHAnsi"/>
                <w:sz w:val="24"/>
                <w:szCs w:val="24"/>
              </w:rPr>
            </w:pPr>
          </w:p>
        </w:tc>
        <w:tc>
          <w:tcPr>
            <w:tcW w:w="4075" w:type="dxa"/>
          </w:tcPr>
          <w:p w14:paraId="541460BE" w14:textId="2B69A43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5A4EC93E" w14:textId="77777777" w:rsidTr="1756A420">
        <w:tc>
          <w:tcPr>
            <w:tcW w:w="4074" w:type="dxa"/>
          </w:tcPr>
          <w:p w14:paraId="49700324" w14:textId="77777777" w:rsidR="00EB19CA" w:rsidRPr="00D462F0" w:rsidRDefault="00EB19CA" w:rsidP="00D462F0">
            <w:pPr>
              <w:jc w:val="both"/>
              <w:rPr>
                <w:rFonts w:asciiTheme="majorHAnsi" w:hAnsiTheme="majorHAnsi" w:cstheme="majorHAnsi"/>
                <w:sz w:val="24"/>
                <w:szCs w:val="24"/>
              </w:rPr>
            </w:pPr>
          </w:p>
        </w:tc>
        <w:tc>
          <w:tcPr>
            <w:tcW w:w="4074" w:type="dxa"/>
          </w:tcPr>
          <w:p w14:paraId="69354727" w14:textId="0ECDC1DA"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XXIII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tc>
        <w:tc>
          <w:tcPr>
            <w:tcW w:w="4074" w:type="dxa"/>
          </w:tcPr>
          <w:p w14:paraId="069282F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VII do art. 208 foi realocado para inciso XXIII do art. 208-A.</w:t>
            </w:r>
          </w:p>
          <w:p w14:paraId="3BF7A385" w14:textId="77777777" w:rsidR="00EB19CA" w:rsidRPr="00D462F0" w:rsidRDefault="00EB19CA" w:rsidP="00D462F0">
            <w:pPr>
              <w:jc w:val="both"/>
              <w:rPr>
                <w:rFonts w:asciiTheme="majorHAnsi" w:hAnsiTheme="majorHAnsi" w:cstheme="majorHAnsi"/>
                <w:sz w:val="24"/>
                <w:szCs w:val="24"/>
              </w:rPr>
            </w:pPr>
          </w:p>
        </w:tc>
        <w:tc>
          <w:tcPr>
            <w:tcW w:w="4075" w:type="dxa"/>
          </w:tcPr>
          <w:p w14:paraId="264904ED" w14:textId="3DB61A9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2D4A3F1F" w14:textId="77777777" w:rsidTr="1756A420">
        <w:tc>
          <w:tcPr>
            <w:tcW w:w="4074" w:type="dxa"/>
          </w:tcPr>
          <w:p w14:paraId="1B8B44DD" w14:textId="77777777" w:rsidR="00EB19CA" w:rsidRPr="00D462F0" w:rsidRDefault="00EB19CA" w:rsidP="00D462F0">
            <w:pPr>
              <w:jc w:val="both"/>
              <w:rPr>
                <w:rFonts w:asciiTheme="majorHAnsi" w:hAnsiTheme="majorHAnsi" w:cstheme="majorHAnsi"/>
                <w:sz w:val="24"/>
                <w:szCs w:val="24"/>
              </w:rPr>
            </w:pPr>
          </w:p>
        </w:tc>
        <w:tc>
          <w:tcPr>
            <w:tcW w:w="4074" w:type="dxa"/>
          </w:tcPr>
          <w:p w14:paraId="48DD96FF" w14:textId="0E27C252"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XXIV - critérios utilizados para o rateio das despesas administrativas entre os planos de benefícios, se for o caso;</w:t>
            </w:r>
          </w:p>
        </w:tc>
        <w:tc>
          <w:tcPr>
            <w:tcW w:w="4074" w:type="dxa"/>
          </w:tcPr>
          <w:p w14:paraId="77F67DC3" w14:textId="265669A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 do art. 208 foi realocado para inciso XXIV do art. 208-A.</w:t>
            </w:r>
          </w:p>
        </w:tc>
        <w:tc>
          <w:tcPr>
            <w:tcW w:w="4075" w:type="dxa"/>
          </w:tcPr>
          <w:p w14:paraId="4643ACD5" w14:textId="5C1F14E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73E02477" w14:textId="77777777" w:rsidTr="1756A420">
        <w:tc>
          <w:tcPr>
            <w:tcW w:w="4074" w:type="dxa"/>
          </w:tcPr>
          <w:p w14:paraId="146456A4" w14:textId="4EC881F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685C84E7" w14:textId="2F721D2A"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XXV - descrição da constituição e reversão do fundo administrativo compartilhado;</w:t>
            </w:r>
          </w:p>
        </w:tc>
        <w:tc>
          <w:tcPr>
            <w:tcW w:w="4074" w:type="dxa"/>
          </w:tcPr>
          <w:p w14:paraId="47D5AB0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a fim de contemplar as informações do fundo administrativo compartilhado atendendo ao disposto no art. 11 da Resolução CNPC nº 62/2024.</w:t>
            </w:r>
          </w:p>
          <w:p w14:paraId="40637C04" w14:textId="77777777" w:rsidR="00EB19CA" w:rsidRPr="00D462F0" w:rsidRDefault="00EB19CA" w:rsidP="00D462F0">
            <w:pPr>
              <w:jc w:val="both"/>
              <w:rPr>
                <w:rFonts w:asciiTheme="majorHAnsi" w:hAnsiTheme="majorHAnsi" w:cstheme="majorHAnsi"/>
                <w:sz w:val="24"/>
                <w:szCs w:val="24"/>
              </w:rPr>
            </w:pPr>
          </w:p>
        </w:tc>
        <w:tc>
          <w:tcPr>
            <w:tcW w:w="4075" w:type="dxa"/>
          </w:tcPr>
          <w:p w14:paraId="43998716" w14:textId="6B0EEC0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553530BA" w14:textId="77777777" w:rsidTr="1756A420">
        <w:tc>
          <w:tcPr>
            <w:tcW w:w="4074" w:type="dxa"/>
          </w:tcPr>
          <w:p w14:paraId="78E3E263" w14:textId="7D2E3F8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5970E53A" w14:textId="3682BDFD"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XXVI - indicação do saldo e detalhamento das despesas de fomento e de inovação referentes ao fundo administrativo compartilhado;</w:t>
            </w:r>
          </w:p>
        </w:tc>
        <w:tc>
          <w:tcPr>
            <w:tcW w:w="4074" w:type="dxa"/>
          </w:tcPr>
          <w:p w14:paraId="50BF51C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a fim de contemplar as informações de fomento e inovação atendendo ao disposto no art. 11 da Resolução CNPC nº 62/2024.</w:t>
            </w:r>
          </w:p>
          <w:p w14:paraId="5B16C640" w14:textId="77777777" w:rsidR="00EB19CA" w:rsidRPr="00D462F0" w:rsidRDefault="00EB19CA" w:rsidP="00D462F0">
            <w:pPr>
              <w:jc w:val="both"/>
              <w:rPr>
                <w:rFonts w:asciiTheme="majorHAnsi" w:hAnsiTheme="majorHAnsi" w:cstheme="majorHAnsi"/>
                <w:sz w:val="24"/>
                <w:szCs w:val="24"/>
              </w:rPr>
            </w:pPr>
          </w:p>
        </w:tc>
        <w:tc>
          <w:tcPr>
            <w:tcW w:w="4075" w:type="dxa"/>
          </w:tcPr>
          <w:p w14:paraId="13C05979" w14:textId="56B101F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106FFAC" w14:textId="77777777" w:rsidTr="1756A420">
        <w:tc>
          <w:tcPr>
            <w:tcW w:w="4074" w:type="dxa"/>
          </w:tcPr>
          <w:p w14:paraId="749B2B21" w14:textId="7248591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5FA5C6FC"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XXVII - indicação dos montantes de despesas de remuneração fixa e variável pagas no exercício a dirigentes, conselheiros, pessoal próprio e pessoal cedido, conforme política de remuneração da EFPC;</w:t>
            </w:r>
          </w:p>
          <w:p w14:paraId="7FD28FD7"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75CF925A"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para informar em notas explicativas os montantes pagos de remuneração fixa e variável de pessoal próprio e cedido, dirigentes e conselheiros, com a finalidade de ampliar a transparência quanto ao dispêndio realizado pelas EFPC no que tange a remuneração de pessoal, possibilitando o acompanhamento pelos participantes, assistidos, patrocinadores, instituidores e pelo órgão fiscalizador, em consonância com a criação das contas contábeis específicas para registro da remuneração fixa e variável de dirigentes.</w:t>
            </w:r>
          </w:p>
          <w:p w14:paraId="4BE518E0" w14:textId="77777777" w:rsidR="00EB19CA" w:rsidRPr="00D462F0" w:rsidRDefault="00EB19CA" w:rsidP="00D462F0">
            <w:pPr>
              <w:jc w:val="both"/>
              <w:rPr>
                <w:rFonts w:asciiTheme="majorHAnsi" w:hAnsiTheme="majorHAnsi" w:cstheme="majorHAnsi"/>
                <w:sz w:val="24"/>
                <w:szCs w:val="24"/>
              </w:rPr>
            </w:pPr>
          </w:p>
        </w:tc>
        <w:tc>
          <w:tcPr>
            <w:tcW w:w="4075" w:type="dxa"/>
          </w:tcPr>
          <w:p w14:paraId="2EF82743" w14:textId="372E7A9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CF3AE85" w14:textId="77777777" w:rsidTr="1756A420">
        <w:tc>
          <w:tcPr>
            <w:tcW w:w="4074" w:type="dxa"/>
          </w:tcPr>
          <w:p w14:paraId="3D973D7A"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048B2428" w14:textId="77777777" w:rsidR="00EB19CA" w:rsidRPr="00D462F0" w:rsidRDefault="00EB19CA" w:rsidP="00D462F0">
            <w:pPr>
              <w:jc w:val="both"/>
              <w:rPr>
                <w:rFonts w:asciiTheme="majorHAnsi" w:hAnsiTheme="majorHAnsi" w:cstheme="majorHAnsi"/>
                <w:sz w:val="24"/>
                <w:szCs w:val="24"/>
              </w:rPr>
            </w:pPr>
          </w:p>
        </w:tc>
        <w:tc>
          <w:tcPr>
            <w:tcW w:w="4074" w:type="dxa"/>
          </w:tcPr>
          <w:p w14:paraId="0D228C84"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XXVIII - descrição das receitas diretas administrativas;</w:t>
            </w:r>
          </w:p>
          <w:p w14:paraId="68F6CE9F"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01754F44"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a fim de que sejam informadas as despesas diretas administrativas previstas no art. 4º da Resolução CNPC nº 62/2024.</w:t>
            </w:r>
          </w:p>
          <w:p w14:paraId="5F61A905" w14:textId="77777777" w:rsidR="00EB19CA" w:rsidRPr="00D462F0" w:rsidRDefault="00EB19CA" w:rsidP="00D462F0">
            <w:pPr>
              <w:jc w:val="both"/>
              <w:rPr>
                <w:rFonts w:asciiTheme="majorHAnsi" w:hAnsiTheme="majorHAnsi" w:cstheme="majorHAnsi"/>
                <w:sz w:val="24"/>
                <w:szCs w:val="24"/>
              </w:rPr>
            </w:pPr>
          </w:p>
        </w:tc>
        <w:tc>
          <w:tcPr>
            <w:tcW w:w="4075" w:type="dxa"/>
          </w:tcPr>
          <w:p w14:paraId="409E1E0D" w14:textId="0C6E96B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4D11431" w14:textId="77777777" w:rsidTr="1756A420">
        <w:tc>
          <w:tcPr>
            <w:tcW w:w="4074" w:type="dxa"/>
          </w:tcPr>
          <w:p w14:paraId="15D702D4" w14:textId="77777777" w:rsidR="00EB19CA" w:rsidRPr="00D462F0" w:rsidRDefault="00EB19CA" w:rsidP="00D462F0">
            <w:pPr>
              <w:jc w:val="both"/>
              <w:rPr>
                <w:rFonts w:asciiTheme="majorHAnsi" w:hAnsiTheme="majorHAnsi" w:cstheme="majorHAnsi"/>
                <w:sz w:val="24"/>
                <w:szCs w:val="24"/>
              </w:rPr>
            </w:pPr>
          </w:p>
        </w:tc>
        <w:tc>
          <w:tcPr>
            <w:tcW w:w="4074" w:type="dxa"/>
          </w:tcPr>
          <w:p w14:paraId="74943CE7" w14:textId="0999522A"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XXIX - detalhamento dos saldos das contas que contenham a denominação "Outros", quando ultrapassarem, no total, um décimo do valor do respectivo grupo da referida conta;</w:t>
            </w:r>
          </w:p>
        </w:tc>
        <w:tc>
          <w:tcPr>
            <w:tcW w:w="4074" w:type="dxa"/>
          </w:tcPr>
          <w:p w14:paraId="75F16B77" w14:textId="59F1C62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XII do art. 208 foi realocado para inciso XXVIII do art. 208-A.</w:t>
            </w:r>
          </w:p>
        </w:tc>
        <w:tc>
          <w:tcPr>
            <w:tcW w:w="4075" w:type="dxa"/>
          </w:tcPr>
          <w:p w14:paraId="49B4B6AE" w14:textId="2B4B7A6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17929EB4" w14:textId="77777777" w:rsidTr="1756A420">
        <w:tc>
          <w:tcPr>
            <w:tcW w:w="4074" w:type="dxa"/>
          </w:tcPr>
          <w:p w14:paraId="5400739E" w14:textId="77777777" w:rsidR="00EB19CA" w:rsidRPr="00D462F0" w:rsidRDefault="00EB19CA" w:rsidP="00D462F0">
            <w:pPr>
              <w:jc w:val="both"/>
              <w:rPr>
                <w:rFonts w:asciiTheme="majorHAnsi" w:hAnsiTheme="majorHAnsi" w:cstheme="majorHAnsi"/>
                <w:sz w:val="24"/>
                <w:szCs w:val="24"/>
              </w:rPr>
            </w:pPr>
          </w:p>
        </w:tc>
        <w:tc>
          <w:tcPr>
            <w:tcW w:w="4074" w:type="dxa"/>
          </w:tcPr>
          <w:p w14:paraId="09A4AF39"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XXX - ajustes de exercícios anteriores decorrentes de mudanças de práticas contábeis ou de retificações de erros de períodos anteriores, não atribuíveis a eventos subsequentes, com descrição da natureza e dos seus respectivos </w:t>
            </w:r>
            <w:r w:rsidRPr="00D462F0">
              <w:rPr>
                <w:rFonts w:asciiTheme="majorHAnsi" w:hAnsiTheme="majorHAnsi" w:cstheme="majorHAnsi"/>
                <w:bCs/>
                <w:color w:val="0000FF"/>
                <w:sz w:val="24"/>
                <w:szCs w:val="24"/>
              </w:rPr>
              <w:lastRenderedPageBreak/>
              <w:t>efeitos, conforme normas do Conselho Federal de Contabilidade (CFC);</w:t>
            </w:r>
          </w:p>
          <w:p w14:paraId="306049BE"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0DE2C858"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Devido a reorganização do ordenamento do conteúdo mínimo das notas explicativas, o inciso VI do art. 208 foi realocado para inciso XXIX do art. 208-A.</w:t>
            </w:r>
          </w:p>
          <w:p w14:paraId="78F9D397" w14:textId="77777777" w:rsidR="00EB19CA" w:rsidRPr="00D462F0" w:rsidRDefault="00EB19CA" w:rsidP="00D462F0">
            <w:pPr>
              <w:jc w:val="both"/>
              <w:rPr>
                <w:rFonts w:asciiTheme="majorHAnsi" w:hAnsiTheme="majorHAnsi" w:cstheme="majorHAnsi"/>
                <w:sz w:val="24"/>
                <w:szCs w:val="24"/>
              </w:rPr>
            </w:pPr>
          </w:p>
        </w:tc>
        <w:tc>
          <w:tcPr>
            <w:tcW w:w="4075" w:type="dxa"/>
          </w:tcPr>
          <w:p w14:paraId="23373255" w14:textId="502C990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3BB4D38" w14:textId="77777777" w:rsidTr="1756A420">
        <w:tc>
          <w:tcPr>
            <w:tcW w:w="4074" w:type="dxa"/>
          </w:tcPr>
          <w:p w14:paraId="6EDF1F3A" w14:textId="77777777" w:rsidR="00EB19CA" w:rsidRPr="00D462F0" w:rsidRDefault="00EB19CA" w:rsidP="00D462F0">
            <w:pPr>
              <w:jc w:val="both"/>
              <w:rPr>
                <w:rFonts w:asciiTheme="majorHAnsi" w:hAnsiTheme="majorHAnsi" w:cstheme="majorHAnsi"/>
                <w:sz w:val="24"/>
                <w:szCs w:val="24"/>
              </w:rPr>
            </w:pPr>
          </w:p>
        </w:tc>
        <w:tc>
          <w:tcPr>
            <w:tcW w:w="4074" w:type="dxa"/>
          </w:tcPr>
          <w:p w14:paraId="00BDEAFC" w14:textId="59F6AEAD"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XXXI - detalhamento dos ajustes e eliminações decorrentes do processo de consolidação das Demonstrações Contábeis; e</w:t>
            </w:r>
          </w:p>
        </w:tc>
        <w:tc>
          <w:tcPr>
            <w:tcW w:w="4074" w:type="dxa"/>
          </w:tcPr>
          <w:p w14:paraId="10EC8337" w14:textId="6798119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Devido a reorganização do ordenamento do conteúdo mínimo das notas explicativas, o inciso XIII do art. 208 foi realocado para inciso XXX do art. 208-A. </w:t>
            </w:r>
          </w:p>
        </w:tc>
        <w:tc>
          <w:tcPr>
            <w:tcW w:w="4075" w:type="dxa"/>
          </w:tcPr>
          <w:p w14:paraId="5C729B43" w14:textId="4FE7B98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7CAA1C00" w14:textId="77777777" w:rsidTr="1756A420">
        <w:tc>
          <w:tcPr>
            <w:tcW w:w="4074" w:type="dxa"/>
          </w:tcPr>
          <w:p w14:paraId="338E207B" w14:textId="77777777" w:rsidR="00EB19CA" w:rsidRPr="00D462F0" w:rsidRDefault="00EB19CA" w:rsidP="00D462F0">
            <w:pPr>
              <w:jc w:val="both"/>
              <w:rPr>
                <w:rFonts w:asciiTheme="majorHAnsi" w:hAnsiTheme="majorHAnsi" w:cstheme="majorHAnsi"/>
                <w:sz w:val="24"/>
                <w:szCs w:val="24"/>
              </w:rPr>
            </w:pPr>
          </w:p>
        </w:tc>
        <w:tc>
          <w:tcPr>
            <w:tcW w:w="4074" w:type="dxa"/>
          </w:tcPr>
          <w:p w14:paraId="6E80DEEE" w14:textId="07C54A8F"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XXXII - eventos subsequentes à data de encerramento do exercício que tenham ou possam vir a ter efeitos relevantes sobre a situação financeira ou econômica dos planos de benefícios e do Plano de Gestão Administrativa.</w:t>
            </w:r>
          </w:p>
        </w:tc>
        <w:tc>
          <w:tcPr>
            <w:tcW w:w="4074" w:type="dxa"/>
          </w:tcPr>
          <w:p w14:paraId="36CA139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Devido a reorganização do ordenamento do conteúdo mínimo das notas explicativas, o inciso XV do art. 208 foi realocado para inciso XXXI do art. 208-A.</w:t>
            </w:r>
          </w:p>
          <w:p w14:paraId="60F53EE7" w14:textId="77777777" w:rsidR="00EB19CA" w:rsidRPr="00D462F0" w:rsidRDefault="00EB19CA" w:rsidP="00D462F0">
            <w:pPr>
              <w:jc w:val="both"/>
              <w:rPr>
                <w:rFonts w:asciiTheme="majorHAnsi" w:hAnsiTheme="majorHAnsi" w:cstheme="majorHAnsi"/>
                <w:sz w:val="24"/>
                <w:szCs w:val="24"/>
              </w:rPr>
            </w:pPr>
          </w:p>
        </w:tc>
        <w:tc>
          <w:tcPr>
            <w:tcW w:w="4075" w:type="dxa"/>
          </w:tcPr>
          <w:p w14:paraId="3B7B1A3B" w14:textId="015F225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0CE6FB17" w14:textId="77777777" w:rsidTr="1756A420">
        <w:tc>
          <w:tcPr>
            <w:tcW w:w="4074" w:type="dxa"/>
          </w:tcPr>
          <w:p w14:paraId="7074D39F"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250132A6" w14:textId="77777777" w:rsidR="00EB19CA" w:rsidRPr="00D462F0" w:rsidRDefault="00EB19CA" w:rsidP="00D462F0">
            <w:pPr>
              <w:jc w:val="both"/>
              <w:rPr>
                <w:rFonts w:asciiTheme="majorHAnsi" w:hAnsiTheme="majorHAnsi" w:cstheme="majorHAnsi"/>
                <w:sz w:val="24"/>
                <w:szCs w:val="24"/>
              </w:rPr>
            </w:pPr>
          </w:p>
        </w:tc>
        <w:tc>
          <w:tcPr>
            <w:tcW w:w="4074" w:type="dxa"/>
          </w:tcPr>
          <w:p w14:paraId="39B50ED7" w14:textId="77777777" w:rsidR="00EB19CA" w:rsidRPr="00D462F0" w:rsidRDefault="00EB19CA" w:rsidP="00D462F0">
            <w:pPr>
              <w:spacing w:after="160"/>
              <w:jc w:val="both"/>
              <w:rPr>
                <w:rFonts w:asciiTheme="majorHAnsi" w:hAnsiTheme="majorHAnsi" w:cstheme="majorHAnsi"/>
                <w:bCs/>
                <w:color w:val="0000FF"/>
                <w:sz w:val="24"/>
                <w:szCs w:val="24"/>
                <w:u w:val="single"/>
              </w:rPr>
            </w:pPr>
            <w:r w:rsidRPr="00D462F0">
              <w:rPr>
                <w:rFonts w:asciiTheme="majorHAnsi" w:hAnsiTheme="majorHAnsi" w:cstheme="majorHAnsi"/>
                <w:bCs/>
                <w:color w:val="0000FF"/>
                <w:sz w:val="24"/>
                <w:szCs w:val="24"/>
              </w:rPr>
              <w:t xml:space="preserve">Parágrafo único.  As EFPC podem complementar suas Notas Explicativas com informações adicionais às mínimas referidas no </w:t>
            </w:r>
            <w:r w:rsidRPr="00D462F0">
              <w:rPr>
                <w:rFonts w:asciiTheme="majorHAnsi" w:hAnsiTheme="majorHAnsi" w:cstheme="majorHAnsi"/>
                <w:bCs/>
                <w:i/>
                <w:iCs/>
                <w:color w:val="0000FF"/>
                <w:sz w:val="24"/>
                <w:szCs w:val="24"/>
              </w:rPr>
              <w:t>caput</w:t>
            </w:r>
            <w:r w:rsidRPr="00D462F0">
              <w:rPr>
                <w:rFonts w:asciiTheme="majorHAnsi" w:hAnsiTheme="majorHAnsi" w:cstheme="majorHAnsi"/>
                <w:bCs/>
                <w:color w:val="0000FF"/>
                <w:sz w:val="24"/>
                <w:szCs w:val="24"/>
              </w:rPr>
              <w:t>, nos próprios itens de que trata a matéria ou ao final dos itens mínimos.</w:t>
            </w:r>
          </w:p>
          <w:p w14:paraId="3A00CD84"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7207208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Inclusão de parágrafo pois, embora o </w:t>
            </w:r>
            <w:r w:rsidRPr="00FB3502">
              <w:rPr>
                <w:rFonts w:asciiTheme="majorHAnsi" w:hAnsiTheme="majorHAnsi" w:cstheme="majorHAnsi"/>
                <w:i/>
                <w:iCs/>
                <w:sz w:val="24"/>
                <w:szCs w:val="24"/>
              </w:rPr>
              <w:t>caput</w:t>
            </w:r>
            <w:r w:rsidRPr="00D462F0">
              <w:rPr>
                <w:rFonts w:asciiTheme="majorHAnsi" w:hAnsiTheme="majorHAnsi" w:cstheme="majorHAnsi"/>
                <w:sz w:val="24"/>
                <w:szCs w:val="24"/>
              </w:rPr>
              <w:t xml:space="preserve"> estabeleça um rol mínimo de informações obrigatórias, a realidade das operações das EFPC pode demandar a divulgação de dados adicionais para refletir adequadamente a posição patrimonial e financeira da entidade. Assim, a inclusão de parágrafo único tem como finalidade possibilitar que informações complementares sejam incluídas nos próprios itens pertinentes ou ao final das divulgações mínimas, preservando-se a organização e a compreensibilidade das notas explicativas, ao mesmo tempo em que se garante flexibilidade para que cada EFPC evidencie peculiaridades relevantes à sua situação.</w:t>
            </w:r>
          </w:p>
          <w:p w14:paraId="4BD9182B" w14:textId="77777777" w:rsidR="00EB19CA" w:rsidRPr="00D462F0" w:rsidRDefault="00EB19CA" w:rsidP="00D462F0">
            <w:pPr>
              <w:jc w:val="both"/>
              <w:rPr>
                <w:rFonts w:asciiTheme="majorHAnsi" w:hAnsiTheme="majorHAnsi" w:cstheme="majorHAnsi"/>
                <w:sz w:val="24"/>
                <w:szCs w:val="24"/>
              </w:rPr>
            </w:pPr>
          </w:p>
        </w:tc>
        <w:tc>
          <w:tcPr>
            <w:tcW w:w="4075" w:type="dxa"/>
          </w:tcPr>
          <w:p w14:paraId="628113F1" w14:textId="1677B8D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Idem art. 208-A</w:t>
            </w:r>
          </w:p>
        </w:tc>
      </w:tr>
      <w:tr w:rsidR="00EB19CA" w:rsidRPr="00C93770" w14:paraId="375F60C0" w14:textId="77777777" w:rsidTr="1756A420">
        <w:tc>
          <w:tcPr>
            <w:tcW w:w="4074" w:type="dxa"/>
          </w:tcPr>
          <w:p w14:paraId="143B6279" w14:textId="09FB6CEC"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453D6983" w14:textId="0D8E5887"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005B136" w14:textId="77777777" w:rsidR="00EB19CA" w:rsidRPr="00D462F0" w:rsidRDefault="00EB19CA" w:rsidP="00D462F0">
            <w:pPr>
              <w:jc w:val="both"/>
              <w:rPr>
                <w:rFonts w:asciiTheme="majorHAnsi" w:hAnsiTheme="majorHAnsi" w:cstheme="majorHAnsi"/>
                <w:sz w:val="24"/>
                <w:szCs w:val="24"/>
              </w:rPr>
            </w:pPr>
          </w:p>
        </w:tc>
        <w:tc>
          <w:tcPr>
            <w:tcW w:w="4075" w:type="dxa"/>
          </w:tcPr>
          <w:p w14:paraId="556C50AA" w14:textId="77777777" w:rsidR="00EB19CA" w:rsidRPr="00D462F0" w:rsidRDefault="00EB19CA" w:rsidP="00D462F0">
            <w:pPr>
              <w:jc w:val="both"/>
              <w:rPr>
                <w:rFonts w:asciiTheme="majorHAnsi" w:hAnsiTheme="majorHAnsi" w:cstheme="majorHAnsi"/>
                <w:bCs/>
                <w:sz w:val="24"/>
                <w:szCs w:val="24"/>
              </w:rPr>
            </w:pPr>
          </w:p>
        </w:tc>
      </w:tr>
      <w:tr w:rsidR="00EB19CA" w:rsidRPr="00C93770" w14:paraId="4598BF5F" w14:textId="77777777" w:rsidTr="1756A420">
        <w:tc>
          <w:tcPr>
            <w:tcW w:w="4074" w:type="dxa"/>
          </w:tcPr>
          <w:p w14:paraId="03FC0830" w14:textId="77777777"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CAPÍTULO VI</w:t>
            </w:r>
          </w:p>
          <w:p w14:paraId="0CDE76CA" w14:textId="76D2C09F"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DAS REGRAS DE INVESTIMENTOS</w:t>
            </w:r>
          </w:p>
        </w:tc>
        <w:tc>
          <w:tcPr>
            <w:tcW w:w="4074" w:type="dxa"/>
          </w:tcPr>
          <w:p w14:paraId="0E3493E4" w14:textId="77777777"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CAPÍTULO VI</w:t>
            </w:r>
          </w:p>
          <w:p w14:paraId="4D7FE924" w14:textId="121A5CAF"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DAS REGRAS DE INVESTIMENTOS</w:t>
            </w:r>
          </w:p>
        </w:tc>
        <w:tc>
          <w:tcPr>
            <w:tcW w:w="4074" w:type="dxa"/>
          </w:tcPr>
          <w:p w14:paraId="3F1FE80A" w14:textId="77777777" w:rsidR="00EB19CA" w:rsidRPr="00D462F0" w:rsidRDefault="00EB19CA" w:rsidP="00D462F0">
            <w:pPr>
              <w:jc w:val="both"/>
              <w:rPr>
                <w:rFonts w:asciiTheme="majorHAnsi" w:hAnsiTheme="majorHAnsi" w:cstheme="majorHAnsi"/>
                <w:sz w:val="24"/>
                <w:szCs w:val="24"/>
              </w:rPr>
            </w:pPr>
          </w:p>
        </w:tc>
        <w:tc>
          <w:tcPr>
            <w:tcW w:w="4075" w:type="dxa"/>
          </w:tcPr>
          <w:p w14:paraId="461598EE" w14:textId="77777777" w:rsidR="00EB19CA" w:rsidRPr="00D462F0" w:rsidRDefault="00EB19CA" w:rsidP="00D462F0">
            <w:pPr>
              <w:jc w:val="both"/>
              <w:rPr>
                <w:rFonts w:asciiTheme="majorHAnsi" w:hAnsiTheme="majorHAnsi" w:cstheme="majorHAnsi"/>
                <w:bCs/>
                <w:sz w:val="24"/>
                <w:szCs w:val="24"/>
              </w:rPr>
            </w:pPr>
          </w:p>
        </w:tc>
      </w:tr>
      <w:tr w:rsidR="00EB19CA" w:rsidRPr="00C93770" w14:paraId="17C18B75" w14:textId="77777777" w:rsidTr="1756A420">
        <w:tc>
          <w:tcPr>
            <w:tcW w:w="4074" w:type="dxa"/>
          </w:tcPr>
          <w:p w14:paraId="0FF28258" w14:textId="18626AA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Art. 211.  As EFPC devem observar o disposto neste Capítulo para a operacionalização de procedimentos previstos na Resolução do Conselho Monetário Nacional sobre aplicação dos recursos dos planos administrados pelas entidades fechadas de previdência complementar.</w:t>
            </w:r>
          </w:p>
        </w:tc>
        <w:tc>
          <w:tcPr>
            <w:tcW w:w="4074" w:type="dxa"/>
          </w:tcPr>
          <w:p w14:paraId="657F33D9" w14:textId="73CF002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211.  As EFPC devem observar o disposto neste Capítulo para a operacionalização de procedimentos previstos na Resolução do Conselho Monetário Nacional sobre aplicação dos recursos dos planos </w:t>
            </w:r>
            <w:r w:rsidRPr="00D462F0">
              <w:rPr>
                <w:rFonts w:asciiTheme="majorHAnsi" w:hAnsiTheme="majorHAnsi" w:cstheme="majorHAnsi"/>
                <w:bCs/>
                <w:color w:val="0000FF"/>
                <w:sz w:val="24"/>
                <w:szCs w:val="24"/>
              </w:rPr>
              <w:t xml:space="preserve">de benefícios por elas </w:t>
            </w:r>
            <w:r w:rsidRPr="00D462F0">
              <w:rPr>
                <w:rFonts w:asciiTheme="majorHAnsi" w:hAnsiTheme="majorHAnsi" w:cstheme="majorHAnsi"/>
                <w:bCs/>
                <w:sz w:val="24"/>
                <w:szCs w:val="24"/>
              </w:rPr>
              <w:t>administrados</w:t>
            </w:r>
            <w:r w:rsidRPr="00D462F0">
              <w:rPr>
                <w:rFonts w:asciiTheme="majorHAnsi" w:hAnsiTheme="majorHAnsi" w:cstheme="majorHAnsi"/>
                <w:bCs/>
                <w:color w:val="0000FF"/>
                <w:sz w:val="24"/>
                <w:szCs w:val="24"/>
              </w:rPr>
              <w:t>,</w:t>
            </w:r>
            <w:r w:rsidRPr="00D462F0">
              <w:rPr>
                <w:rFonts w:asciiTheme="majorHAnsi" w:hAnsiTheme="majorHAnsi" w:cstheme="majorHAnsi"/>
                <w:bCs/>
                <w:sz w:val="24"/>
                <w:szCs w:val="24"/>
              </w:rPr>
              <w:t xml:space="preserve"> </w:t>
            </w:r>
            <w:r w:rsidRPr="00D462F0">
              <w:rPr>
                <w:rFonts w:asciiTheme="majorHAnsi" w:hAnsiTheme="majorHAnsi" w:cstheme="majorHAnsi"/>
                <w:bCs/>
                <w:strike/>
                <w:color w:val="EE0000"/>
                <w:sz w:val="24"/>
                <w:szCs w:val="24"/>
              </w:rPr>
              <w:t>pelas entidades fechadas de previdência complementar</w:t>
            </w:r>
            <w:r w:rsidRPr="00D462F0">
              <w:rPr>
                <w:rFonts w:asciiTheme="majorHAnsi" w:hAnsiTheme="majorHAnsi" w:cstheme="majorHAnsi"/>
                <w:bCs/>
                <w:color w:val="0000FF"/>
                <w:sz w:val="24"/>
                <w:szCs w:val="24"/>
              </w:rPr>
              <w:t xml:space="preserve"> bem como dos recursos do </w:t>
            </w:r>
            <w:r w:rsidR="00250981" w:rsidRPr="00D462F0">
              <w:rPr>
                <w:rFonts w:asciiTheme="majorHAnsi" w:hAnsiTheme="majorHAnsi" w:cstheme="majorHAnsi"/>
                <w:bCs/>
                <w:color w:val="0000FF"/>
                <w:sz w:val="24"/>
                <w:szCs w:val="24"/>
              </w:rPr>
              <w:t>Plano de Gestão Administrativa</w:t>
            </w:r>
            <w:r w:rsidRPr="00D462F0">
              <w:rPr>
                <w:rFonts w:asciiTheme="majorHAnsi" w:hAnsiTheme="majorHAnsi" w:cstheme="majorHAnsi"/>
                <w:bCs/>
                <w:color w:val="0000FF"/>
                <w:sz w:val="24"/>
                <w:szCs w:val="24"/>
              </w:rPr>
              <w:t>.</w:t>
            </w:r>
          </w:p>
        </w:tc>
        <w:tc>
          <w:tcPr>
            <w:tcW w:w="4074" w:type="dxa"/>
          </w:tcPr>
          <w:p w14:paraId="0B13940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Incluir referência ao Plano de Gestão de Administrativa – PGA em alinhamento à Resolução CMN nº 5.202, de 2025.</w:t>
            </w:r>
          </w:p>
          <w:p w14:paraId="5BF4E96B" w14:textId="4C3AE943" w:rsidR="00EB19CA" w:rsidRPr="00D462F0" w:rsidRDefault="00EB19CA" w:rsidP="00D462F0">
            <w:pPr>
              <w:jc w:val="both"/>
              <w:rPr>
                <w:rFonts w:asciiTheme="majorHAnsi" w:hAnsiTheme="majorHAnsi" w:cstheme="majorHAnsi"/>
                <w:sz w:val="24"/>
                <w:szCs w:val="24"/>
              </w:rPr>
            </w:pPr>
          </w:p>
        </w:tc>
        <w:tc>
          <w:tcPr>
            <w:tcW w:w="4075" w:type="dxa"/>
          </w:tcPr>
          <w:p w14:paraId="1038F108" w14:textId="77777777" w:rsidR="00EB19CA" w:rsidRPr="00D462F0" w:rsidRDefault="00EB19CA" w:rsidP="00D462F0">
            <w:pPr>
              <w:spacing w:after="160"/>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 A dispensa de AIR se baseia na necessidade de disciplinar direitos ou obrigações definidos em norma hierarquicamente superior, no caso a Resolução CMN nº 4.994, de 2022, que dispõe sobre as diretrizes de aplicação dos recursos garantidores das EFPC. A alteração do Art. 2º da Resolução do CMN inseriu expressamente o PGA na esfera de aplicabilidade da norma.</w:t>
            </w:r>
          </w:p>
          <w:p w14:paraId="5DAB82B0" w14:textId="77777777" w:rsidR="00EB19CA" w:rsidRPr="00D462F0" w:rsidRDefault="00EB19CA" w:rsidP="00D462F0">
            <w:pPr>
              <w:jc w:val="both"/>
              <w:rPr>
                <w:rFonts w:asciiTheme="majorHAnsi" w:hAnsiTheme="majorHAnsi" w:cstheme="majorHAnsi"/>
                <w:bCs/>
                <w:sz w:val="24"/>
                <w:szCs w:val="24"/>
              </w:rPr>
            </w:pPr>
          </w:p>
        </w:tc>
      </w:tr>
      <w:tr w:rsidR="00EB19CA" w:rsidRPr="00C93770" w14:paraId="713D488F" w14:textId="77777777" w:rsidTr="1756A420">
        <w:tc>
          <w:tcPr>
            <w:tcW w:w="4074" w:type="dxa"/>
            <w:vAlign w:val="center"/>
          </w:tcPr>
          <w:p w14:paraId="770FC218" w14:textId="7383740E"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tcPr>
          <w:p w14:paraId="32961492" w14:textId="2A798E30"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§1</w:t>
            </w:r>
            <w:proofErr w:type="gramStart"/>
            <w:r w:rsidRPr="00D462F0">
              <w:rPr>
                <w:rFonts w:asciiTheme="majorHAnsi" w:eastAsia="Times New Roman" w:hAnsiTheme="majorHAnsi" w:cstheme="majorHAnsi"/>
                <w:bCs/>
                <w:color w:val="0000FF"/>
                <w:sz w:val="24"/>
                <w:szCs w:val="24"/>
              </w:rPr>
              <w:t>º  As</w:t>
            </w:r>
            <w:proofErr w:type="gramEnd"/>
            <w:r w:rsidRPr="00D462F0">
              <w:rPr>
                <w:rFonts w:asciiTheme="majorHAnsi" w:eastAsia="Times New Roman" w:hAnsiTheme="majorHAnsi" w:cstheme="majorHAnsi"/>
                <w:bCs/>
                <w:color w:val="0000FF"/>
                <w:sz w:val="24"/>
                <w:szCs w:val="24"/>
              </w:rPr>
              <w:t xml:space="preserve"> pessoas responsáveis pelo cumprimento das diretrizes de aplicação dos recursos garantidores dos planos de benefícios administrados pelas EFPC, devem empregar, no exercício de suas funções, o cuidado, a diligência e os padrões éticos que todo homem prudente, ativo e probo costuma empregar na administração do seu próprio plano previdenciário, observando os seguintes princípios</w:t>
            </w:r>
            <w:r w:rsidR="009C0A86">
              <w:rPr>
                <w:rFonts w:asciiTheme="majorHAnsi" w:eastAsia="Times New Roman" w:hAnsiTheme="majorHAnsi" w:cstheme="majorHAnsi"/>
                <w:bCs/>
                <w:color w:val="0000FF"/>
                <w:sz w:val="24"/>
                <w:szCs w:val="24"/>
              </w:rPr>
              <w:t>,</w:t>
            </w:r>
            <w:r w:rsidR="00FB3502" w:rsidRPr="00FB3502">
              <w:rPr>
                <w:rFonts w:asciiTheme="majorHAnsi" w:eastAsia="Times New Roman" w:hAnsiTheme="majorHAnsi" w:cstheme="majorHAnsi"/>
                <w:bCs/>
                <w:color w:val="0000FF"/>
                <w:sz w:val="24"/>
                <w:szCs w:val="24"/>
              </w:rPr>
              <w:t xml:space="preserve"> conforme previsto na Resolução vigente do Conselho Monetário Nacional – CMN:</w:t>
            </w:r>
          </w:p>
        </w:tc>
        <w:tc>
          <w:tcPr>
            <w:tcW w:w="4074" w:type="dxa"/>
          </w:tcPr>
          <w:p w14:paraId="74D137E8"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Inclusão das definições dos princípios elencados no art. 4º do Capítulo I da Resolução CMN nº 4.994, de 2022. </w:t>
            </w:r>
          </w:p>
          <w:p w14:paraId="429FF6A3" w14:textId="195ABE3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Redação utilizada no inciso I do art. 106 da Resolução CVM nº 175, de 2022. </w:t>
            </w:r>
          </w:p>
        </w:tc>
        <w:tc>
          <w:tcPr>
            <w:tcW w:w="4075" w:type="dxa"/>
          </w:tcPr>
          <w:p w14:paraId="493FEC11"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345028D6"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 xml:space="preserve"> </w:t>
            </w:r>
          </w:p>
          <w:p w14:paraId="023B595C"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 xml:space="preserve">A dispensa de AIR se baseia na necessidade preservar a higidez do mercado de previdência complementar. No contexto jurídico, "higidez" conota à qualidade do que é íntegro, saudável e válido, especialmente em relação a atos, contratos ou processos. Refere-se à ausência de vícios ou irregularidades que possam comprometer a validade e a eficácia de um ato jurídico. O dispositivo normativo em questão busca reforçar os princípios que permeiam a aplicação dos recursos garantidores das EFPC, disciplinados pelo Inciso I do art. 4º da Resolução CMN nº 4.994, de 2022, por meio do detalhamento de práticas e condutas que os materializam em contextos concretos de aplicação. Ao se reforçar as regras regulatórias aplicáveis à </w:t>
            </w:r>
            <w:r w:rsidRPr="00D462F0">
              <w:rPr>
                <w:rFonts w:asciiTheme="majorHAnsi" w:eastAsia="Calibri" w:hAnsiTheme="majorHAnsi" w:cstheme="majorHAnsi"/>
                <w:bCs/>
                <w:sz w:val="24"/>
                <w:szCs w:val="24"/>
              </w:rPr>
              <w:lastRenderedPageBreak/>
              <w:t>alocação dos recursos, a proposta busca garantir a qualidade e integridade das decisões de alocação e, por conseguinte, a higidez do mercado de previdência complementar fechada.</w:t>
            </w:r>
          </w:p>
          <w:p w14:paraId="0DC59DA4" w14:textId="77777777" w:rsidR="00EB19CA" w:rsidRPr="00D462F0" w:rsidRDefault="00EB19CA" w:rsidP="00D462F0">
            <w:pPr>
              <w:jc w:val="both"/>
              <w:rPr>
                <w:rFonts w:asciiTheme="majorHAnsi" w:hAnsiTheme="majorHAnsi" w:cstheme="majorHAnsi"/>
                <w:bCs/>
                <w:sz w:val="24"/>
                <w:szCs w:val="24"/>
              </w:rPr>
            </w:pPr>
          </w:p>
        </w:tc>
      </w:tr>
      <w:tr w:rsidR="00EB19CA" w:rsidRPr="00C93770" w14:paraId="70199777" w14:textId="77777777" w:rsidTr="1756A420">
        <w:tc>
          <w:tcPr>
            <w:tcW w:w="4074" w:type="dxa"/>
          </w:tcPr>
          <w:p w14:paraId="571587B0" w14:textId="39DFDA11"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lastRenderedPageBreak/>
              <w:t>Sem referência anterior.</w:t>
            </w:r>
          </w:p>
        </w:tc>
        <w:tc>
          <w:tcPr>
            <w:tcW w:w="4074" w:type="dxa"/>
          </w:tcPr>
          <w:p w14:paraId="700360F2" w14:textId="5BBD8822"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I - </w:t>
            </w:r>
            <w:proofErr w:type="gramStart"/>
            <w:r w:rsidRPr="00D462F0">
              <w:rPr>
                <w:rFonts w:asciiTheme="majorHAnsi" w:eastAsia="Times New Roman" w:hAnsiTheme="majorHAnsi" w:cstheme="majorHAnsi"/>
                <w:bCs/>
                <w:color w:val="0000FF"/>
                <w:sz w:val="24"/>
                <w:szCs w:val="24"/>
              </w:rPr>
              <w:t>segurança</w:t>
            </w:r>
            <w:proofErr w:type="gramEnd"/>
            <w:r w:rsidRPr="00D462F0">
              <w:rPr>
                <w:rFonts w:asciiTheme="majorHAnsi" w:eastAsia="Times New Roman" w:hAnsiTheme="majorHAnsi" w:cstheme="majorHAnsi"/>
                <w:bCs/>
                <w:color w:val="0000FF"/>
                <w:sz w:val="24"/>
                <w:szCs w:val="24"/>
              </w:rPr>
              <w:t>: assunção de risco adequado por ativo financeiro, por carteira de investimentos, por segmento de aplicação, observados as políticas de investimentos e os estudos técnicos necessários que fundamentam a decisão negocial;</w:t>
            </w:r>
          </w:p>
        </w:tc>
        <w:tc>
          <w:tcPr>
            <w:tcW w:w="4074" w:type="dxa"/>
          </w:tcPr>
          <w:p w14:paraId="4CAB2756" w14:textId="111C558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Busca alinhar a gestão dos riscos à estratégia da EFPC, assegurando coerência com os objetivos de longo prazo e a prudência esperada dos responsáveis pelos investimentos.</w:t>
            </w:r>
          </w:p>
        </w:tc>
        <w:tc>
          <w:tcPr>
            <w:tcW w:w="4075" w:type="dxa"/>
          </w:tcPr>
          <w:p w14:paraId="5D10FF28" w14:textId="070AA37F"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tc>
      </w:tr>
      <w:tr w:rsidR="00EB19CA" w:rsidRPr="00C93770" w14:paraId="66374212" w14:textId="77777777" w:rsidTr="1756A420">
        <w:tc>
          <w:tcPr>
            <w:tcW w:w="4074" w:type="dxa"/>
          </w:tcPr>
          <w:p w14:paraId="20D4ACB0" w14:textId="3E2EE520"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tcPr>
          <w:p w14:paraId="19F1AA8A" w14:textId="2818D9FD"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II – </w:t>
            </w:r>
            <w:proofErr w:type="gramStart"/>
            <w:r w:rsidRPr="00D462F0">
              <w:rPr>
                <w:rFonts w:asciiTheme="majorHAnsi" w:eastAsia="Times New Roman" w:hAnsiTheme="majorHAnsi" w:cstheme="majorHAnsi"/>
                <w:bCs/>
                <w:color w:val="0000FF"/>
                <w:sz w:val="24"/>
                <w:szCs w:val="24"/>
              </w:rPr>
              <w:t>rentabilidade</w:t>
            </w:r>
            <w:proofErr w:type="gramEnd"/>
            <w:r w:rsidRPr="00D462F0">
              <w:rPr>
                <w:rFonts w:asciiTheme="majorHAnsi" w:eastAsia="Times New Roman" w:hAnsiTheme="majorHAnsi" w:cstheme="majorHAnsi"/>
                <w:bCs/>
                <w:color w:val="0000FF"/>
                <w:sz w:val="24"/>
                <w:szCs w:val="24"/>
              </w:rPr>
              <w:t>: expectativa de retorno compatível com os objetivos fiduciários dos planos de benefícios, considerada a partir das projeções de retorno por ativo financeiro e segmento de aplicação definidos nas políticas de investimento, mediante decisões devidamente fundamentadas e registradas, com o reconhecimento de que a variabilidade dos resultados constitui característica inerente à aplicação dos recursos garantidores.</w:t>
            </w:r>
          </w:p>
        </w:tc>
        <w:tc>
          <w:tcPr>
            <w:tcW w:w="4074" w:type="dxa"/>
          </w:tcPr>
          <w:p w14:paraId="6728385D" w14:textId="5C6F7ED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Normatização do princípio da rentabilidade, conforme previsto na Resolução CMN nº 4.994, de 2022, com o objetivo de disciplinar que a expectativa de retorno deve ser considerada no processo de alocação dos recursos garantidores de forma motivada, fundamentada e registrada. Busca-se, assim, evidenciar que esse princípio deve ser observado em conjunto com os demais princípios aplicáveis, como segurança, solvência e liquidez.</w:t>
            </w:r>
          </w:p>
        </w:tc>
        <w:tc>
          <w:tcPr>
            <w:tcW w:w="4075" w:type="dxa"/>
          </w:tcPr>
          <w:p w14:paraId="0D072586" w14:textId="3C613C2B"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tc>
      </w:tr>
      <w:tr w:rsidR="00EB19CA" w:rsidRPr="00C93770" w14:paraId="352E590E" w14:textId="77777777" w:rsidTr="1756A420">
        <w:tc>
          <w:tcPr>
            <w:tcW w:w="4074" w:type="dxa"/>
          </w:tcPr>
          <w:p w14:paraId="70EE95D0" w14:textId="794E1D74"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tcPr>
          <w:p w14:paraId="0BF62E46" w14:textId="44CCD131"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III - solvência: capacidade financeira de honrar integralmente com os pagamentos futuros dos compromissos assumidos pelos planos de benefícios;</w:t>
            </w:r>
          </w:p>
        </w:tc>
        <w:tc>
          <w:tcPr>
            <w:tcW w:w="4074" w:type="dxa"/>
          </w:tcPr>
          <w:p w14:paraId="7E59E182" w14:textId="00822DE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Introdução necessária para reforçar o compromisso com a solvência financeira e atuarial dos planos de benefícios, alinhada às boas práticas de gestão previdenciária.</w:t>
            </w:r>
          </w:p>
        </w:tc>
        <w:tc>
          <w:tcPr>
            <w:tcW w:w="4075" w:type="dxa"/>
          </w:tcPr>
          <w:p w14:paraId="1D28B0DF"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592D2D43" w14:textId="77777777" w:rsidR="00EB19CA" w:rsidRPr="00D462F0" w:rsidRDefault="00EB19CA" w:rsidP="00D462F0">
            <w:pPr>
              <w:jc w:val="both"/>
              <w:rPr>
                <w:rFonts w:asciiTheme="majorHAnsi" w:hAnsiTheme="majorHAnsi" w:cstheme="majorHAnsi"/>
                <w:bCs/>
                <w:sz w:val="24"/>
                <w:szCs w:val="24"/>
              </w:rPr>
            </w:pPr>
          </w:p>
        </w:tc>
      </w:tr>
      <w:tr w:rsidR="00EB19CA" w:rsidRPr="00C93770" w14:paraId="05F599CA" w14:textId="77777777" w:rsidTr="1756A420">
        <w:tc>
          <w:tcPr>
            <w:tcW w:w="4074" w:type="dxa"/>
          </w:tcPr>
          <w:p w14:paraId="4E1B2F46" w14:textId="3D161156"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tcPr>
          <w:p w14:paraId="03F16B52" w14:textId="12A3E9AC"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IV – </w:t>
            </w:r>
            <w:proofErr w:type="gramStart"/>
            <w:r w:rsidRPr="00D462F0">
              <w:rPr>
                <w:rFonts w:asciiTheme="majorHAnsi" w:eastAsia="Times New Roman" w:hAnsiTheme="majorHAnsi" w:cstheme="majorHAnsi"/>
                <w:bCs/>
                <w:color w:val="0000FF"/>
                <w:sz w:val="24"/>
                <w:szCs w:val="24"/>
              </w:rPr>
              <w:t>liquidez</w:t>
            </w:r>
            <w:proofErr w:type="gramEnd"/>
            <w:r w:rsidRPr="00D462F0">
              <w:rPr>
                <w:rFonts w:asciiTheme="majorHAnsi" w:eastAsia="Times New Roman" w:hAnsiTheme="majorHAnsi" w:cstheme="majorHAnsi"/>
                <w:bCs/>
                <w:color w:val="0000FF"/>
                <w:sz w:val="24"/>
                <w:szCs w:val="24"/>
              </w:rPr>
              <w:t>: suficiência e disponibilidade dos ativos financeiros dos planos de benefícios para o cumprimento tempestivo das obrigações assumidas, expressas nas políticas de investimento;</w:t>
            </w:r>
          </w:p>
        </w:tc>
        <w:tc>
          <w:tcPr>
            <w:tcW w:w="4074" w:type="dxa"/>
          </w:tcPr>
          <w:p w14:paraId="5FAEE8ED" w14:textId="354829F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Elemento fundamental de controle financeiro para garantir o cumprimento das obrigações com participantes e assistidos nos prazos corretos.</w:t>
            </w:r>
          </w:p>
        </w:tc>
        <w:tc>
          <w:tcPr>
            <w:tcW w:w="4075" w:type="dxa"/>
          </w:tcPr>
          <w:p w14:paraId="2C7F2208"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542AB885" w14:textId="77777777" w:rsidR="00EB19CA" w:rsidRPr="00D462F0" w:rsidRDefault="00EB19CA" w:rsidP="00D462F0">
            <w:pPr>
              <w:jc w:val="both"/>
              <w:rPr>
                <w:rFonts w:asciiTheme="majorHAnsi" w:hAnsiTheme="majorHAnsi" w:cstheme="majorHAnsi"/>
                <w:bCs/>
                <w:sz w:val="24"/>
                <w:szCs w:val="24"/>
              </w:rPr>
            </w:pPr>
          </w:p>
        </w:tc>
      </w:tr>
      <w:tr w:rsidR="00EB19CA" w:rsidRPr="00C93770" w14:paraId="3C9A62FD" w14:textId="77777777" w:rsidTr="1756A420">
        <w:tc>
          <w:tcPr>
            <w:tcW w:w="4074" w:type="dxa"/>
          </w:tcPr>
          <w:p w14:paraId="3A199B32" w14:textId="244947F4"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lastRenderedPageBreak/>
              <w:t>Sem referência anterior.</w:t>
            </w:r>
          </w:p>
        </w:tc>
        <w:tc>
          <w:tcPr>
            <w:tcW w:w="4074" w:type="dxa"/>
          </w:tcPr>
          <w:p w14:paraId="0363AB94" w14:textId="2A5A1437"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V – </w:t>
            </w:r>
            <w:proofErr w:type="gramStart"/>
            <w:r w:rsidRPr="00D462F0">
              <w:rPr>
                <w:rFonts w:asciiTheme="majorHAnsi" w:eastAsia="Times New Roman" w:hAnsiTheme="majorHAnsi" w:cstheme="majorHAnsi"/>
                <w:bCs/>
                <w:color w:val="0000FF"/>
                <w:sz w:val="24"/>
                <w:szCs w:val="24"/>
              </w:rPr>
              <w:t>motivação</w:t>
            </w:r>
            <w:proofErr w:type="gramEnd"/>
            <w:r w:rsidRPr="00D462F0">
              <w:rPr>
                <w:rFonts w:asciiTheme="majorHAnsi" w:eastAsia="Times New Roman" w:hAnsiTheme="majorHAnsi" w:cstheme="majorHAnsi"/>
                <w:bCs/>
                <w:color w:val="0000FF"/>
                <w:sz w:val="24"/>
                <w:szCs w:val="24"/>
              </w:rPr>
              <w:t>: fundamentação clara, objetiva e consistente das decisões, capaz de assegurar a regularidade dos atos praticados, evidenciar a observância da boa-fé, diligência e lealdade, e refletir a busca pelo melhor interesse do plano de benefícios e o cumprimento do dever fiduciário em relação aos participantes e assistidos, com manutenção de registros que evidenciem as decisões e os fundamentos técnicos que as justificam;</w:t>
            </w:r>
          </w:p>
        </w:tc>
        <w:tc>
          <w:tcPr>
            <w:tcW w:w="4074" w:type="dxa"/>
          </w:tcPr>
          <w:p w14:paraId="21B9FB26" w14:textId="5CC63AC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 redação busca reforçar a importância da transparência e da motivação das decisões que envolvem recursos de terceiros, alinhando-se ao conceito de ato de gestão regular previsto no art. 230 da Resolução Previc nº 23/2023. Inspira-se na teoria </w:t>
            </w:r>
            <w:proofErr w:type="gramStart"/>
            <w:r w:rsidRPr="00D462F0">
              <w:rPr>
                <w:rFonts w:asciiTheme="majorHAnsi" w:hAnsiTheme="majorHAnsi" w:cstheme="majorHAnsi"/>
                <w:sz w:val="24"/>
                <w:szCs w:val="24"/>
              </w:rPr>
              <w:t xml:space="preserve">da </w:t>
            </w:r>
            <w:r w:rsidRPr="00D462F0">
              <w:rPr>
                <w:rFonts w:asciiTheme="majorHAnsi" w:hAnsiTheme="majorHAnsi" w:cstheme="majorHAnsi"/>
                <w:i/>
                <w:iCs/>
                <w:sz w:val="24"/>
                <w:szCs w:val="24"/>
              </w:rPr>
              <w:t>business</w:t>
            </w:r>
            <w:proofErr w:type="gramEnd"/>
            <w:r w:rsidRPr="00D462F0">
              <w:rPr>
                <w:rFonts w:asciiTheme="majorHAnsi" w:hAnsiTheme="majorHAnsi" w:cstheme="majorHAnsi"/>
                <w:i/>
                <w:iCs/>
                <w:sz w:val="24"/>
                <w:szCs w:val="24"/>
              </w:rPr>
              <w:t xml:space="preserve"> </w:t>
            </w:r>
            <w:proofErr w:type="spellStart"/>
            <w:r w:rsidRPr="00D462F0">
              <w:rPr>
                <w:rFonts w:asciiTheme="majorHAnsi" w:hAnsiTheme="majorHAnsi" w:cstheme="majorHAnsi"/>
                <w:i/>
                <w:iCs/>
                <w:sz w:val="24"/>
                <w:szCs w:val="24"/>
              </w:rPr>
              <w:t>judgement</w:t>
            </w:r>
            <w:proofErr w:type="spellEnd"/>
            <w:r w:rsidRPr="00D462F0">
              <w:rPr>
                <w:rFonts w:asciiTheme="majorHAnsi" w:hAnsiTheme="majorHAnsi" w:cstheme="majorHAnsi"/>
                <w:i/>
                <w:iCs/>
                <w:sz w:val="24"/>
                <w:szCs w:val="24"/>
              </w:rPr>
              <w:t xml:space="preserve"> </w:t>
            </w:r>
            <w:proofErr w:type="spellStart"/>
            <w:r w:rsidRPr="00D462F0">
              <w:rPr>
                <w:rFonts w:asciiTheme="majorHAnsi" w:hAnsiTheme="majorHAnsi" w:cstheme="majorHAnsi"/>
                <w:i/>
                <w:iCs/>
                <w:sz w:val="24"/>
                <w:szCs w:val="24"/>
              </w:rPr>
              <w:t>rule</w:t>
            </w:r>
            <w:proofErr w:type="spellEnd"/>
            <w:r w:rsidRPr="00D462F0">
              <w:rPr>
                <w:rFonts w:asciiTheme="majorHAnsi" w:hAnsiTheme="majorHAnsi" w:cstheme="majorHAnsi"/>
                <w:sz w:val="24"/>
                <w:szCs w:val="24"/>
              </w:rPr>
              <w:t>, segundo a qual decisões tomadas de forma informada, refletida e desinteressada são presumidamente legítimas, mesmo que os resultados não sejam os esperados.</w:t>
            </w:r>
          </w:p>
        </w:tc>
        <w:tc>
          <w:tcPr>
            <w:tcW w:w="4075" w:type="dxa"/>
          </w:tcPr>
          <w:p w14:paraId="3BC9B1FF"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76E4A4FD" w14:textId="77777777" w:rsidR="00EB19CA" w:rsidRPr="00D462F0" w:rsidRDefault="00EB19CA" w:rsidP="00D462F0">
            <w:pPr>
              <w:jc w:val="both"/>
              <w:rPr>
                <w:rFonts w:asciiTheme="majorHAnsi" w:hAnsiTheme="majorHAnsi" w:cstheme="majorHAnsi"/>
                <w:bCs/>
                <w:sz w:val="24"/>
                <w:szCs w:val="24"/>
              </w:rPr>
            </w:pPr>
          </w:p>
        </w:tc>
      </w:tr>
      <w:tr w:rsidR="00EB19CA" w:rsidRPr="00C93770" w14:paraId="27BC3D17" w14:textId="77777777" w:rsidTr="1756A420">
        <w:tc>
          <w:tcPr>
            <w:tcW w:w="4074" w:type="dxa"/>
          </w:tcPr>
          <w:p w14:paraId="09D45F1A" w14:textId="43BE44F9"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33511E18" w14:textId="7BDDAD53"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VI – </w:t>
            </w:r>
            <w:proofErr w:type="gramStart"/>
            <w:r w:rsidRPr="00D462F0">
              <w:rPr>
                <w:rFonts w:asciiTheme="majorHAnsi" w:eastAsia="Times New Roman" w:hAnsiTheme="majorHAnsi" w:cstheme="majorHAnsi"/>
                <w:bCs/>
                <w:color w:val="0000FF"/>
                <w:sz w:val="24"/>
                <w:szCs w:val="24"/>
              </w:rPr>
              <w:t>adequação</w:t>
            </w:r>
            <w:proofErr w:type="gramEnd"/>
            <w:r w:rsidRPr="00D462F0">
              <w:rPr>
                <w:rFonts w:asciiTheme="majorHAnsi" w:eastAsia="Times New Roman" w:hAnsiTheme="majorHAnsi" w:cstheme="majorHAnsi"/>
                <w:bCs/>
                <w:color w:val="0000FF"/>
                <w:sz w:val="24"/>
                <w:szCs w:val="24"/>
              </w:rPr>
              <w:t xml:space="preserve"> às obrigações: compatibilidade entre as políticas de investimento, as características previdenciárias de cada plano de benefícios e a estrutura das demais obrigações assumidas;</w:t>
            </w:r>
            <w:r w:rsidR="00D40187">
              <w:rPr>
                <w:rFonts w:asciiTheme="majorHAnsi" w:eastAsia="Times New Roman" w:hAnsiTheme="majorHAnsi" w:cstheme="majorHAnsi"/>
                <w:bCs/>
                <w:color w:val="0000FF"/>
                <w:sz w:val="24"/>
                <w:szCs w:val="24"/>
              </w:rPr>
              <w:t xml:space="preserve"> e</w:t>
            </w:r>
          </w:p>
        </w:tc>
        <w:tc>
          <w:tcPr>
            <w:tcW w:w="4074" w:type="dxa"/>
          </w:tcPr>
          <w:p w14:paraId="49FC5AA8" w14:textId="5563C16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Estabelece vínculo entre o passivo atuarial e a política de investimentos, assegurando aderência entre o fluxo de ativos e as obrigações previdenciárias.</w:t>
            </w:r>
          </w:p>
        </w:tc>
        <w:tc>
          <w:tcPr>
            <w:tcW w:w="4075" w:type="dxa"/>
          </w:tcPr>
          <w:p w14:paraId="6EFFECD3"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712EB3FF" w14:textId="77777777" w:rsidR="00EB19CA" w:rsidRPr="00D462F0" w:rsidRDefault="00EB19CA" w:rsidP="00D462F0">
            <w:pPr>
              <w:jc w:val="both"/>
              <w:rPr>
                <w:rFonts w:asciiTheme="majorHAnsi" w:hAnsiTheme="majorHAnsi" w:cstheme="majorHAnsi"/>
                <w:bCs/>
                <w:sz w:val="24"/>
                <w:szCs w:val="24"/>
              </w:rPr>
            </w:pPr>
          </w:p>
        </w:tc>
      </w:tr>
      <w:tr w:rsidR="00EB19CA" w:rsidRPr="00C93770" w14:paraId="35CF535A" w14:textId="77777777" w:rsidTr="1756A420">
        <w:tc>
          <w:tcPr>
            <w:tcW w:w="4074" w:type="dxa"/>
          </w:tcPr>
          <w:p w14:paraId="7B807424" w14:textId="6B2D5B60"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09F492A6" w14:textId="5CFEE985"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VII – transparência: disponibilização, em linguagem clara, simples e acessível, das informações relativas à política de investimento e à carteira de ativos financeiros para os participantes, assistidos, patrocinadores, instituidores e para o órgão fiscalizador das operações da EFPC</w:t>
            </w:r>
            <w:r w:rsidR="00D40187">
              <w:rPr>
                <w:rFonts w:asciiTheme="majorHAnsi" w:eastAsia="Times New Roman" w:hAnsiTheme="majorHAnsi" w:cstheme="majorHAnsi"/>
                <w:bCs/>
                <w:color w:val="0000FF"/>
                <w:sz w:val="24"/>
                <w:szCs w:val="24"/>
              </w:rPr>
              <w:t>.</w:t>
            </w:r>
          </w:p>
        </w:tc>
        <w:tc>
          <w:tcPr>
            <w:tcW w:w="4074" w:type="dxa"/>
          </w:tcPr>
          <w:p w14:paraId="06AAB0AB" w14:textId="0CDC36E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Visa assegurar clareza e acessibilidade das informações aos stakeholders, em consonância com princípios de governança e prestação de contas.</w:t>
            </w:r>
          </w:p>
        </w:tc>
        <w:tc>
          <w:tcPr>
            <w:tcW w:w="4075" w:type="dxa"/>
          </w:tcPr>
          <w:p w14:paraId="7731FEF2"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5D4832BD" w14:textId="77777777" w:rsidR="00EB19CA" w:rsidRPr="00D462F0" w:rsidRDefault="00EB19CA" w:rsidP="00D462F0">
            <w:pPr>
              <w:jc w:val="both"/>
              <w:rPr>
                <w:rFonts w:asciiTheme="majorHAnsi" w:hAnsiTheme="majorHAnsi" w:cstheme="majorHAnsi"/>
                <w:bCs/>
                <w:sz w:val="24"/>
                <w:szCs w:val="24"/>
              </w:rPr>
            </w:pPr>
          </w:p>
        </w:tc>
      </w:tr>
      <w:tr w:rsidR="00EB19CA" w:rsidRPr="00C93770" w14:paraId="4A547953" w14:textId="77777777" w:rsidTr="1756A420">
        <w:tc>
          <w:tcPr>
            <w:tcW w:w="4074" w:type="dxa"/>
          </w:tcPr>
          <w:p w14:paraId="6DBD839A" w14:textId="540E865E"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1A6E97F8" w14:textId="54E2430A" w:rsidR="00EB19CA" w:rsidRPr="00D462F0" w:rsidRDefault="00FB3502" w:rsidP="00D462F0">
            <w:pPr>
              <w:jc w:val="both"/>
              <w:rPr>
                <w:rFonts w:asciiTheme="majorHAnsi" w:hAnsiTheme="majorHAnsi" w:cstheme="majorHAnsi"/>
                <w:bCs/>
                <w:sz w:val="24"/>
                <w:szCs w:val="24"/>
              </w:rPr>
            </w:pPr>
            <w:r w:rsidRPr="00FB3502">
              <w:rPr>
                <w:rFonts w:asciiTheme="majorHAnsi" w:eastAsia="Times New Roman" w:hAnsiTheme="majorHAnsi" w:cstheme="majorHAnsi"/>
                <w:color w:val="0000FF"/>
                <w:sz w:val="24"/>
                <w:szCs w:val="24"/>
              </w:rPr>
              <w:t>§ 2º</w:t>
            </w:r>
            <w:r w:rsidRPr="00FB3502">
              <w:rPr>
                <w:rFonts w:asciiTheme="majorHAnsi" w:eastAsia="Times New Roman" w:hAnsiTheme="majorHAnsi" w:cstheme="majorHAnsi"/>
                <w:bCs/>
                <w:color w:val="0000FF"/>
                <w:sz w:val="24"/>
                <w:szCs w:val="24"/>
              </w:rPr>
              <w:t> Além do disposto no § 1º, as pessoas responsáveis pelo cumprimento das diretrizes de aplicação dos recursos garantidores dos planos de benefícios administrados pelas EFPC devem, no exercício de suas atividades e conforme previsto na Resolução vigente do Conselho Monetário Nacional – CMN, adotar conduta pautada em:</w:t>
            </w:r>
          </w:p>
        </w:tc>
        <w:tc>
          <w:tcPr>
            <w:tcW w:w="4074" w:type="dxa"/>
          </w:tcPr>
          <w:p w14:paraId="1FC8C3A9" w14:textId="77777777" w:rsidR="00EB19CA" w:rsidRPr="00D462F0" w:rsidRDefault="00EB19CA" w:rsidP="00D462F0">
            <w:pPr>
              <w:jc w:val="both"/>
              <w:rPr>
                <w:rFonts w:asciiTheme="majorHAnsi" w:hAnsiTheme="majorHAnsi" w:cstheme="majorHAnsi"/>
                <w:sz w:val="24"/>
                <w:szCs w:val="24"/>
              </w:rPr>
            </w:pPr>
          </w:p>
        </w:tc>
        <w:tc>
          <w:tcPr>
            <w:tcW w:w="4075" w:type="dxa"/>
          </w:tcPr>
          <w:p w14:paraId="29DB55C5"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7406F791" w14:textId="77777777" w:rsidR="00EB19CA" w:rsidRPr="00D462F0" w:rsidRDefault="00EB19CA" w:rsidP="00D462F0">
            <w:pPr>
              <w:jc w:val="both"/>
              <w:rPr>
                <w:rFonts w:asciiTheme="majorHAnsi" w:hAnsiTheme="majorHAnsi" w:cstheme="majorHAnsi"/>
                <w:bCs/>
                <w:sz w:val="24"/>
                <w:szCs w:val="24"/>
              </w:rPr>
            </w:pPr>
          </w:p>
        </w:tc>
      </w:tr>
      <w:tr w:rsidR="00EB19CA" w:rsidRPr="00C93770" w14:paraId="7D0D2F5E" w14:textId="77777777" w:rsidTr="00FB3502">
        <w:tc>
          <w:tcPr>
            <w:tcW w:w="4074" w:type="dxa"/>
          </w:tcPr>
          <w:p w14:paraId="25BF448A" w14:textId="5E761DF0"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lastRenderedPageBreak/>
              <w:t>Sem referência anterior.</w:t>
            </w:r>
          </w:p>
        </w:tc>
        <w:tc>
          <w:tcPr>
            <w:tcW w:w="4074" w:type="dxa"/>
          </w:tcPr>
          <w:p w14:paraId="35B51E60" w14:textId="746762F1" w:rsidR="00EB19CA" w:rsidRPr="00D462F0" w:rsidRDefault="00EB19CA" w:rsidP="00FB3502">
            <w:pPr>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I - </w:t>
            </w:r>
            <w:proofErr w:type="gramStart"/>
            <w:r w:rsidRPr="00D462F0">
              <w:rPr>
                <w:rFonts w:asciiTheme="majorHAnsi" w:eastAsia="Times New Roman" w:hAnsiTheme="majorHAnsi" w:cstheme="majorHAnsi"/>
                <w:bCs/>
                <w:color w:val="0000FF"/>
                <w:sz w:val="24"/>
                <w:szCs w:val="24"/>
              </w:rPr>
              <w:t>boa-fé</w:t>
            </w:r>
            <w:proofErr w:type="gramEnd"/>
            <w:r w:rsidRPr="00D462F0">
              <w:rPr>
                <w:rFonts w:asciiTheme="majorHAnsi" w:eastAsia="Times New Roman" w:hAnsiTheme="majorHAnsi" w:cstheme="majorHAnsi"/>
                <w:bCs/>
                <w:color w:val="0000FF"/>
                <w:sz w:val="24"/>
                <w:szCs w:val="24"/>
              </w:rPr>
              <w:t>: dever de agir com lealdade, ética, honestidade e probidade, adotando um padrão de conduta compatível com as responsabilidades que foram conferidas;</w:t>
            </w:r>
          </w:p>
        </w:tc>
        <w:tc>
          <w:tcPr>
            <w:tcW w:w="4074" w:type="dxa"/>
          </w:tcPr>
          <w:p w14:paraId="005B2438" w14:textId="14509A89" w:rsidR="00EB19CA" w:rsidRPr="00D462F0" w:rsidRDefault="00EB19CA" w:rsidP="00FB3502">
            <w:pPr>
              <w:rPr>
                <w:rFonts w:asciiTheme="majorHAnsi" w:hAnsiTheme="majorHAnsi" w:cstheme="majorHAnsi"/>
                <w:sz w:val="24"/>
                <w:szCs w:val="24"/>
              </w:rPr>
            </w:pPr>
            <w:r w:rsidRPr="00D462F0">
              <w:rPr>
                <w:rFonts w:asciiTheme="majorHAnsi" w:hAnsiTheme="majorHAnsi" w:cstheme="majorHAnsi"/>
                <w:sz w:val="24"/>
                <w:szCs w:val="24"/>
              </w:rPr>
              <w:t>Mantém o conceito de boa-fé em sentido amplo, conforme a Resolução CMN nº 5.202, de 2025. A inclusão da expressão “objetiva” pode restringir indevidamente o escopo da norma superior, causando conflito jurídico.</w:t>
            </w:r>
          </w:p>
        </w:tc>
        <w:tc>
          <w:tcPr>
            <w:tcW w:w="4075" w:type="dxa"/>
          </w:tcPr>
          <w:p w14:paraId="1965A070"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43891591" w14:textId="77777777" w:rsidR="00EB19CA" w:rsidRPr="00D462F0" w:rsidRDefault="00EB19CA" w:rsidP="00D462F0">
            <w:pPr>
              <w:jc w:val="both"/>
              <w:rPr>
                <w:rFonts w:asciiTheme="majorHAnsi" w:hAnsiTheme="majorHAnsi" w:cstheme="majorHAnsi"/>
                <w:bCs/>
                <w:sz w:val="24"/>
                <w:szCs w:val="24"/>
              </w:rPr>
            </w:pPr>
          </w:p>
        </w:tc>
      </w:tr>
      <w:tr w:rsidR="00EB19CA" w:rsidRPr="00C93770" w14:paraId="6FC4D27C" w14:textId="77777777" w:rsidTr="1756A420">
        <w:tc>
          <w:tcPr>
            <w:tcW w:w="4074" w:type="dxa"/>
          </w:tcPr>
          <w:p w14:paraId="7DDF339D" w14:textId="6AC89DBC"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76CC01A6" w14:textId="2D582637"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II – </w:t>
            </w:r>
            <w:proofErr w:type="gramStart"/>
            <w:r w:rsidRPr="00D462F0">
              <w:rPr>
                <w:rFonts w:asciiTheme="majorHAnsi" w:eastAsia="Times New Roman" w:hAnsiTheme="majorHAnsi" w:cstheme="majorHAnsi"/>
                <w:bCs/>
                <w:color w:val="0000FF"/>
                <w:sz w:val="24"/>
                <w:szCs w:val="24"/>
              </w:rPr>
              <w:t>lealdade</w:t>
            </w:r>
            <w:proofErr w:type="gramEnd"/>
            <w:r w:rsidRPr="00D462F0">
              <w:rPr>
                <w:rFonts w:asciiTheme="majorHAnsi" w:eastAsia="Times New Roman" w:hAnsiTheme="majorHAnsi" w:cstheme="majorHAnsi"/>
                <w:bCs/>
                <w:color w:val="0000FF"/>
                <w:sz w:val="24"/>
                <w:szCs w:val="24"/>
              </w:rPr>
              <w:t>: agir no interesse exclusivo dos participantes e assistidos, evitando situações de potencial conflito de interesses;</w:t>
            </w:r>
          </w:p>
        </w:tc>
        <w:tc>
          <w:tcPr>
            <w:tcW w:w="4074" w:type="dxa"/>
          </w:tcPr>
          <w:p w14:paraId="0B6821A3" w14:textId="29BEDBA2"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Reflete compromisso com os interesses dos participantes e assistidos, buscando evitar conflitos e privilegiar decisões imparciais.</w:t>
            </w:r>
          </w:p>
        </w:tc>
        <w:tc>
          <w:tcPr>
            <w:tcW w:w="4075" w:type="dxa"/>
          </w:tcPr>
          <w:p w14:paraId="19FC8C8D"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34DF2615" w14:textId="77777777" w:rsidR="00EB19CA" w:rsidRPr="00D462F0" w:rsidRDefault="00EB19CA" w:rsidP="00D462F0">
            <w:pPr>
              <w:jc w:val="both"/>
              <w:rPr>
                <w:rFonts w:asciiTheme="majorHAnsi" w:hAnsiTheme="majorHAnsi" w:cstheme="majorHAnsi"/>
                <w:bCs/>
                <w:sz w:val="24"/>
                <w:szCs w:val="24"/>
              </w:rPr>
            </w:pPr>
          </w:p>
        </w:tc>
      </w:tr>
      <w:tr w:rsidR="00EB19CA" w:rsidRPr="00C93770" w14:paraId="615889EC" w14:textId="77777777" w:rsidTr="1756A420">
        <w:tc>
          <w:tcPr>
            <w:tcW w:w="4074" w:type="dxa"/>
          </w:tcPr>
          <w:p w14:paraId="6CCBDD99" w14:textId="08A8C7A1"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64012ED7" w14:textId="4DFF2D20"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III – diligência: busca de informações relevantes para fundamentar as decisões e adoção de conduta pautada em cuidado técnico, avaliando os riscos envolvidos e observando as melhores práticas, para garantir o cumprimento do dever fiduciário em relação aos participantes e assistidos dos planos de benefícios; </w:t>
            </w:r>
          </w:p>
        </w:tc>
        <w:tc>
          <w:tcPr>
            <w:tcW w:w="4074" w:type="dxa"/>
          </w:tcPr>
          <w:p w14:paraId="1C6EDC7A" w14:textId="517302F5"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Incentiva atuação informada, prudente e com embasamento técnico na gestão dos recursos previdenciários em estrita observância ao dever fiduciário que o gestor deve ter em relação ao plano de benefícios, seus participantes e assistidos.</w:t>
            </w:r>
          </w:p>
        </w:tc>
        <w:tc>
          <w:tcPr>
            <w:tcW w:w="4075" w:type="dxa"/>
          </w:tcPr>
          <w:p w14:paraId="640CFD26" w14:textId="44456525"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tc>
      </w:tr>
      <w:tr w:rsidR="00EB19CA" w:rsidRPr="00C93770" w14:paraId="7081572F" w14:textId="77777777" w:rsidTr="1756A420">
        <w:tc>
          <w:tcPr>
            <w:tcW w:w="4074" w:type="dxa"/>
          </w:tcPr>
          <w:p w14:paraId="1CB00AE3" w14:textId="354604C0"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289E6C60" w14:textId="5A30F817"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IV - </w:t>
            </w:r>
            <w:proofErr w:type="gramStart"/>
            <w:r w:rsidRPr="00D462F0">
              <w:rPr>
                <w:rFonts w:asciiTheme="majorHAnsi" w:eastAsia="Times New Roman" w:hAnsiTheme="majorHAnsi" w:cstheme="majorHAnsi"/>
                <w:bCs/>
                <w:color w:val="0000FF"/>
                <w:sz w:val="24"/>
                <w:szCs w:val="24"/>
              </w:rPr>
              <w:t>tempestividade</w:t>
            </w:r>
            <w:proofErr w:type="gramEnd"/>
            <w:r w:rsidRPr="00D462F0">
              <w:rPr>
                <w:rFonts w:asciiTheme="majorHAnsi" w:eastAsia="Times New Roman" w:hAnsiTheme="majorHAnsi" w:cstheme="majorHAnsi"/>
                <w:bCs/>
                <w:color w:val="0000FF"/>
                <w:sz w:val="24"/>
                <w:szCs w:val="24"/>
              </w:rPr>
              <w:t>: capacidade em se adaptar com presteza, dentro do tempo adequado, às condições de mercado, às necessidades e objetivos de longo prazo dos planos de benefícios, a partir da tomada de decisões negociais de forma ágil, prudente e eficaz; e</w:t>
            </w:r>
          </w:p>
        </w:tc>
        <w:tc>
          <w:tcPr>
            <w:tcW w:w="4074" w:type="dxa"/>
          </w:tcPr>
          <w:p w14:paraId="60B06468" w14:textId="23AA68FE"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Garante que as decisões acompanhem mudanças de mercado com agilidade, sem comprometer a prudência e em tempo hábil.</w:t>
            </w:r>
          </w:p>
        </w:tc>
        <w:tc>
          <w:tcPr>
            <w:tcW w:w="4075" w:type="dxa"/>
          </w:tcPr>
          <w:p w14:paraId="5B8A9B8F"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Inciso II do art. 4º do Decreto nº 10.411, de 2020. </w:t>
            </w:r>
          </w:p>
          <w:p w14:paraId="6A08D933" w14:textId="77777777" w:rsidR="00EB19CA" w:rsidRPr="00D462F0" w:rsidRDefault="00EB19CA" w:rsidP="00D462F0">
            <w:pPr>
              <w:jc w:val="both"/>
              <w:rPr>
                <w:rFonts w:asciiTheme="majorHAnsi" w:hAnsiTheme="majorHAnsi" w:cstheme="majorHAnsi"/>
                <w:bCs/>
                <w:sz w:val="24"/>
                <w:szCs w:val="24"/>
              </w:rPr>
            </w:pPr>
          </w:p>
        </w:tc>
      </w:tr>
      <w:tr w:rsidR="00EB19CA" w:rsidRPr="00C93770" w14:paraId="75DECF75" w14:textId="77777777" w:rsidTr="1756A420">
        <w:tc>
          <w:tcPr>
            <w:tcW w:w="4074" w:type="dxa"/>
          </w:tcPr>
          <w:p w14:paraId="2CFAA83A" w14:textId="6F7E9B22"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color w:val="000000"/>
                <w:sz w:val="24"/>
                <w:szCs w:val="24"/>
              </w:rPr>
              <w:t>Sem referência anterior.</w:t>
            </w:r>
          </w:p>
        </w:tc>
        <w:tc>
          <w:tcPr>
            <w:tcW w:w="4074" w:type="dxa"/>
            <w:vAlign w:val="center"/>
          </w:tcPr>
          <w:p w14:paraId="2714802E" w14:textId="67124D8D"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t xml:space="preserve">V – </w:t>
            </w:r>
            <w:proofErr w:type="gramStart"/>
            <w:r w:rsidRPr="00D462F0">
              <w:rPr>
                <w:rFonts w:asciiTheme="majorHAnsi" w:eastAsia="Times New Roman" w:hAnsiTheme="majorHAnsi" w:cstheme="majorHAnsi"/>
                <w:bCs/>
                <w:color w:val="0000FF"/>
                <w:sz w:val="24"/>
                <w:szCs w:val="24"/>
              </w:rPr>
              <w:t>prudência</w:t>
            </w:r>
            <w:proofErr w:type="gramEnd"/>
            <w:r w:rsidRPr="00D462F0">
              <w:rPr>
                <w:rFonts w:asciiTheme="majorHAnsi" w:eastAsia="Times New Roman" w:hAnsiTheme="majorHAnsi" w:cstheme="majorHAnsi"/>
                <w:bCs/>
                <w:color w:val="0000FF"/>
                <w:sz w:val="24"/>
                <w:szCs w:val="24"/>
              </w:rPr>
              <w:t>: adoção de conduta pautada em cautela e equilíbrio na tomada de decisões de investimentos, com julgamento refletido e análise criteriosa dos impactos sobre os planos de benefícios e seus participantes, assistidos, patrocinadores e instituidores.</w:t>
            </w:r>
          </w:p>
        </w:tc>
        <w:tc>
          <w:tcPr>
            <w:tcW w:w="4074" w:type="dxa"/>
          </w:tcPr>
          <w:p w14:paraId="588626A6" w14:textId="44361122"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Incorpora princípio basilar da gestão previdenciária, fundamental para preservação de reservas e sustentabilidade dos planos.</w:t>
            </w:r>
          </w:p>
        </w:tc>
        <w:tc>
          <w:tcPr>
            <w:tcW w:w="4075" w:type="dxa"/>
          </w:tcPr>
          <w:p w14:paraId="2D858227" w14:textId="693C294E"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EB19CA" w:rsidRPr="00C93770" w14:paraId="4ECDF178" w14:textId="77777777" w:rsidTr="1756A420">
        <w:tc>
          <w:tcPr>
            <w:tcW w:w="4074" w:type="dxa"/>
          </w:tcPr>
          <w:p w14:paraId="44097B04"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w:t>
            </w:r>
          </w:p>
          <w:p w14:paraId="7FC9ABAB" w14:textId="3AC10E96"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Política de Investimento</w:t>
            </w:r>
          </w:p>
        </w:tc>
        <w:tc>
          <w:tcPr>
            <w:tcW w:w="4074" w:type="dxa"/>
          </w:tcPr>
          <w:p w14:paraId="1B596AEF"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w:t>
            </w:r>
          </w:p>
          <w:p w14:paraId="76CBBC2C" w14:textId="50680F84"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Política de Investimento</w:t>
            </w:r>
          </w:p>
        </w:tc>
        <w:tc>
          <w:tcPr>
            <w:tcW w:w="4074" w:type="dxa"/>
          </w:tcPr>
          <w:p w14:paraId="00FEEA56" w14:textId="77777777" w:rsidR="00EB19CA" w:rsidRPr="00D462F0" w:rsidRDefault="00EB19CA" w:rsidP="0028717C">
            <w:pPr>
              <w:jc w:val="center"/>
              <w:rPr>
                <w:rFonts w:asciiTheme="majorHAnsi" w:hAnsiTheme="majorHAnsi" w:cstheme="majorHAnsi"/>
                <w:sz w:val="24"/>
                <w:szCs w:val="24"/>
              </w:rPr>
            </w:pPr>
          </w:p>
        </w:tc>
        <w:tc>
          <w:tcPr>
            <w:tcW w:w="4075" w:type="dxa"/>
          </w:tcPr>
          <w:p w14:paraId="4E708C94" w14:textId="77777777" w:rsidR="00EB19CA" w:rsidRPr="00D462F0" w:rsidRDefault="00EB19CA" w:rsidP="00D462F0">
            <w:pPr>
              <w:jc w:val="both"/>
              <w:rPr>
                <w:rFonts w:asciiTheme="majorHAnsi" w:hAnsiTheme="majorHAnsi" w:cstheme="majorHAnsi"/>
                <w:bCs/>
                <w:sz w:val="24"/>
                <w:szCs w:val="24"/>
              </w:rPr>
            </w:pPr>
          </w:p>
        </w:tc>
      </w:tr>
      <w:tr w:rsidR="00EB19CA" w:rsidRPr="00C93770" w14:paraId="5B7E90A6" w14:textId="77777777" w:rsidTr="1756A420">
        <w:tc>
          <w:tcPr>
            <w:tcW w:w="4074" w:type="dxa"/>
          </w:tcPr>
          <w:p w14:paraId="4DB55685" w14:textId="3B04EAD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Art. 212.  A política de investimento deve conter, no mínimo, as seguintes informações:</w:t>
            </w:r>
          </w:p>
        </w:tc>
        <w:tc>
          <w:tcPr>
            <w:tcW w:w="4074" w:type="dxa"/>
          </w:tcPr>
          <w:p w14:paraId="40C5028F" w14:textId="37851DB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212.  ...</w:t>
            </w:r>
          </w:p>
        </w:tc>
        <w:tc>
          <w:tcPr>
            <w:tcW w:w="4074" w:type="dxa"/>
          </w:tcPr>
          <w:p w14:paraId="61000469" w14:textId="46306620"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8B60F87" w14:textId="77777777" w:rsidR="00EB19CA" w:rsidRPr="00D462F0" w:rsidRDefault="00EB19CA" w:rsidP="00D462F0">
            <w:pPr>
              <w:jc w:val="both"/>
              <w:rPr>
                <w:rFonts w:asciiTheme="majorHAnsi" w:hAnsiTheme="majorHAnsi" w:cstheme="majorHAnsi"/>
                <w:bCs/>
                <w:sz w:val="24"/>
                <w:szCs w:val="24"/>
              </w:rPr>
            </w:pPr>
          </w:p>
        </w:tc>
      </w:tr>
      <w:tr w:rsidR="00297D09" w:rsidRPr="00C93770" w14:paraId="709C53DC" w14:textId="77777777" w:rsidTr="1756A420">
        <w:tc>
          <w:tcPr>
            <w:tcW w:w="4074" w:type="dxa"/>
          </w:tcPr>
          <w:p w14:paraId="6DEFF553" w14:textId="07D57B91" w:rsidR="00297D09" w:rsidRPr="00D462F0" w:rsidRDefault="00297D09"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29A37135" w14:textId="64AA1844"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E3AC20F" w14:textId="77777777" w:rsidR="00297D09" w:rsidRPr="00D462F0" w:rsidRDefault="00297D09" w:rsidP="00D462F0">
            <w:pPr>
              <w:jc w:val="both"/>
              <w:rPr>
                <w:rFonts w:asciiTheme="majorHAnsi" w:hAnsiTheme="majorHAnsi" w:cstheme="majorHAnsi"/>
                <w:sz w:val="24"/>
                <w:szCs w:val="24"/>
              </w:rPr>
            </w:pPr>
          </w:p>
        </w:tc>
        <w:tc>
          <w:tcPr>
            <w:tcW w:w="4075" w:type="dxa"/>
          </w:tcPr>
          <w:p w14:paraId="2F33C86A" w14:textId="77777777" w:rsidR="00297D09" w:rsidRPr="00D462F0" w:rsidRDefault="00297D09" w:rsidP="00D462F0">
            <w:pPr>
              <w:jc w:val="both"/>
              <w:rPr>
                <w:rFonts w:asciiTheme="majorHAnsi" w:hAnsiTheme="majorHAnsi" w:cstheme="majorHAnsi"/>
                <w:bCs/>
                <w:sz w:val="24"/>
                <w:szCs w:val="24"/>
              </w:rPr>
            </w:pPr>
          </w:p>
        </w:tc>
      </w:tr>
      <w:tr w:rsidR="00EB19CA" w:rsidRPr="00C93770" w14:paraId="51A24D49" w14:textId="77777777" w:rsidTr="1756A420">
        <w:tc>
          <w:tcPr>
            <w:tcW w:w="4074" w:type="dxa"/>
          </w:tcPr>
          <w:p w14:paraId="21800BA5" w14:textId="10430C0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III - a rentabilidade auferida por plano e segmento de aplicação nos cinco exercícios anteriores da política de investimento do exercício de referência, de forma acumulada e por exercício;</w:t>
            </w:r>
          </w:p>
        </w:tc>
        <w:tc>
          <w:tcPr>
            <w:tcW w:w="4074" w:type="dxa"/>
          </w:tcPr>
          <w:p w14:paraId="484B7C87" w14:textId="7731E90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III - a rentabilidade auferida por plano e segmento de aplicação nos cinco exercícios anteriores </w:t>
            </w:r>
            <w:r w:rsidRPr="00D462F0">
              <w:rPr>
                <w:rFonts w:asciiTheme="majorHAnsi" w:hAnsiTheme="majorHAnsi" w:cstheme="majorHAnsi"/>
                <w:bCs/>
                <w:strike/>
                <w:color w:val="EE0000"/>
                <w:sz w:val="24"/>
                <w:szCs w:val="24"/>
              </w:rPr>
              <w:t>da política de investimento</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ao </w:t>
            </w:r>
            <w:r w:rsidRPr="00D462F0">
              <w:rPr>
                <w:rFonts w:asciiTheme="majorHAnsi" w:hAnsiTheme="majorHAnsi" w:cstheme="majorHAnsi"/>
                <w:bCs/>
                <w:sz w:val="24"/>
                <w:szCs w:val="24"/>
              </w:rPr>
              <w:t>do exercício de referência, de forma acumulada e por exercício;</w:t>
            </w:r>
          </w:p>
        </w:tc>
        <w:tc>
          <w:tcPr>
            <w:tcW w:w="4074" w:type="dxa"/>
          </w:tcPr>
          <w:p w14:paraId="12F51ABE" w14:textId="50C55BA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w:t>
            </w:r>
          </w:p>
        </w:tc>
        <w:tc>
          <w:tcPr>
            <w:tcW w:w="4075" w:type="dxa"/>
          </w:tcPr>
          <w:p w14:paraId="600F9A60" w14:textId="3E59F2C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252C3A54" w14:textId="77777777" w:rsidTr="1756A420">
        <w:tc>
          <w:tcPr>
            <w:tcW w:w="4074" w:type="dxa"/>
          </w:tcPr>
          <w:p w14:paraId="5A7BBF63" w14:textId="1363FB80" w:rsidR="00EB19CA"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86A18F2" w14:textId="658F354A"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94BEFE6" w14:textId="77777777" w:rsidR="00EB19CA" w:rsidRPr="00D462F0" w:rsidRDefault="00EB19CA" w:rsidP="00D462F0">
            <w:pPr>
              <w:jc w:val="both"/>
              <w:rPr>
                <w:rFonts w:asciiTheme="majorHAnsi" w:hAnsiTheme="majorHAnsi" w:cstheme="majorHAnsi"/>
                <w:sz w:val="24"/>
                <w:szCs w:val="24"/>
              </w:rPr>
            </w:pPr>
          </w:p>
        </w:tc>
        <w:tc>
          <w:tcPr>
            <w:tcW w:w="4075" w:type="dxa"/>
          </w:tcPr>
          <w:p w14:paraId="713F51A6" w14:textId="77777777" w:rsidR="00EB19CA" w:rsidRPr="00D462F0" w:rsidRDefault="00EB19CA" w:rsidP="00D462F0">
            <w:pPr>
              <w:jc w:val="both"/>
              <w:rPr>
                <w:rFonts w:asciiTheme="majorHAnsi" w:hAnsiTheme="majorHAnsi" w:cstheme="majorHAnsi"/>
                <w:bCs/>
                <w:sz w:val="24"/>
                <w:szCs w:val="24"/>
              </w:rPr>
            </w:pPr>
          </w:p>
        </w:tc>
      </w:tr>
      <w:tr w:rsidR="00EB19CA" w:rsidRPr="00C93770" w14:paraId="21051DAE" w14:textId="77777777" w:rsidTr="1756A420">
        <w:tc>
          <w:tcPr>
            <w:tcW w:w="4074" w:type="dxa"/>
          </w:tcPr>
          <w:p w14:paraId="2CC66715" w14:textId="605CC722"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VI - </w:t>
            </w:r>
            <w:proofErr w:type="gramStart"/>
            <w:r w:rsidRPr="00D462F0">
              <w:rPr>
                <w:rFonts w:asciiTheme="majorHAnsi" w:hAnsiTheme="majorHAnsi" w:cstheme="majorHAnsi"/>
                <w:sz w:val="24"/>
                <w:szCs w:val="24"/>
              </w:rPr>
              <w:t>as</w:t>
            </w:r>
            <w:proofErr w:type="gramEnd"/>
            <w:r w:rsidRPr="00D462F0">
              <w:rPr>
                <w:rFonts w:asciiTheme="majorHAnsi" w:hAnsiTheme="majorHAnsi" w:cstheme="majorHAnsi"/>
                <w:sz w:val="24"/>
                <w:szCs w:val="24"/>
              </w:rPr>
              <w:t xml:space="preserve"> diretrizes para observância de princípios de responsabilidade ambiental, social e de governança, preferencialmente, de forma diferenciada por setores da atividade econômica; e</w:t>
            </w:r>
          </w:p>
        </w:tc>
        <w:tc>
          <w:tcPr>
            <w:tcW w:w="4074" w:type="dxa"/>
          </w:tcPr>
          <w:p w14:paraId="526D5DCE" w14:textId="31CDD59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EE0000"/>
                <w:sz w:val="24"/>
                <w:szCs w:val="24"/>
              </w:rPr>
              <w:t xml:space="preserve">Revogar </w:t>
            </w:r>
          </w:p>
        </w:tc>
        <w:tc>
          <w:tcPr>
            <w:tcW w:w="4074" w:type="dxa"/>
          </w:tcPr>
          <w:p w14:paraId="48B4851F" w14:textId="33F63E2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Revogar o inciso VI porque o conteúdo será abrangido pelo disciplinado na alínea “h” do inciso VII, do mesmo artigo.</w:t>
            </w:r>
          </w:p>
        </w:tc>
        <w:tc>
          <w:tcPr>
            <w:tcW w:w="4075" w:type="dxa"/>
          </w:tcPr>
          <w:p w14:paraId="5063D592" w14:textId="77777777" w:rsidR="00EB19CA" w:rsidRPr="00D462F0" w:rsidRDefault="00EB19CA" w:rsidP="00D462F0">
            <w:pPr>
              <w:jc w:val="both"/>
              <w:rPr>
                <w:rFonts w:asciiTheme="majorHAnsi" w:hAnsiTheme="majorHAnsi" w:cstheme="majorHAnsi"/>
                <w:bCs/>
                <w:sz w:val="24"/>
                <w:szCs w:val="24"/>
              </w:rPr>
            </w:pPr>
          </w:p>
        </w:tc>
      </w:tr>
      <w:tr w:rsidR="00EB19CA" w:rsidRPr="00C93770" w14:paraId="0D144610" w14:textId="77777777" w:rsidTr="1756A420">
        <w:tc>
          <w:tcPr>
            <w:tcW w:w="4074" w:type="dxa"/>
          </w:tcPr>
          <w:p w14:paraId="5C50554E" w14:textId="49CEF87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VII - as informações ou a indicação de documento em que constem procedimentos e critérios relativos à:</w:t>
            </w:r>
          </w:p>
        </w:tc>
        <w:tc>
          <w:tcPr>
            <w:tcW w:w="4074" w:type="dxa"/>
          </w:tcPr>
          <w:p w14:paraId="10E57AEA" w14:textId="0B0BA90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VII </w:t>
            </w:r>
            <w:r w:rsidR="006414E3" w:rsidRPr="00D462F0">
              <w:rPr>
                <w:rFonts w:asciiTheme="majorHAnsi" w:hAnsiTheme="majorHAnsi" w:cstheme="majorHAnsi"/>
                <w:bCs/>
                <w:sz w:val="24"/>
                <w:szCs w:val="24"/>
              </w:rPr>
              <w:t xml:space="preserve">- </w:t>
            </w:r>
            <w:r w:rsidRPr="00D462F0">
              <w:rPr>
                <w:rFonts w:asciiTheme="majorHAnsi" w:hAnsiTheme="majorHAnsi" w:cstheme="majorHAnsi"/>
                <w:bCs/>
                <w:sz w:val="24"/>
                <w:szCs w:val="24"/>
              </w:rPr>
              <w:t>...</w:t>
            </w:r>
          </w:p>
        </w:tc>
        <w:tc>
          <w:tcPr>
            <w:tcW w:w="4074" w:type="dxa"/>
          </w:tcPr>
          <w:p w14:paraId="4EA913DC" w14:textId="52F1D70B"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76BC93F" w14:textId="77777777" w:rsidR="00EB19CA" w:rsidRPr="00D462F0" w:rsidRDefault="00EB19CA" w:rsidP="00D462F0">
            <w:pPr>
              <w:jc w:val="both"/>
              <w:rPr>
                <w:rFonts w:asciiTheme="majorHAnsi" w:hAnsiTheme="majorHAnsi" w:cstheme="majorHAnsi"/>
                <w:bCs/>
                <w:sz w:val="24"/>
                <w:szCs w:val="24"/>
              </w:rPr>
            </w:pPr>
          </w:p>
        </w:tc>
      </w:tr>
      <w:tr w:rsidR="00EB19CA" w:rsidRPr="00C93770" w14:paraId="529AA545" w14:textId="77777777" w:rsidTr="1756A420">
        <w:tc>
          <w:tcPr>
            <w:tcW w:w="4074" w:type="dxa"/>
          </w:tcPr>
          <w:p w14:paraId="5DD094EC" w14:textId="31EBA9B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precificação dos ativos financeiros com metodologia ou as fontes de referência adotadas;</w:t>
            </w:r>
          </w:p>
        </w:tc>
        <w:tc>
          <w:tcPr>
            <w:tcW w:w="4074" w:type="dxa"/>
          </w:tcPr>
          <w:p w14:paraId="25EE1C05" w14:textId="38D9944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precificação dos ativos financeiros</w:t>
            </w:r>
            <w:r w:rsidRPr="00D462F0">
              <w:rPr>
                <w:rFonts w:asciiTheme="majorHAnsi" w:hAnsiTheme="majorHAnsi" w:cstheme="majorHAnsi"/>
                <w:bCs/>
                <w:color w:val="0000FF"/>
                <w:sz w:val="24"/>
                <w:szCs w:val="24"/>
              </w:rPr>
              <w:t>,</w:t>
            </w:r>
            <w:r w:rsidRPr="00D462F0">
              <w:rPr>
                <w:rFonts w:asciiTheme="majorHAnsi" w:hAnsiTheme="majorHAnsi" w:cstheme="majorHAnsi"/>
                <w:bCs/>
                <w:sz w:val="24"/>
                <w:szCs w:val="24"/>
              </w:rPr>
              <w:t xml:space="preserve"> com metodologia </w:t>
            </w:r>
            <w:r w:rsidRPr="00D462F0">
              <w:rPr>
                <w:rFonts w:asciiTheme="majorHAnsi" w:hAnsiTheme="majorHAnsi" w:cstheme="majorHAnsi"/>
                <w:bCs/>
                <w:strike/>
                <w:color w:val="EE0000"/>
                <w:sz w:val="24"/>
                <w:szCs w:val="24"/>
              </w:rPr>
              <w:t>ou</w:t>
            </w:r>
            <w:r w:rsidRPr="00D462F0">
              <w:rPr>
                <w:rFonts w:asciiTheme="majorHAnsi" w:hAnsiTheme="majorHAnsi" w:cstheme="majorHAnsi"/>
                <w:bCs/>
                <w:sz w:val="24"/>
                <w:szCs w:val="24"/>
              </w:rPr>
              <w:t xml:space="preserve"> </w:t>
            </w:r>
            <w:proofErr w:type="gramStart"/>
            <w:r w:rsidRPr="00D462F0">
              <w:rPr>
                <w:rFonts w:asciiTheme="majorHAnsi" w:hAnsiTheme="majorHAnsi" w:cstheme="majorHAnsi"/>
                <w:bCs/>
                <w:color w:val="0000FF"/>
                <w:sz w:val="24"/>
                <w:szCs w:val="24"/>
              </w:rPr>
              <w:t>e</w:t>
            </w:r>
            <w:proofErr w:type="gramEnd"/>
            <w:r w:rsidRPr="00D462F0">
              <w:rPr>
                <w:rFonts w:asciiTheme="majorHAnsi" w:hAnsiTheme="majorHAnsi" w:cstheme="majorHAnsi"/>
                <w:bCs/>
                <w:color w:val="0000FF"/>
                <w:sz w:val="24"/>
                <w:szCs w:val="24"/>
              </w:rPr>
              <w:t xml:space="preserve"> </w:t>
            </w:r>
            <w:r w:rsidRPr="00D462F0">
              <w:rPr>
                <w:rFonts w:asciiTheme="majorHAnsi" w:hAnsiTheme="majorHAnsi" w:cstheme="majorHAnsi"/>
                <w:bCs/>
                <w:sz w:val="24"/>
                <w:szCs w:val="24"/>
              </w:rPr>
              <w:t xml:space="preserve">as fontes de referência adotadas; </w:t>
            </w:r>
          </w:p>
        </w:tc>
        <w:tc>
          <w:tcPr>
            <w:tcW w:w="4074" w:type="dxa"/>
          </w:tcPr>
          <w:p w14:paraId="3AB5B014" w14:textId="77777777" w:rsidR="00EB19CA" w:rsidRPr="00D462F0" w:rsidRDefault="00EB19CA" w:rsidP="00D462F0">
            <w:pPr>
              <w:jc w:val="both"/>
              <w:rPr>
                <w:rFonts w:asciiTheme="majorHAnsi" w:hAnsiTheme="majorHAnsi" w:cstheme="majorHAnsi"/>
                <w:sz w:val="24"/>
                <w:szCs w:val="24"/>
              </w:rPr>
            </w:pPr>
          </w:p>
        </w:tc>
        <w:tc>
          <w:tcPr>
            <w:tcW w:w="4075" w:type="dxa"/>
          </w:tcPr>
          <w:p w14:paraId="6730B4F2" w14:textId="0E1AB31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0D35B256" w14:textId="77777777" w:rsidTr="1756A420">
        <w:tc>
          <w:tcPr>
            <w:tcW w:w="4074" w:type="dxa"/>
          </w:tcPr>
          <w:p w14:paraId="11C31D7D" w14:textId="52A4E4A7" w:rsidR="00EB19CA" w:rsidRPr="00D462F0" w:rsidRDefault="006414E3"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54EFA96" w14:textId="6687E092"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1F00C7B" w14:textId="77777777" w:rsidR="00EB19CA" w:rsidRPr="00D462F0" w:rsidRDefault="00EB19CA" w:rsidP="00D462F0">
            <w:pPr>
              <w:jc w:val="both"/>
              <w:rPr>
                <w:rFonts w:asciiTheme="majorHAnsi" w:hAnsiTheme="majorHAnsi" w:cstheme="majorHAnsi"/>
                <w:sz w:val="24"/>
                <w:szCs w:val="24"/>
              </w:rPr>
            </w:pPr>
          </w:p>
        </w:tc>
        <w:tc>
          <w:tcPr>
            <w:tcW w:w="4075" w:type="dxa"/>
          </w:tcPr>
          <w:p w14:paraId="311BA92B" w14:textId="77777777" w:rsidR="00EB19CA" w:rsidRPr="00D462F0" w:rsidRDefault="00EB19CA" w:rsidP="00D462F0">
            <w:pPr>
              <w:jc w:val="both"/>
              <w:rPr>
                <w:rFonts w:asciiTheme="majorHAnsi" w:hAnsiTheme="majorHAnsi" w:cstheme="majorHAnsi"/>
                <w:bCs/>
                <w:sz w:val="24"/>
                <w:szCs w:val="24"/>
              </w:rPr>
            </w:pPr>
          </w:p>
        </w:tc>
      </w:tr>
      <w:tr w:rsidR="00EB19CA" w:rsidRPr="00C93770" w14:paraId="7DD782E8" w14:textId="77777777" w:rsidTr="1756A420">
        <w:tc>
          <w:tcPr>
            <w:tcW w:w="4074" w:type="dxa"/>
          </w:tcPr>
          <w:p w14:paraId="60074D4E" w14:textId="1932ED8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g) mitigação de potenciais conflitos de interesse de seus prestadores de serviços e das pessoas que participam do processo decisório.</w:t>
            </w:r>
          </w:p>
        </w:tc>
        <w:tc>
          <w:tcPr>
            <w:tcW w:w="4074" w:type="dxa"/>
          </w:tcPr>
          <w:p w14:paraId="132D8ECB" w14:textId="51CF66C0"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g) mitigação de potenciais conflitos de interesses de seus prestadores de serviços e das pessoas que participam do processo decisório</w:t>
            </w:r>
            <w:r w:rsidRPr="00D462F0">
              <w:rPr>
                <w:rFonts w:asciiTheme="majorHAnsi" w:hAnsiTheme="majorHAnsi" w:cstheme="majorHAnsi"/>
                <w:bCs/>
                <w:color w:val="0000FF"/>
                <w:sz w:val="24"/>
                <w:szCs w:val="24"/>
              </w:rPr>
              <w:t>; e</w:t>
            </w:r>
          </w:p>
        </w:tc>
        <w:tc>
          <w:tcPr>
            <w:tcW w:w="4074" w:type="dxa"/>
          </w:tcPr>
          <w:p w14:paraId="55CBB2F9" w14:textId="77777777" w:rsidR="00EB19CA" w:rsidRPr="00D462F0" w:rsidRDefault="00EB19CA" w:rsidP="00D462F0">
            <w:pPr>
              <w:jc w:val="both"/>
              <w:rPr>
                <w:rFonts w:asciiTheme="majorHAnsi" w:hAnsiTheme="majorHAnsi" w:cstheme="majorHAnsi"/>
                <w:sz w:val="24"/>
                <w:szCs w:val="24"/>
              </w:rPr>
            </w:pPr>
          </w:p>
        </w:tc>
        <w:tc>
          <w:tcPr>
            <w:tcW w:w="4075" w:type="dxa"/>
          </w:tcPr>
          <w:p w14:paraId="029DE143" w14:textId="77777777" w:rsidR="00EB19CA" w:rsidRPr="00D462F0" w:rsidRDefault="00EB19CA" w:rsidP="00D462F0">
            <w:pPr>
              <w:jc w:val="both"/>
              <w:rPr>
                <w:rFonts w:asciiTheme="majorHAnsi" w:hAnsiTheme="majorHAnsi" w:cstheme="majorHAnsi"/>
                <w:bCs/>
                <w:sz w:val="24"/>
                <w:szCs w:val="24"/>
              </w:rPr>
            </w:pPr>
          </w:p>
        </w:tc>
      </w:tr>
      <w:tr w:rsidR="00EB19CA" w:rsidRPr="00C93770" w14:paraId="2A0CDCD8" w14:textId="77777777" w:rsidTr="1756A420">
        <w:tc>
          <w:tcPr>
            <w:tcW w:w="4074" w:type="dxa"/>
          </w:tcPr>
          <w:p w14:paraId="4FC5E7A2" w14:textId="21C173FA"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6540B3D" w14:textId="05BF2DE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h) descrição da metodologia para a análise da materialidade e relevância dos fatores de sustentabilidade econômica, ambiental e social, nos termos do § 1º do art. 368-B.</w:t>
            </w:r>
          </w:p>
        </w:tc>
        <w:tc>
          <w:tcPr>
            <w:tcW w:w="4074" w:type="dxa"/>
          </w:tcPr>
          <w:p w14:paraId="1EC1605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Estabelecer que a política de investimentos descreva sobre os filtros e supra a necessidade de registro dos documentos.</w:t>
            </w:r>
          </w:p>
          <w:p w14:paraId="7B997AE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O novo regramento relativo à integração de critérios Ambientais, Sociais e de Governança (ASG) fundamenta-se na elaboração, pela </w:t>
            </w:r>
            <w:r w:rsidRPr="00D462F0">
              <w:rPr>
                <w:rFonts w:asciiTheme="majorHAnsi" w:hAnsiTheme="majorHAnsi" w:cstheme="majorHAnsi"/>
                <w:sz w:val="24"/>
                <w:szCs w:val="24"/>
              </w:rPr>
              <w:lastRenderedPageBreak/>
              <w:t>própria Entidade Fechada de Previdência Complementar (EFPC), de um documento normativo interno. Nesse documento, a EFPC estabelecerá os critérios e procedimentos para a condução da análise de materialidade e relevância aplicáveis aos investimentos quanto a aspectos ASG. Tal instrumento funcionará como um filtro orientador: somente os investimentos que atenderem aos parâmetros definidos nesse documento deverão ser submetidos à análise ASG, em consonância com o previsto na regulamentação vigente.</w:t>
            </w:r>
          </w:p>
          <w:p w14:paraId="114017C0" w14:textId="77777777" w:rsidR="00EB19CA" w:rsidRPr="00D462F0" w:rsidRDefault="00EB19CA" w:rsidP="00D462F0">
            <w:pPr>
              <w:jc w:val="both"/>
              <w:rPr>
                <w:rFonts w:asciiTheme="majorHAnsi" w:hAnsiTheme="majorHAnsi" w:cstheme="majorHAnsi"/>
                <w:sz w:val="24"/>
                <w:szCs w:val="24"/>
              </w:rPr>
            </w:pPr>
          </w:p>
        </w:tc>
        <w:tc>
          <w:tcPr>
            <w:tcW w:w="4075" w:type="dxa"/>
          </w:tcPr>
          <w:p w14:paraId="43D7A422"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lastRenderedPageBreak/>
              <w:t>Inciso II do art. 4º do Decreto nº 10.411, de 2020.</w:t>
            </w:r>
          </w:p>
          <w:p w14:paraId="574B984A" w14:textId="645FA20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regulamentação dos §§ 4º e 5º do art. 2º da Resolução CMN nº 4.994, de 2022, configura disciplinamento de obrigações expressamente delegadas à Previc pelo Conselho Monetário Nacional. O § 5º estabelece que as EFPC </w:t>
            </w:r>
            <w:r w:rsidRPr="00D462F0">
              <w:rPr>
                <w:rFonts w:asciiTheme="majorHAnsi" w:hAnsiTheme="majorHAnsi" w:cstheme="majorHAnsi"/>
                <w:bCs/>
                <w:sz w:val="24"/>
                <w:szCs w:val="24"/>
              </w:rPr>
              <w:lastRenderedPageBreak/>
              <w:t>devem avaliar e dar transparência aos impactos ambientais, sociais ou de governança, observando segmentação e critérios definidos pela Previc.</w:t>
            </w:r>
          </w:p>
          <w:p w14:paraId="62DBEC80" w14:textId="0A1E338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cumprimento dessa delegação é tecnicamente indissociável da regulamentação dos critérios de materialidade e relevância do § 4º. A expressão 'quando julgar material e relevante' constitui pressuposto essencial para implementar adequadamente a avaliação e transparência determinadas pelo CMN, pois a ausência de parâmetros normativos tornaria inexequível o comando superior.</w:t>
            </w:r>
          </w:p>
        </w:tc>
      </w:tr>
      <w:tr w:rsidR="00EB19CA" w:rsidRPr="00C93770" w14:paraId="301F13F4" w14:textId="77777777" w:rsidTr="1756A420">
        <w:tc>
          <w:tcPr>
            <w:tcW w:w="4074" w:type="dxa"/>
          </w:tcPr>
          <w:p w14:paraId="4A8104FD" w14:textId="6DA3BC85" w:rsidR="00EB19CA" w:rsidRPr="00D462F0" w:rsidRDefault="00EB19CA" w:rsidP="004E06F1">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Art. 213.  A EFPC que oferecer perfil de investimento nos planos de benefícios deve:</w:t>
            </w:r>
          </w:p>
        </w:tc>
        <w:tc>
          <w:tcPr>
            <w:tcW w:w="4074" w:type="dxa"/>
          </w:tcPr>
          <w:p w14:paraId="52A9326E" w14:textId="4C74D4C3" w:rsidR="00EB19CA" w:rsidRPr="00D462F0" w:rsidRDefault="00EB19CA" w:rsidP="004E06F1">
            <w:pPr>
              <w:jc w:val="both"/>
              <w:rPr>
                <w:rFonts w:asciiTheme="majorHAnsi" w:hAnsiTheme="majorHAnsi" w:cstheme="majorHAnsi"/>
                <w:bCs/>
                <w:sz w:val="24"/>
                <w:szCs w:val="24"/>
              </w:rPr>
            </w:pPr>
            <w:r w:rsidRPr="00D462F0">
              <w:rPr>
                <w:rFonts w:asciiTheme="majorHAnsi" w:hAnsiTheme="majorHAnsi" w:cstheme="majorHAnsi"/>
                <w:bCs/>
                <w:sz w:val="24"/>
                <w:szCs w:val="24"/>
              </w:rPr>
              <w:t>Art. 213.  ...</w:t>
            </w:r>
          </w:p>
        </w:tc>
        <w:tc>
          <w:tcPr>
            <w:tcW w:w="4074" w:type="dxa"/>
          </w:tcPr>
          <w:p w14:paraId="40007B9B" w14:textId="0DF9BBA3"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6D92B462" w14:textId="77777777" w:rsidR="00EB19CA" w:rsidRPr="00D462F0" w:rsidRDefault="00EB19CA" w:rsidP="00D462F0">
            <w:pPr>
              <w:jc w:val="both"/>
              <w:rPr>
                <w:rFonts w:asciiTheme="majorHAnsi" w:hAnsiTheme="majorHAnsi" w:cstheme="majorHAnsi"/>
                <w:bCs/>
                <w:sz w:val="24"/>
                <w:szCs w:val="24"/>
              </w:rPr>
            </w:pPr>
          </w:p>
        </w:tc>
      </w:tr>
      <w:tr w:rsidR="00297D09" w:rsidRPr="00C93770" w14:paraId="346C2764" w14:textId="77777777" w:rsidTr="1756A420">
        <w:tc>
          <w:tcPr>
            <w:tcW w:w="4074" w:type="dxa"/>
          </w:tcPr>
          <w:p w14:paraId="6F351894" w14:textId="5B37D39B" w:rsidR="00297D09" w:rsidRPr="00D462F0" w:rsidRDefault="00297D09"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62FCE777" w14:textId="41254546"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1B48AA42" w14:textId="77777777" w:rsidR="00297D09" w:rsidRPr="00D462F0" w:rsidRDefault="00297D09" w:rsidP="00D462F0">
            <w:pPr>
              <w:jc w:val="both"/>
              <w:rPr>
                <w:rFonts w:asciiTheme="majorHAnsi" w:hAnsiTheme="majorHAnsi" w:cstheme="majorHAnsi"/>
                <w:sz w:val="24"/>
                <w:szCs w:val="24"/>
              </w:rPr>
            </w:pPr>
          </w:p>
        </w:tc>
        <w:tc>
          <w:tcPr>
            <w:tcW w:w="4075" w:type="dxa"/>
          </w:tcPr>
          <w:p w14:paraId="4DB85A47" w14:textId="77777777" w:rsidR="00297D09" w:rsidRPr="00D462F0" w:rsidRDefault="00297D09" w:rsidP="00D462F0">
            <w:pPr>
              <w:jc w:val="both"/>
              <w:rPr>
                <w:rFonts w:asciiTheme="majorHAnsi" w:hAnsiTheme="majorHAnsi" w:cstheme="majorHAnsi"/>
                <w:bCs/>
                <w:sz w:val="24"/>
                <w:szCs w:val="24"/>
              </w:rPr>
            </w:pPr>
          </w:p>
        </w:tc>
      </w:tr>
      <w:tr w:rsidR="00EB19CA" w:rsidRPr="00C93770" w14:paraId="181DF00D" w14:textId="77777777" w:rsidTr="1756A420">
        <w:tc>
          <w:tcPr>
            <w:tcW w:w="4074" w:type="dxa"/>
          </w:tcPr>
          <w:p w14:paraId="334D5753" w14:textId="2FFCAC6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V - </w:t>
            </w:r>
            <w:proofErr w:type="gramStart"/>
            <w:r w:rsidRPr="00D462F0">
              <w:rPr>
                <w:rFonts w:asciiTheme="majorHAnsi" w:hAnsiTheme="majorHAnsi" w:cstheme="majorHAnsi"/>
                <w:sz w:val="24"/>
                <w:szCs w:val="24"/>
              </w:rPr>
              <w:t>manter</w:t>
            </w:r>
            <w:proofErr w:type="gramEnd"/>
            <w:r w:rsidRPr="00D462F0">
              <w:rPr>
                <w:rFonts w:asciiTheme="majorHAnsi" w:hAnsiTheme="majorHAnsi" w:cstheme="majorHAnsi"/>
                <w:sz w:val="24"/>
                <w:szCs w:val="24"/>
              </w:rPr>
              <w:t xml:space="preserve"> cópia, por meio digital, de todos os documentos utilizados pela EFPC para atender os procedimentos de que trata esta Seção.</w:t>
            </w:r>
          </w:p>
        </w:tc>
        <w:tc>
          <w:tcPr>
            <w:tcW w:w="4074" w:type="dxa"/>
          </w:tcPr>
          <w:p w14:paraId="391BE345" w14:textId="0B6F21D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 - </w:t>
            </w:r>
            <w:proofErr w:type="gramStart"/>
            <w:r w:rsidRPr="00D462F0">
              <w:rPr>
                <w:rFonts w:asciiTheme="majorHAnsi" w:hAnsiTheme="majorHAnsi" w:cstheme="majorHAnsi"/>
                <w:bCs/>
                <w:sz w:val="24"/>
                <w:szCs w:val="24"/>
              </w:rPr>
              <w:t>manter</w:t>
            </w:r>
            <w:proofErr w:type="gramEnd"/>
            <w:r w:rsidRPr="00D462F0">
              <w:rPr>
                <w:rFonts w:asciiTheme="majorHAnsi" w:hAnsiTheme="majorHAnsi" w:cstheme="majorHAnsi"/>
                <w:bCs/>
                <w:sz w:val="24"/>
                <w:szCs w:val="24"/>
              </w:rPr>
              <w:t xml:space="preserve"> cópia, por meio digital, de todos os documentos utilizados pela EFPC para atender </w:t>
            </w:r>
            <w:r w:rsidRPr="00D462F0">
              <w:rPr>
                <w:rFonts w:asciiTheme="majorHAnsi" w:hAnsiTheme="majorHAnsi" w:cstheme="majorHAnsi"/>
                <w:bCs/>
                <w:strike/>
                <w:color w:val="EE0000"/>
                <w:sz w:val="24"/>
                <w:szCs w:val="24"/>
              </w:rPr>
              <w:t xml:space="preserve">os procedimentos de que trata </w:t>
            </w:r>
            <w:proofErr w:type="gramStart"/>
            <w:r w:rsidRPr="00D462F0">
              <w:rPr>
                <w:rFonts w:asciiTheme="majorHAnsi" w:hAnsiTheme="majorHAnsi" w:cstheme="majorHAnsi"/>
                <w:bCs/>
                <w:strike/>
                <w:color w:val="EE0000"/>
                <w:sz w:val="24"/>
                <w:szCs w:val="24"/>
              </w:rPr>
              <w:t>esta</w:t>
            </w:r>
            <w:proofErr w:type="gramEnd"/>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ao disposto</w:t>
            </w:r>
            <w:r w:rsidRPr="00D462F0">
              <w:rPr>
                <w:rFonts w:asciiTheme="majorHAnsi" w:hAnsiTheme="majorHAnsi" w:cstheme="majorHAnsi"/>
                <w:bCs/>
                <w:strike/>
                <w:color w:val="0000FF"/>
                <w:sz w:val="24"/>
                <w:szCs w:val="24"/>
              </w:rPr>
              <w:t xml:space="preserve"> </w:t>
            </w:r>
            <w:r w:rsidRPr="00D462F0">
              <w:rPr>
                <w:rFonts w:asciiTheme="majorHAnsi" w:hAnsiTheme="majorHAnsi" w:cstheme="majorHAnsi"/>
                <w:bCs/>
                <w:color w:val="0000FF"/>
                <w:sz w:val="24"/>
                <w:szCs w:val="24"/>
              </w:rPr>
              <w:t>nesta</w:t>
            </w:r>
            <w:r w:rsidRPr="00D462F0">
              <w:rPr>
                <w:rFonts w:asciiTheme="majorHAnsi" w:hAnsiTheme="majorHAnsi" w:cstheme="majorHAnsi"/>
                <w:bCs/>
                <w:sz w:val="24"/>
                <w:szCs w:val="24"/>
              </w:rPr>
              <w:t xml:space="preserve"> Seção.</w:t>
            </w:r>
          </w:p>
        </w:tc>
        <w:tc>
          <w:tcPr>
            <w:tcW w:w="4074" w:type="dxa"/>
          </w:tcPr>
          <w:p w14:paraId="7DEA98EB" w14:textId="417326C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Ajuste redacional para aprimorar a compreensão, reduzindo possíveis ambiguidades.  </w:t>
            </w:r>
          </w:p>
        </w:tc>
        <w:tc>
          <w:tcPr>
            <w:tcW w:w="4075" w:type="dxa"/>
          </w:tcPr>
          <w:p w14:paraId="2BF95AD2" w14:textId="79A4688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297D09" w:rsidRPr="00C93770" w14:paraId="169795BC" w14:textId="77777777" w:rsidTr="1756A420">
        <w:tc>
          <w:tcPr>
            <w:tcW w:w="4074" w:type="dxa"/>
          </w:tcPr>
          <w:p w14:paraId="66A4EA02" w14:textId="467F0030" w:rsidR="00297D09" w:rsidRPr="00D462F0" w:rsidRDefault="00297D09"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FB22B43" w14:textId="20D2BD78" w:rsidR="00297D09" w:rsidRPr="00D462F0" w:rsidRDefault="00297D09"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1328FB1" w14:textId="77777777" w:rsidR="00297D09" w:rsidRPr="00D462F0" w:rsidRDefault="00297D09" w:rsidP="00D462F0">
            <w:pPr>
              <w:jc w:val="both"/>
              <w:rPr>
                <w:rFonts w:asciiTheme="majorHAnsi" w:hAnsiTheme="majorHAnsi" w:cstheme="majorHAnsi"/>
                <w:sz w:val="24"/>
                <w:szCs w:val="24"/>
              </w:rPr>
            </w:pPr>
          </w:p>
        </w:tc>
        <w:tc>
          <w:tcPr>
            <w:tcW w:w="4075" w:type="dxa"/>
          </w:tcPr>
          <w:p w14:paraId="1BBF57CA" w14:textId="77777777" w:rsidR="00297D09" w:rsidRPr="00D462F0" w:rsidRDefault="00297D09" w:rsidP="00D462F0">
            <w:pPr>
              <w:jc w:val="both"/>
              <w:rPr>
                <w:rFonts w:asciiTheme="majorHAnsi" w:hAnsiTheme="majorHAnsi" w:cstheme="majorHAnsi"/>
                <w:bCs/>
                <w:sz w:val="24"/>
                <w:szCs w:val="24"/>
              </w:rPr>
            </w:pPr>
          </w:p>
        </w:tc>
      </w:tr>
      <w:tr w:rsidR="00EB19CA" w:rsidRPr="00C93770" w14:paraId="208DF8A2" w14:textId="77777777" w:rsidTr="1756A420">
        <w:tc>
          <w:tcPr>
            <w:tcW w:w="4074" w:type="dxa"/>
          </w:tcPr>
          <w:p w14:paraId="4F8EDA52" w14:textId="5984E41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214.  A opção do participante ou assistido por perfil de investimento ou a sua alteração deve ser formalizada em termo específico.</w:t>
            </w:r>
          </w:p>
        </w:tc>
        <w:tc>
          <w:tcPr>
            <w:tcW w:w="4074" w:type="dxa"/>
          </w:tcPr>
          <w:p w14:paraId="365A4D16" w14:textId="2D5F771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214.  ...</w:t>
            </w:r>
          </w:p>
        </w:tc>
        <w:tc>
          <w:tcPr>
            <w:tcW w:w="4074" w:type="dxa"/>
          </w:tcPr>
          <w:p w14:paraId="414C21E7" w14:textId="2FD351BA"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20BD7DC0" w14:textId="77777777" w:rsidR="00EB19CA" w:rsidRPr="00D462F0" w:rsidRDefault="00EB19CA" w:rsidP="00D462F0">
            <w:pPr>
              <w:jc w:val="both"/>
              <w:rPr>
                <w:rFonts w:asciiTheme="majorHAnsi" w:hAnsiTheme="majorHAnsi" w:cstheme="majorHAnsi"/>
                <w:bCs/>
                <w:sz w:val="24"/>
                <w:szCs w:val="24"/>
              </w:rPr>
            </w:pPr>
          </w:p>
        </w:tc>
      </w:tr>
      <w:tr w:rsidR="00EB19CA" w:rsidRPr="00C93770" w14:paraId="416CEDF0" w14:textId="77777777" w:rsidTr="1756A420">
        <w:tc>
          <w:tcPr>
            <w:tcW w:w="4074" w:type="dxa"/>
          </w:tcPr>
          <w:p w14:paraId="01881614" w14:textId="2E5C137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§1</w:t>
            </w:r>
            <w:proofErr w:type="gramStart"/>
            <w:r w:rsidRPr="00D462F0">
              <w:rPr>
                <w:rFonts w:asciiTheme="majorHAnsi" w:hAnsiTheme="majorHAnsi" w:cstheme="majorHAnsi"/>
                <w:sz w:val="24"/>
                <w:szCs w:val="24"/>
              </w:rPr>
              <w:t>º  Caso</w:t>
            </w:r>
            <w:proofErr w:type="gramEnd"/>
            <w:r w:rsidRPr="00D462F0">
              <w:rPr>
                <w:rFonts w:asciiTheme="majorHAnsi" w:hAnsiTheme="majorHAnsi" w:cstheme="majorHAnsi"/>
                <w:sz w:val="24"/>
                <w:szCs w:val="24"/>
              </w:rPr>
              <w:t xml:space="preserve"> a EFPC identifique que o perfil de investimento escolhido pelo participante ou assistido não é adequado ao seu perfil, deverá alertá-lo, para que o participante, a seu critério, confirme a alteração de perfil de investimento.</w:t>
            </w:r>
          </w:p>
        </w:tc>
        <w:tc>
          <w:tcPr>
            <w:tcW w:w="4074" w:type="dxa"/>
          </w:tcPr>
          <w:p w14:paraId="5CC3ABB8" w14:textId="1D63AA9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§1</w:t>
            </w:r>
            <w:proofErr w:type="gramStart"/>
            <w:r w:rsidRPr="00D462F0">
              <w:rPr>
                <w:rFonts w:asciiTheme="majorHAnsi" w:hAnsiTheme="majorHAnsi" w:cstheme="majorHAnsi"/>
                <w:bCs/>
                <w:sz w:val="24"/>
                <w:szCs w:val="24"/>
              </w:rPr>
              <w:t>º  Caso</w:t>
            </w:r>
            <w:proofErr w:type="gramEnd"/>
            <w:r w:rsidRPr="00D462F0">
              <w:rPr>
                <w:rFonts w:asciiTheme="majorHAnsi" w:hAnsiTheme="majorHAnsi" w:cstheme="majorHAnsi"/>
                <w:bCs/>
                <w:sz w:val="24"/>
                <w:szCs w:val="24"/>
              </w:rPr>
              <w:t xml:space="preserve"> a EFPC identifique que o perfil de investimento escolhido pelo participante ou assistido não é adequado ao seu perfil, deverá alertá-lo, para que o participante, a seu critério, confirme a </w:t>
            </w:r>
            <w:r w:rsidRPr="00D462F0">
              <w:rPr>
                <w:rFonts w:asciiTheme="majorHAnsi" w:hAnsiTheme="majorHAnsi" w:cstheme="majorHAnsi"/>
                <w:bCs/>
                <w:strike/>
                <w:color w:val="EE0000"/>
                <w:sz w:val="24"/>
                <w:szCs w:val="24"/>
              </w:rPr>
              <w:t>alteração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seleção </w:t>
            </w:r>
            <w:proofErr w:type="gramStart"/>
            <w:r w:rsidRPr="00D462F0">
              <w:rPr>
                <w:rFonts w:asciiTheme="majorHAnsi" w:hAnsiTheme="majorHAnsi" w:cstheme="majorHAnsi"/>
                <w:bCs/>
                <w:strike/>
                <w:color w:val="EE0000"/>
                <w:sz w:val="24"/>
                <w:szCs w:val="24"/>
              </w:rPr>
              <w:t>de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do</w:t>
            </w:r>
            <w:proofErr w:type="gramEnd"/>
            <w:r w:rsidRPr="00D462F0">
              <w:rPr>
                <w:rFonts w:asciiTheme="majorHAnsi" w:hAnsiTheme="majorHAnsi" w:cstheme="majorHAnsi"/>
                <w:bCs/>
                <w:color w:val="0000FF"/>
                <w:sz w:val="24"/>
                <w:szCs w:val="24"/>
              </w:rPr>
              <w:t xml:space="preserve"> </w:t>
            </w:r>
            <w:r w:rsidRPr="00D462F0">
              <w:rPr>
                <w:rFonts w:asciiTheme="majorHAnsi" w:hAnsiTheme="majorHAnsi" w:cstheme="majorHAnsi"/>
                <w:bCs/>
                <w:sz w:val="24"/>
                <w:szCs w:val="24"/>
              </w:rPr>
              <w:t>perfil de investimento.</w:t>
            </w:r>
          </w:p>
        </w:tc>
        <w:tc>
          <w:tcPr>
            <w:tcW w:w="4074" w:type="dxa"/>
          </w:tcPr>
          <w:p w14:paraId="599FA35C" w14:textId="1394AA4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Ajuste redacional para aprimorar a redação, reduzindo possíveis ambiguidades. </w:t>
            </w:r>
          </w:p>
        </w:tc>
        <w:tc>
          <w:tcPr>
            <w:tcW w:w="4075" w:type="dxa"/>
          </w:tcPr>
          <w:p w14:paraId="5C4AECD7" w14:textId="49553D3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780821" w:rsidRPr="00C93770" w14:paraId="36C85FB4" w14:textId="77777777" w:rsidTr="1756A420">
        <w:tc>
          <w:tcPr>
            <w:tcW w:w="4074" w:type="dxa"/>
          </w:tcPr>
          <w:p w14:paraId="603383C3" w14:textId="7DD4A910" w:rsidR="00780821" w:rsidRPr="00D462F0" w:rsidRDefault="00780821"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3352BCC9" w14:textId="53102AE8" w:rsidR="00780821" w:rsidRPr="00D462F0" w:rsidRDefault="00780821"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82148E9" w14:textId="77777777" w:rsidR="00780821" w:rsidRPr="00D462F0" w:rsidRDefault="00780821" w:rsidP="00D462F0">
            <w:pPr>
              <w:jc w:val="both"/>
              <w:rPr>
                <w:rFonts w:asciiTheme="majorHAnsi" w:hAnsiTheme="majorHAnsi" w:cstheme="majorHAnsi"/>
                <w:sz w:val="24"/>
                <w:szCs w:val="24"/>
              </w:rPr>
            </w:pPr>
          </w:p>
        </w:tc>
        <w:tc>
          <w:tcPr>
            <w:tcW w:w="4075" w:type="dxa"/>
          </w:tcPr>
          <w:p w14:paraId="7FF6B69B" w14:textId="77777777" w:rsidR="00780821" w:rsidRPr="00D462F0" w:rsidRDefault="00780821" w:rsidP="00D462F0">
            <w:pPr>
              <w:jc w:val="both"/>
              <w:rPr>
                <w:rFonts w:asciiTheme="majorHAnsi" w:hAnsiTheme="majorHAnsi" w:cstheme="majorHAnsi"/>
                <w:bCs/>
                <w:sz w:val="24"/>
                <w:szCs w:val="24"/>
              </w:rPr>
            </w:pPr>
          </w:p>
        </w:tc>
      </w:tr>
      <w:tr w:rsidR="00EB19CA" w:rsidRPr="00C93770" w14:paraId="0561EF19" w14:textId="77777777" w:rsidTr="1756A420">
        <w:tc>
          <w:tcPr>
            <w:tcW w:w="4074" w:type="dxa"/>
          </w:tcPr>
          <w:p w14:paraId="0AF0F75E" w14:textId="557EAC7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Art. 215.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 </w:t>
            </w:r>
          </w:p>
        </w:tc>
        <w:tc>
          <w:tcPr>
            <w:tcW w:w="4074" w:type="dxa"/>
          </w:tcPr>
          <w:p w14:paraId="594E8932" w14:textId="62CF1F7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215.  ...</w:t>
            </w:r>
          </w:p>
        </w:tc>
        <w:tc>
          <w:tcPr>
            <w:tcW w:w="4074" w:type="dxa"/>
          </w:tcPr>
          <w:p w14:paraId="34F217E9" w14:textId="4FCC12B4"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68C09D4" w14:textId="77777777" w:rsidR="00EB19CA" w:rsidRPr="00D462F0" w:rsidRDefault="00EB19CA" w:rsidP="00D462F0">
            <w:pPr>
              <w:jc w:val="both"/>
              <w:rPr>
                <w:rFonts w:asciiTheme="majorHAnsi" w:hAnsiTheme="majorHAnsi" w:cstheme="majorHAnsi"/>
                <w:bCs/>
                <w:sz w:val="24"/>
                <w:szCs w:val="24"/>
              </w:rPr>
            </w:pPr>
          </w:p>
        </w:tc>
      </w:tr>
      <w:tr w:rsidR="00EB19CA" w:rsidRPr="00C93770" w14:paraId="2215EECB" w14:textId="77777777" w:rsidTr="1756A420">
        <w:tc>
          <w:tcPr>
            <w:tcW w:w="4074" w:type="dxa"/>
          </w:tcPr>
          <w:p w14:paraId="191E46D6" w14:textId="3DE26B3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Parágrafo único. A EFPC deve prever a forma de cálculo de cota de cada perfil de investimentos em documento aprovado pelo Conselho Deliberativo.</w:t>
            </w:r>
          </w:p>
        </w:tc>
        <w:tc>
          <w:tcPr>
            <w:tcW w:w="4074" w:type="dxa"/>
          </w:tcPr>
          <w:p w14:paraId="39902E6C" w14:textId="3238E39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Parágrafo único. </w:t>
            </w:r>
            <w:r w:rsidRPr="00D462F0">
              <w:rPr>
                <w:rFonts w:asciiTheme="majorHAnsi" w:hAnsiTheme="majorHAnsi" w:cstheme="majorHAnsi"/>
                <w:bCs/>
                <w:strike/>
                <w:color w:val="EE0000"/>
                <w:sz w:val="24"/>
                <w:szCs w:val="24"/>
              </w:rPr>
              <w:t>A EFPC deve prever a</w:t>
            </w:r>
            <w:r w:rsidRPr="00D462F0">
              <w:rPr>
                <w:rFonts w:asciiTheme="majorHAnsi" w:hAnsiTheme="majorHAnsi" w:cstheme="majorHAnsi"/>
                <w:bCs/>
                <w:color w:val="EE0000"/>
                <w:sz w:val="24"/>
                <w:szCs w:val="24"/>
              </w:rPr>
              <w:t xml:space="preserve"> </w:t>
            </w:r>
            <w:proofErr w:type="spellStart"/>
            <w:r w:rsidRPr="00D462F0">
              <w:rPr>
                <w:rFonts w:asciiTheme="majorHAnsi" w:hAnsiTheme="majorHAnsi" w:cstheme="majorHAnsi"/>
                <w:bCs/>
                <w:color w:val="0000FF"/>
                <w:sz w:val="24"/>
                <w:szCs w:val="24"/>
              </w:rPr>
              <w:t>A</w:t>
            </w:r>
            <w:proofErr w:type="spellEnd"/>
            <w:r w:rsidRPr="00D462F0">
              <w:rPr>
                <w:rFonts w:asciiTheme="majorHAnsi" w:hAnsiTheme="majorHAnsi" w:cstheme="majorHAnsi"/>
                <w:bCs/>
                <w:color w:val="0000FF"/>
                <w:sz w:val="24"/>
                <w:szCs w:val="24"/>
              </w:rPr>
              <w:t xml:space="preserve"> </w:t>
            </w:r>
            <w:r w:rsidRPr="00D462F0">
              <w:rPr>
                <w:rFonts w:asciiTheme="majorHAnsi" w:hAnsiTheme="majorHAnsi" w:cstheme="majorHAnsi"/>
                <w:bCs/>
                <w:sz w:val="24"/>
                <w:szCs w:val="24"/>
              </w:rPr>
              <w:t>forma de cálculo de cota de cada perfil de investimento</w:t>
            </w:r>
            <w:r w:rsidRPr="00D462F0">
              <w:rPr>
                <w:rFonts w:asciiTheme="majorHAnsi" w:hAnsiTheme="majorHAnsi" w:cstheme="majorHAnsi"/>
                <w:bCs/>
                <w:strike/>
                <w:color w:val="EE0000"/>
                <w:sz w:val="24"/>
                <w:szCs w:val="24"/>
              </w:rPr>
              <w:t>s</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deve estar prevista </w:t>
            </w:r>
            <w:r w:rsidRPr="00D462F0">
              <w:rPr>
                <w:rFonts w:asciiTheme="majorHAnsi" w:hAnsiTheme="majorHAnsi" w:cstheme="majorHAnsi"/>
                <w:bCs/>
                <w:sz w:val="24"/>
                <w:szCs w:val="24"/>
              </w:rPr>
              <w:t>em documento aprovado pelo Conselho Deliberativo.</w:t>
            </w:r>
          </w:p>
        </w:tc>
        <w:tc>
          <w:tcPr>
            <w:tcW w:w="4074" w:type="dxa"/>
          </w:tcPr>
          <w:p w14:paraId="6B51C54A" w14:textId="4B800F4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deixar claro que a previsão em documento da forma de cálculo de cada perfil não é facultativa.</w:t>
            </w:r>
          </w:p>
        </w:tc>
        <w:tc>
          <w:tcPr>
            <w:tcW w:w="4075" w:type="dxa"/>
          </w:tcPr>
          <w:p w14:paraId="3B0AA2D7" w14:textId="0AD77841"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Inciso IV do art. 4º do Decreto nº 10.411, de 2020.</w:t>
            </w:r>
          </w:p>
        </w:tc>
      </w:tr>
      <w:tr w:rsidR="00EB19CA" w:rsidRPr="00C93770" w14:paraId="14970A91" w14:textId="77777777" w:rsidTr="1756A420">
        <w:tc>
          <w:tcPr>
            <w:tcW w:w="4074" w:type="dxa"/>
          </w:tcPr>
          <w:p w14:paraId="072D1E73"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III</w:t>
            </w:r>
          </w:p>
          <w:p w14:paraId="3E76AFAC" w14:textId="68F5C42B"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Ativo Final</w:t>
            </w:r>
          </w:p>
        </w:tc>
        <w:tc>
          <w:tcPr>
            <w:tcW w:w="4074" w:type="dxa"/>
          </w:tcPr>
          <w:p w14:paraId="37738DC6"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III</w:t>
            </w:r>
          </w:p>
          <w:p w14:paraId="6A3E2FB9" w14:textId="6712AAD6"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Ativo Final</w:t>
            </w:r>
          </w:p>
        </w:tc>
        <w:tc>
          <w:tcPr>
            <w:tcW w:w="4074" w:type="dxa"/>
          </w:tcPr>
          <w:p w14:paraId="6EB9CF08" w14:textId="77777777" w:rsidR="00EB19CA" w:rsidRPr="00D462F0" w:rsidRDefault="00EB19CA" w:rsidP="00D462F0">
            <w:pPr>
              <w:jc w:val="both"/>
              <w:rPr>
                <w:rFonts w:asciiTheme="majorHAnsi" w:hAnsiTheme="majorHAnsi" w:cstheme="majorHAnsi"/>
                <w:sz w:val="24"/>
                <w:szCs w:val="24"/>
              </w:rPr>
            </w:pPr>
          </w:p>
        </w:tc>
        <w:tc>
          <w:tcPr>
            <w:tcW w:w="4075" w:type="dxa"/>
          </w:tcPr>
          <w:p w14:paraId="6948454A" w14:textId="77777777" w:rsidR="00EB19CA" w:rsidRPr="00D462F0" w:rsidRDefault="00EB19CA" w:rsidP="00D462F0">
            <w:pPr>
              <w:jc w:val="both"/>
              <w:rPr>
                <w:rFonts w:asciiTheme="majorHAnsi" w:hAnsiTheme="majorHAnsi" w:cstheme="majorHAnsi"/>
                <w:bCs/>
                <w:sz w:val="24"/>
                <w:szCs w:val="24"/>
              </w:rPr>
            </w:pPr>
          </w:p>
        </w:tc>
      </w:tr>
      <w:tr w:rsidR="00EB19CA" w:rsidRPr="00C93770" w14:paraId="58050C72" w14:textId="77777777" w:rsidTr="1756A420">
        <w:tc>
          <w:tcPr>
            <w:tcW w:w="4074" w:type="dxa"/>
          </w:tcPr>
          <w:p w14:paraId="017D189F" w14:textId="5230BFA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216.  Considera-se ativo final os ativos financeiros individuais e as cotas de fundos de investimentos de que trata o parágrafo único do art. 32 da Resolução CMN nº 4.994, de 2022.</w:t>
            </w:r>
          </w:p>
        </w:tc>
        <w:tc>
          <w:tcPr>
            <w:tcW w:w="4074" w:type="dxa"/>
          </w:tcPr>
          <w:p w14:paraId="37264B3A" w14:textId="3334BFA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216.  Consideram-se </w:t>
            </w:r>
            <w:r w:rsidRPr="00D462F0">
              <w:rPr>
                <w:rFonts w:asciiTheme="majorHAnsi" w:hAnsiTheme="majorHAnsi" w:cstheme="majorHAnsi"/>
                <w:bCs/>
                <w:strike/>
                <w:color w:val="EE0000"/>
                <w:sz w:val="24"/>
                <w:szCs w:val="24"/>
              </w:rPr>
              <w:t>ativo final</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ativos finais </w:t>
            </w:r>
            <w:r w:rsidRPr="00D462F0">
              <w:rPr>
                <w:rFonts w:asciiTheme="majorHAnsi" w:hAnsiTheme="majorHAnsi" w:cstheme="majorHAnsi"/>
                <w:bCs/>
                <w:sz w:val="24"/>
                <w:szCs w:val="24"/>
              </w:rPr>
              <w:t xml:space="preserve">os ativos financeiros individuais e as </w:t>
            </w:r>
            <w:r w:rsidRPr="00D462F0">
              <w:rPr>
                <w:rFonts w:asciiTheme="majorHAnsi" w:hAnsiTheme="majorHAnsi" w:cstheme="majorHAnsi"/>
                <w:bCs/>
                <w:color w:val="0000FF"/>
                <w:sz w:val="24"/>
                <w:szCs w:val="24"/>
              </w:rPr>
              <w:t xml:space="preserve">classes de </w:t>
            </w:r>
            <w:r w:rsidRPr="00D462F0">
              <w:rPr>
                <w:rFonts w:asciiTheme="majorHAnsi" w:hAnsiTheme="majorHAnsi" w:cstheme="majorHAnsi"/>
                <w:bCs/>
                <w:sz w:val="24"/>
                <w:szCs w:val="24"/>
              </w:rPr>
              <w:t xml:space="preserve">cotas de fundos de investimentos de que trata </w:t>
            </w:r>
            <w:r w:rsidRPr="00D462F0">
              <w:rPr>
                <w:rFonts w:asciiTheme="majorHAnsi" w:hAnsiTheme="majorHAnsi" w:cstheme="majorHAnsi"/>
                <w:bCs/>
                <w:strike/>
                <w:color w:val="EE0000"/>
                <w:sz w:val="24"/>
                <w:szCs w:val="24"/>
              </w:rPr>
              <w:t>o parágrafo único do art. 32 da Resolução CMN nº 4.994, de 2022</w:t>
            </w:r>
            <w:r w:rsidRPr="00D462F0">
              <w:rPr>
                <w:rFonts w:asciiTheme="majorHAnsi" w:hAnsiTheme="majorHAnsi" w:cstheme="majorHAnsi"/>
                <w:bCs/>
                <w:color w:val="0000FF"/>
                <w:sz w:val="24"/>
                <w:szCs w:val="24"/>
              </w:rPr>
              <w:t xml:space="preserve"> a</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Resolução do Conselho Monetário Nacional sobre aplicação dos recursos dos planos administrados pelas EFPC.</w:t>
            </w:r>
          </w:p>
        </w:tc>
        <w:tc>
          <w:tcPr>
            <w:tcW w:w="4074" w:type="dxa"/>
          </w:tcPr>
          <w:p w14:paraId="5320C424" w14:textId="09A8878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Adaptação à Resolução CMN nº 5.202, de 2025, e Resolução CVM nº175, de 2022, assim como retirada expressa da Resolução CMN nº 4.994, de 2022.</w:t>
            </w:r>
          </w:p>
        </w:tc>
        <w:tc>
          <w:tcPr>
            <w:tcW w:w="4075" w:type="dxa"/>
          </w:tcPr>
          <w:p w14:paraId="2B1176BD" w14:textId="2163886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0B1F7927" w14:textId="77777777" w:rsidTr="1756A420">
        <w:tc>
          <w:tcPr>
            <w:tcW w:w="4074" w:type="dxa"/>
          </w:tcPr>
          <w:p w14:paraId="54BB5ECF" w14:textId="0273B84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Parágrafo único.  O ativo final de que trata o caput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4074" w:type="dxa"/>
          </w:tcPr>
          <w:p w14:paraId="33310C88" w14:textId="2C71106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Parágrafo único.  O ativo final de que trata o </w:t>
            </w:r>
            <w:r w:rsidRPr="00FB3502">
              <w:rPr>
                <w:rFonts w:asciiTheme="majorHAnsi" w:hAnsiTheme="majorHAnsi" w:cstheme="majorHAnsi"/>
                <w:bCs/>
                <w:i/>
                <w:iCs/>
                <w:sz w:val="24"/>
                <w:szCs w:val="24"/>
              </w:rPr>
              <w:t>caput</w:t>
            </w:r>
            <w:r w:rsidRPr="00D462F0">
              <w:rPr>
                <w:rFonts w:asciiTheme="majorHAnsi" w:hAnsiTheme="majorHAnsi" w:cstheme="majorHAnsi"/>
                <w:bCs/>
                <w:sz w:val="24"/>
                <w:szCs w:val="24"/>
              </w:rPr>
              <w:t xml:space="preserve"> pode ser desconsiderado, para fins de supervisão, aplicando-se os limites, requisitos e vedações diretamente aos seus ativos subjacentes, caso </w:t>
            </w:r>
            <w:r w:rsidRPr="00D462F0">
              <w:rPr>
                <w:rFonts w:asciiTheme="majorHAnsi" w:hAnsiTheme="majorHAnsi" w:cstheme="majorHAnsi"/>
                <w:bCs/>
                <w:strike/>
                <w:color w:val="EE0000"/>
                <w:sz w:val="24"/>
                <w:szCs w:val="24"/>
              </w:rPr>
              <w:t>seja verificada</w:t>
            </w:r>
            <w:r w:rsidRPr="00D462F0">
              <w:rPr>
                <w:rFonts w:asciiTheme="majorHAnsi" w:hAnsiTheme="majorHAnsi" w:cstheme="majorHAnsi"/>
                <w:bCs/>
                <w:sz w:val="24"/>
                <w:szCs w:val="24"/>
              </w:rPr>
              <w:t xml:space="preserve"> sua utilização como meio para execução de operações em desacordo com as diretrizes de investimentos ou </w:t>
            </w:r>
            <w:r w:rsidRPr="00D462F0">
              <w:rPr>
                <w:rFonts w:asciiTheme="majorHAnsi" w:hAnsiTheme="majorHAnsi" w:cstheme="majorHAnsi"/>
                <w:bCs/>
                <w:strike/>
                <w:color w:val="EE0000"/>
                <w:sz w:val="24"/>
                <w:szCs w:val="24"/>
              </w:rPr>
              <w:t>caso seja verificado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a</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verificação de </w:t>
            </w:r>
            <w:r w:rsidRPr="00D462F0">
              <w:rPr>
                <w:rFonts w:asciiTheme="majorHAnsi" w:hAnsiTheme="majorHAnsi" w:cstheme="majorHAnsi"/>
                <w:bCs/>
                <w:sz w:val="24"/>
                <w:szCs w:val="24"/>
              </w:rPr>
              <w:t xml:space="preserve">desvio de finalidade em relação à estratégia usual do ativo </w:t>
            </w:r>
            <w:r w:rsidRPr="00D462F0">
              <w:rPr>
                <w:rFonts w:asciiTheme="majorHAnsi" w:hAnsiTheme="majorHAnsi" w:cstheme="majorHAnsi"/>
                <w:bCs/>
                <w:color w:val="0000FF"/>
                <w:sz w:val="24"/>
                <w:szCs w:val="24"/>
              </w:rPr>
              <w:t>sejam constatadas</w:t>
            </w:r>
            <w:r w:rsidRPr="00D462F0">
              <w:rPr>
                <w:rFonts w:asciiTheme="majorHAnsi" w:hAnsiTheme="majorHAnsi" w:cstheme="majorHAnsi"/>
                <w:bCs/>
                <w:sz w:val="24"/>
                <w:szCs w:val="24"/>
              </w:rPr>
              <w:t>.</w:t>
            </w:r>
          </w:p>
        </w:tc>
        <w:tc>
          <w:tcPr>
            <w:tcW w:w="4074" w:type="dxa"/>
          </w:tcPr>
          <w:p w14:paraId="7BBA955E" w14:textId="088EF10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melhorar fluidez do texto normativo e para conferir maior clareza na causa e consequência.</w:t>
            </w:r>
          </w:p>
        </w:tc>
        <w:tc>
          <w:tcPr>
            <w:tcW w:w="4075" w:type="dxa"/>
          </w:tcPr>
          <w:p w14:paraId="400140CB" w14:textId="6EC1471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3F4F2625" w14:textId="77777777" w:rsidTr="1756A420">
        <w:tc>
          <w:tcPr>
            <w:tcW w:w="4074" w:type="dxa"/>
          </w:tcPr>
          <w:p w14:paraId="07D174B5"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IV</w:t>
            </w:r>
          </w:p>
          <w:p w14:paraId="517772A2" w14:textId="09770984"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Segregação da Gestão de Risco</w:t>
            </w:r>
          </w:p>
        </w:tc>
        <w:tc>
          <w:tcPr>
            <w:tcW w:w="4074" w:type="dxa"/>
          </w:tcPr>
          <w:p w14:paraId="36B4C48D"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IV</w:t>
            </w:r>
          </w:p>
          <w:p w14:paraId="6E7583CB" w14:textId="4FE52685"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Segregação da Gestão de Risco</w:t>
            </w:r>
          </w:p>
        </w:tc>
        <w:tc>
          <w:tcPr>
            <w:tcW w:w="4074" w:type="dxa"/>
          </w:tcPr>
          <w:p w14:paraId="2D4E05DF" w14:textId="77777777" w:rsidR="00EB19CA" w:rsidRPr="00D462F0" w:rsidRDefault="00EB19CA" w:rsidP="00D462F0">
            <w:pPr>
              <w:jc w:val="both"/>
              <w:rPr>
                <w:rFonts w:asciiTheme="majorHAnsi" w:hAnsiTheme="majorHAnsi" w:cstheme="majorHAnsi"/>
                <w:sz w:val="24"/>
                <w:szCs w:val="24"/>
              </w:rPr>
            </w:pPr>
          </w:p>
        </w:tc>
        <w:tc>
          <w:tcPr>
            <w:tcW w:w="4075" w:type="dxa"/>
          </w:tcPr>
          <w:p w14:paraId="2544110F" w14:textId="77777777" w:rsidR="00EB19CA" w:rsidRPr="00D462F0" w:rsidRDefault="00EB19CA" w:rsidP="00D462F0">
            <w:pPr>
              <w:jc w:val="both"/>
              <w:rPr>
                <w:rFonts w:asciiTheme="majorHAnsi" w:hAnsiTheme="majorHAnsi" w:cstheme="majorHAnsi"/>
                <w:bCs/>
                <w:sz w:val="24"/>
                <w:szCs w:val="24"/>
              </w:rPr>
            </w:pPr>
          </w:p>
        </w:tc>
      </w:tr>
      <w:tr w:rsidR="00EB19CA" w:rsidRPr="00C93770" w14:paraId="6E4C40A6" w14:textId="77777777" w:rsidTr="1756A420">
        <w:tc>
          <w:tcPr>
            <w:tcW w:w="4074" w:type="dxa"/>
          </w:tcPr>
          <w:p w14:paraId="5A772E09" w14:textId="2503993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Art. 217.  A EFPC enquadrada no segmento S1 deve, nos termos dos </w:t>
            </w:r>
            <w:proofErr w:type="spellStart"/>
            <w:r w:rsidRPr="00D462F0">
              <w:rPr>
                <w:rFonts w:asciiTheme="majorHAnsi" w:hAnsiTheme="majorHAnsi" w:cstheme="majorHAnsi"/>
                <w:sz w:val="24"/>
                <w:szCs w:val="24"/>
              </w:rPr>
              <w:t>arts</w:t>
            </w:r>
            <w:proofErr w:type="spellEnd"/>
            <w:r w:rsidRPr="00D462F0">
              <w:rPr>
                <w:rFonts w:asciiTheme="majorHAnsi" w:hAnsiTheme="majorHAnsi" w:cstheme="majorHAnsi"/>
                <w:sz w:val="24"/>
                <w:szCs w:val="24"/>
              </w:rPr>
              <w:t>. 8º e 9º da Resolução CMN nº 4.994, de 2022, segregar a gestão de recursos da gestão de risco e designar:</w:t>
            </w:r>
          </w:p>
        </w:tc>
        <w:tc>
          <w:tcPr>
            <w:tcW w:w="4074" w:type="dxa"/>
          </w:tcPr>
          <w:p w14:paraId="292DEBE2" w14:textId="161A28E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217.  A EFPC enquadrada no segmento S1 </w:t>
            </w:r>
            <w:proofErr w:type="spellStart"/>
            <w:r w:rsidRPr="00D462F0">
              <w:rPr>
                <w:rFonts w:asciiTheme="majorHAnsi" w:hAnsiTheme="majorHAnsi" w:cstheme="majorHAnsi"/>
                <w:bCs/>
                <w:sz w:val="24"/>
                <w:szCs w:val="24"/>
              </w:rPr>
              <w:t>deve</w:t>
            </w:r>
            <w:r w:rsidRPr="00D462F0">
              <w:rPr>
                <w:rFonts w:asciiTheme="majorHAnsi" w:hAnsiTheme="majorHAnsi" w:cstheme="majorHAnsi"/>
                <w:bCs/>
                <w:strike/>
                <w:color w:val="EE0000"/>
                <w:sz w:val="24"/>
                <w:szCs w:val="24"/>
              </w:rPr>
              <w:t>nos</w:t>
            </w:r>
            <w:proofErr w:type="spellEnd"/>
            <w:r w:rsidRPr="00D462F0">
              <w:rPr>
                <w:rFonts w:asciiTheme="majorHAnsi" w:hAnsiTheme="majorHAnsi" w:cstheme="majorHAnsi"/>
                <w:bCs/>
                <w:strike/>
                <w:color w:val="EE0000"/>
                <w:sz w:val="24"/>
                <w:szCs w:val="24"/>
              </w:rPr>
              <w:t xml:space="preserve"> termos dos </w:t>
            </w:r>
            <w:proofErr w:type="spellStart"/>
            <w:r w:rsidRPr="00D462F0">
              <w:rPr>
                <w:rFonts w:asciiTheme="majorHAnsi" w:hAnsiTheme="majorHAnsi" w:cstheme="majorHAnsi"/>
                <w:bCs/>
                <w:strike/>
                <w:color w:val="EE0000"/>
                <w:sz w:val="24"/>
                <w:szCs w:val="24"/>
              </w:rPr>
              <w:t>arts</w:t>
            </w:r>
            <w:proofErr w:type="spellEnd"/>
            <w:r w:rsidRPr="00D462F0">
              <w:rPr>
                <w:rFonts w:asciiTheme="majorHAnsi" w:hAnsiTheme="majorHAnsi" w:cstheme="majorHAnsi"/>
                <w:bCs/>
                <w:strike/>
                <w:color w:val="EE0000"/>
                <w:sz w:val="24"/>
                <w:szCs w:val="24"/>
              </w:rPr>
              <w:t>. 8º e 9º da Resolução CMN nº 4.994, de 2022</w:t>
            </w:r>
            <w:r w:rsidRPr="00D462F0">
              <w:rPr>
                <w:rFonts w:asciiTheme="majorHAnsi" w:hAnsiTheme="majorHAnsi" w:cstheme="majorHAnsi"/>
                <w:bCs/>
                <w:sz w:val="24"/>
                <w:szCs w:val="24"/>
              </w:rPr>
              <w:t xml:space="preserve"> segregar a gestão de recursos da gestão de risco e designar:</w:t>
            </w:r>
          </w:p>
        </w:tc>
        <w:tc>
          <w:tcPr>
            <w:tcW w:w="4074" w:type="dxa"/>
          </w:tcPr>
          <w:p w14:paraId="61BF040F" w14:textId="049FEFC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Rever menção expressa à Resolução CMN nº 4.994. Proposta de alteração para retirada da menção expressa aos </w:t>
            </w:r>
            <w:proofErr w:type="spellStart"/>
            <w:r w:rsidRPr="00D462F0">
              <w:rPr>
                <w:rFonts w:asciiTheme="majorHAnsi" w:hAnsiTheme="majorHAnsi" w:cstheme="majorHAnsi"/>
                <w:sz w:val="24"/>
                <w:szCs w:val="24"/>
              </w:rPr>
              <w:t>arts</w:t>
            </w:r>
            <w:proofErr w:type="spellEnd"/>
            <w:r w:rsidRPr="00D462F0">
              <w:rPr>
                <w:rFonts w:asciiTheme="majorHAnsi" w:hAnsiTheme="majorHAnsi" w:cstheme="majorHAnsi"/>
                <w:sz w:val="24"/>
                <w:szCs w:val="24"/>
              </w:rPr>
              <w:t>. 8º e 9º da Resolução CMN nº 4.994, de 2022, em atendimento às disposições legais que tratam sobre a redação de normas.</w:t>
            </w:r>
          </w:p>
        </w:tc>
        <w:tc>
          <w:tcPr>
            <w:tcW w:w="4075" w:type="dxa"/>
          </w:tcPr>
          <w:p w14:paraId="780B8DCF" w14:textId="06BF42B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7E73F1" w:rsidRPr="00C93770" w14:paraId="082C0B45" w14:textId="77777777" w:rsidTr="1756A420">
        <w:tc>
          <w:tcPr>
            <w:tcW w:w="4074" w:type="dxa"/>
          </w:tcPr>
          <w:p w14:paraId="5D13FF18" w14:textId="4EC670EA" w:rsidR="007E73F1" w:rsidRPr="00D462F0" w:rsidRDefault="007E73F1"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32E25BE" w14:textId="4B0F8676" w:rsidR="007E73F1" w:rsidRPr="00D462F0" w:rsidRDefault="007E73F1"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C6AC4AF" w14:textId="77777777" w:rsidR="007E73F1" w:rsidRPr="00D462F0" w:rsidRDefault="007E73F1" w:rsidP="00D462F0">
            <w:pPr>
              <w:jc w:val="both"/>
              <w:rPr>
                <w:rFonts w:asciiTheme="majorHAnsi" w:hAnsiTheme="majorHAnsi" w:cstheme="majorHAnsi"/>
                <w:sz w:val="24"/>
                <w:szCs w:val="24"/>
              </w:rPr>
            </w:pPr>
          </w:p>
        </w:tc>
        <w:tc>
          <w:tcPr>
            <w:tcW w:w="4075" w:type="dxa"/>
          </w:tcPr>
          <w:p w14:paraId="27086589" w14:textId="77777777" w:rsidR="007E73F1" w:rsidRPr="00D462F0" w:rsidRDefault="007E73F1" w:rsidP="00D462F0">
            <w:pPr>
              <w:jc w:val="both"/>
              <w:rPr>
                <w:rFonts w:asciiTheme="majorHAnsi" w:hAnsiTheme="majorHAnsi" w:cstheme="majorHAnsi"/>
                <w:bCs/>
                <w:sz w:val="24"/>
                <w:szCs w:val="24"/>
              </w:rPr>
            </w:pPr>
          </w:p>
        </w:tc>
      </w:tr>
      <w:tr w:rsidR="00EB19CA" w:rsidRPr="00C93770" w14:paraId="7CF6C703" w14:textId="77777777" w:rsidTr="1756A420">
        <w:tc>
          <w:tcPr>
            <w:tcW w:w="4074" w:type="dxa"/>
          </w:tcPr>
          <w:p w14:paraId="726E7B7B"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w:t>
            </w:r>
          </w:p>
          <w:p w14:paraId="7E590348" w14:textId="13840F34"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Negociação Privada</w:t>
            </w:r>
          </w:p>
        </w:tc>
        <w:tc>
          <w:tcPr>
            <w:tcW w:w="4074" w:type="dxa"/>
          </w:tcPr>
          <w:p w14:paraId="4C47F88F"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w:t>
            </w:r>
          </w:p>
          <w:p w14:paraId="37DFDF69" w14:textId="00176869"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Negociação Privada</w:t>
            </w:r>
          </w:p>
        </w:tc>
        <w:tc>
          <w:tcPr>
            <w:tcW w:w="4074" w:type="dxa"/>
          </w:tcPr>
          <w:p w14:paraId="228A9B89" w14:textId="77777777" w:rsidR="00EB19CA" w:rsidRPr="00D462F0" w:rsidRDefault="00EB19CA" w:rsidP="00D462F0">
            <w:pPr>
              <w:jc w:val="both"/>
              <w:rPr>
                <w:rFonts w:asciiTheme="majorHAnsi" w:hAnsiTheme="majorHAnsi" w:cstheme="majorHAnsi"/>
                <w:sz w:val="24"/>
                <w:szCs w:val="24"/>
              </w:rPr>
            </w:pPr>
          </w:p>
        </w:tc>
        <w:tc>
          <w:tcPr>
            <w:tcW w:w="4075" w:type="dxa"/>
          </w:tcPr>
          <w:p w14:paraId="3A7D88D3" w14:textId="77777777" w:rsidR="00EB19CA" w:rsidRPr="00D462F0" w:rsidRDefault="00EB19CA" w:rsidP="00D462F0">
            <w:pPr>
              <w:jc w:val="both"/>
              <w:rPr>
                <w:rFonts w:asciiTheme="majorHAnsi" w:hAnsiTheme="majorHAnsi" w:cstheme="majorHAnsi"/>
                <w:bCs/>
                <w:sz w:val="24"/>
                <w:szCs w:val="24"/>
              </w:rPr>
            </w:pPr>
          </w:p>
        </w:tc>
      </w:tr>
      <w:tr w:rsidR="00EB19CA" w:rsidRPr="00C93770" w14:paraId="4D3215DE" w14:textId="77777777" w:rsidTr="1756A420">
        <w:tc>
          <w:tcPr>
            <w:tcW w:w="4074" w:type="dxa"/>
          </w:tcPr>
          <w:p w14:paraId="223DBF6B" w14:textId="228FFB5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218.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w:t>
            </w:r>
          </w:p>
        </w:tc>
        <w:tc>
          <w:tcPr>
            <w:tcW w:w="4074" w:type="dxa"/>
          </w:tcPr>
          <w:p w14:paraId="35E53321" w14:textId="1A639FD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218.  ...</w:t>
            </w:r>
          </w:p>
        </w:tc>
        <w:tc>
          <w:tcPr>
            <w:tcW w:w="4074" w:type="dxa"/>
          </w:tcPr>
          <w:p w14:paraId="34E748DD" w14:textId="16C6EE0A" w:rsidR="00EB19CA" w:rsidRPr="00D462F0" w:rsidRDefault="006414E3"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27E311E4" w14:textId="77777777" w:rsidR="00EB19CA" w:rsidRPr="00D462F0" w:rsidRDefault="00EB19CA" w:rsidP="00D462F0">
            <w:pPr>
              <w:jc w:val="both"/>
              <w:rPr>
                <w:rFonts w:asciiTheme="majorHAnsi" w:hAnsiTheme="majorHAnsi" w:cstheme="majorHAnsi"/>
                <w:bCs/>
                <w:sz w:val="24"/>
                <w:szCs w:val="24"/>
              </w:rPr>
            </w:pPr>
          </w:p>
        </w:tc>
      </w:tr>
      <w:tr w:rsidR="00963D6D" w:rsidRPr="00C93770" w14:paraId="527D3160" w14:textId="77777777" w:rsidTr="1756A420">
        <w:tc>
          <w:tcPr>
            <w:tcW w:w="4074" w:type="dxa"/>
          </w:tcPr>
          <w:p w14:paraId="2517F648" w14:textId="4AEE3040" w:rsidR="00963D6D" w:rsidRPr="00D462F0" w:rsidRDefault="00963D6D"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234FF1AA" w14:textId="4C592F60" w:rsidR="00963D6D" w:rsidRPr="00D462F0" w:rsidRDefault="00963D6D"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CF6C180" w14:textId="77777777" w:rsidR="00963D6D" w:rsidRPr="00D462F0" w:rsidRDefault="00963D6D" w:rsidP="00D462F0">
            <w:pPr>
              <w:jc w:val="both"/>
              <w:rPr>
                <w:rFonts w:asciiTheme="majorHAnsi" w:hAnsiTheme="majorHAnsi" w:cstheme="majorHAnsi"/>
                <w:sz w:val="24"/>
                <w:szCs w:val="24"/>
              </w:rPr>
            </w:pPr>
          </w:p>
        </w:tc>
        <w:tc>
          <w:tcPr>
            <w:tcW w:w="4075" w:type="dxa"/>
          </w:tcPr>
          <w:p w14:paraId="316A34ED" w14:textId="77777777" w:rsidR="00963D6D" w:rsidRPr="00D462F0" w:rsidRDefault="00963D6D" w:rsidP="00D462F0">
            <w:pPr>
              <w:jc w:val="both"/>
              <w:rPr>
                <w:rFonts w:asciiTheme="majorHAnsi" w:hAnsiTheme="majorHAnsi" w:cstheme="majorHAnsi"/>
                <w:bCs/>
                <w:sz w:val="24"/>
                <w:szCs w:val="24"/>
              </w:rPr>
            </w:pPr>
          </w:p>
        </w:tc>
      </w:tr>
      <w:tr w:rsidR="00EB19CA" w:rsidRPr="00C93770" w14:paraId="72548E05" w14:textId="77777777" w:rsidTr="1756A420">
        <w:tc>
          <w:tcPr>
            <w:tcW w:w="4074" w:type="dxa"/>
          </w:tcPr>
          <w:p w14:paraId="157DCEC7" w14:textId="003DFF8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§2</w:t>
            </w:r>
            <w:proofErr w:type="gramStart"/>
            <w:r w:rsidRPr="00D462F0">
              <w:rPr>
                <w:rFonts w:asciiTheme="majorHAnsi" w:hAnsiTheme="majorHAnsi" w:cstheme="majorHAnsi"/>
                <w:sz w:val="24"/>
                <w:szCs w:val="24"/>
              </w:rPr>
              <w:t>º  Para</w:t>
            </w:r>
            <w:proofErr w:type="gramEnd"/>
            <w:r w:rsidRPr="00D462F0">
              <w:rPr>
                <w:rFonts w:asciiTheme="majorHAnsi" w:hAnsiTheme="majorHAnsi" w:cstheme="majorHAnsi"/>
                <w:sz w:val="24"/>
                <w:szCs w:val="24"/>
              </w:rPr>
              <w:t xml:space="preserve"> efeito desta Resolução, equiparam-se às operações de negociação privada com ações de que trata o caput,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4074" w:type="dxa"/>
          </w:tcPr>
          <w:p w14:paraId="167255B4" w14:textId="657FB08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§2</w:t>
            </w:r>
            <w:proofErr w:type="gramStart"/>
            <w:r w:rsidRPr="00D462F0">
              <w:rPr>
                <w:rFonts w:asciiTheme="majorHAnsi" w:hAnsiTheme="majorHAnsi" w:cstheme="majorHAnsi"/>
                <w:bCs/>
                <w:sz w:val="24"/>
                <w:szCs w:val="24"/>
              </w:rPr>
              <w:t>º  Para</w:t>
            </w:r>
            <w:proofErr w:type="gramEnd"/>
            <w:r w:rsidRPr="00D462F0">
              <w:rPr>
                <w:rFonts w:asciiTheme="majorHAnsi" w:hAnsiTheme="majorHAnsi" w:cstheme="majorHAnsi"/>
                <w:bCs/>
                <w:sz w:val="24"/>
                <w:szCs w:val="24"/>
              </w:rPr>
              <w:t xml:space="preserve"> </w:t>
            </w:r>
            <w:r w:rsidRPr="00D462F0">
              <w:rPr>
                <w:rFonts w:asciiTheme="majorHAnsi" w:hAnsiTheme="majorHAnsi" w:cstheme="majorHAnsi"/>
                <w:bCs/>
                <w:strike/>
                <w:color w:val="EE0000"/>
                <w:sz w:val="24"/>
                <w:szCs w:val="24"/>
              </w:rPr>
              <w:t>efeito</w:t>
            </w:r>
            <w:r w:rsidRPr="00D462F0">
              <w:rPr>
                <w:rFonts w:asciiTheme="majorHAnsi" w:hAnsiTheme="majorHAnsi" w:cstheme="majorHAnsi"/>
                <w:bCs/>
                <w:color w:val="0000FF"/>
                <w:sz w:val="24"/>
                <w:szCs w:val="24"/>
              </w:rPr>
              <w:t xml:space="preserve"> os fins </w:t>
            </w:r>
            <w:r w:rsidRPr="00D462F0">
              <w:rPr>
                <w:rFonts w:asciiTheme="majorHAnsi" w:hAnsiTheme="majorHAnsi" w:cstheme="majorHAnsi"/>
                <w:bCs/>
                <w:sz w:val="24"/>
                <w:szCs w:val="24"/>
              </w:rPr>
              <w:t xml:space="preserve">desta Resolução, equiparam-se às operações de negociação privada com ações de que trata o </w:t>
            </w:r>
            <w:r w:rsidRPr="00FB3502">
              <w:rPr>
                <w:rFonts w:asciiTheme="majorHAnsi" w:hAnsiTheme="majorHAnsi" w:cstheme="majorHAnsi"/>
                <w:bCs/>
                <w:i/>
                <w:iCs/>
                <w:sz w:val="24"/>
                <w:szCs w:val="24"/>
              </w:rPr>
              <w:t>caput</w:t>
            </w:r>
            <w:r w:rsidRPr="00D462F0">
              <w:rPr>
                <w:rFonts w:asciiTheme="majorHAnsi" w:hAnsiTheme="majorHAnsi" w:cstheme="majorHAnsi"/>
                <w:bCs/>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4074" w:type="dxa"/>
          </w:tcPr>
          <w:p w14:paraId="3B4E90B7" w14:textId="6EA3515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a compreensão, reduzindo possíveis ambiguidades</w:t>
            </w:r>
          </w:p>
        </w:tc>
        <w:tc>
          <w:tcPr>
            <w:tcW w:w="4075" w:type="dxa"/>
          </w:tcPr>
          <w:p w14:paraId="50128A68" w14:textId="0A74E80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963D6D" w:rsidRPr="00C93770" w14:paraId="29EBDA1B" w14:textId="77777777" w:rsidTr="1756A420">
        <w:tc>
          <w:tcPr>
            <w:tcW w:w="4074" w:type="dxa"/>
          </w:tcPr>
          <w:p w14:paraId="1D2F18DB" w14:textId="6005D3BF" w:rsidR="00963D6D" w:rsidRPr="00D462F0" w:rsidRDefault="00963D6D"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32D950BE" w14:textId="3F6F5E0A" w:rsidR="00963D6D" w:rsidRPr="00D462F0" w:rsidRDefault="00963D6D"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55FB51ED" w14:textId="77777777" w:rsidR="00963D6D" w:rsidRPr="00D462F0" w:rsidRDefault="00963D6D" w:rsidP="00D462F0">
            <w:pPr>
              <w:jc w:val="both"/>
              <w:rPr>
                <w:rFonts w:asciiTheme="majorHAnsi" w:hAnsiTheme="majorHAnsi" w:cstheme="majorHAnsi"/>
                <w:sz w:val="24"/>
                <w:szCs w:val="24"/>
              </w:rPr>
            </w:pPr>
          </w:p>
        </w:tc>
        <w:tc>
          <w:tcPr>
            <w:tcW w:w="4075" w:type="dxa"/>
          </w:tcPr>
          <w:p w14:paraId="2582E730" w14:textId="77777777" w:rsidR="00963D6D" w:rsidRPr="00D462F0" w:rsidRDefault="00963D6D" w:rsidP="00D462F0">
            <w:pPr>
              <w:jc w:val="both"/>
              <w:rPr>
                <w:rFonts w:asciiTheme="majorHAnsi" w:hAnsiTheme="majorHAnsi" w:cstheme="majorHAnsi"/>
                <w:bCs/>
                <w:sz w:val="24"/>
                <w:szCs w:val="24"/>
              </w:rPr>
            </w:pPr>
          </w:p>
        </w:tc>
      </w:tr>
      <w:tr w:rsidR="00EB19CA" w:rsidRPr="00C93770" w14:paraId="1D159E2D" w14:textId="77777777" w:rsidTr="1756A420">
        <w:tc>
          <w:tcPr>
            <w:tcW w:w="4074" w:type="dxa"/>
          </w:tcPr>
          <w:p w14:paraId="41F6119C"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Seção VI</w:t>
            </w:r>
          </w:p>
          <w:p w14:paraId="30D958A4" w14:textId="180E68F0"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 xml:space="preserve">Seleção e Monitoramento de Prestadores de Serviço de </w:t>
            </w:r>
            <w:r w:rsidRPr="00D462F0">
              <w:rPr>
                <w:rFonts w:asciiTheme="majorHAnsi" w:hAnsiTheme="majorHAnsi" w:cstheme="majorHAnsi"/>
                <w:b/>
                <w:bCs/>
                <w:sz w:val="24"/>
                <w:szCs w:val="24"/>
              </w:rPr>
              <w:lastRenderedPageBreak/>
              <w:t>Administração de Carteiras de Valores Mobiliários e de Fundos de Investimento</w:t>
            </w:r>
          </w:p>
        </w:tc>
        <w:tc>
          <w:tcPr>
            <w:tcW w:w="4074" w:type="dxa"/>
          </w:tcPr>
          <w:p w14:paraId="7BDC7BCD"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lastRenderedPageBreak/>
              <w:t>Seção VI</w:t>
            </w:r>
          </w:p>
          <w:p w14:paraId="1D2A6B1D" w14:textId="548665A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 xml:space="preserve">Seleção e Monitoramento de Prestadores de Serviços de </w:t>
            </w:r>
            <w:r w:rsidRPr="00D462F0">
              <w:rPr>
                <w:rFonts w:asciiTheme="majorHAnsi" w:hAnsiTheme="majorHAnsi" w:cstheme="majorHAnsi"/>
                <w:b/>
                <w:bCs/>
                <w:sz w:val="24"/>
                <w:szCs w:val="24"/>
              </w:rPr>
              <w:lastRenderedPageBreak/>
              <w:t>Administração de Carteiras de Valores Mobiliários e de Fundos de Investimento</w:t>
            </w:r>
          </w:p>
        </w:tc>
        <w:tc>
          <w:tcPr>
            <w:tcW w:w="4074" w:type="dxa"/>
          </w:tcPr>
          <w:p w14:paraId="7F5C01B6" w14:textId="77777777" w:rsidR="00EB19CA" w:rsidRPr="00D462F0" w:rsidRDefault="00EB19CA" w:rsidP="00D462F0">
            <w:pPr>
              <w:jc w:val="both"/>
              <w:rPr>
                <w:rFonts w:asciiTheme="majorHAnsi" w:hAnsiTheme="majorHAnsi" w:cstheme="majorHAnsi"/>
                <w:sz w:val="24"/>
                <w:szCs w:val="24"/>
              </w:rPr>
            </w:pPr>
          </w:p>
        </w:tc>
        <w:tc>
          <w:tcPr>
            <w:tcW w:w="4075" w:type="dxa"/>
          </w:tcPr>
          <w:p w14:paraId="07BA9C94" w14:textId="77777777" w:rsidR="00EB19CA" w:rsidRPr="00D462F0" w:rsidRDefault="00EB19CA" w:rsidP="00D462F0">
            <w:pPr>
              <w:jc w:val="both"/>
              <w:rPr>
                <w:rFonts w:asciiTheme="majorHAnsi" w:hAnsiTheme="majorHAnsi" w:cstheme="majorHAnsi"/>
                <w:bCs/>
                <w:sz w:val="24"/>
                <w:szCs w:val="24"/>
              </w:rPr>
            </w:pPr>
          </w:p>
        </w:tc>
      </w:tr>
      <w:tr w:rsidR="00EB19CA" w:rsidRPr="00C93770" w14:paraId="46745055" w14:textId="77777777" w:rsidTr="1756A420">
        <w:tc>
          <w:tcPr>
            <w:tcW w:w="4074" w:type="dxa"/>
          </w:tcPr>
          <w:p w14:paraId="6161F7F7" w14:textId="4331D8E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219.  A EFPC deve observar o disposto nesta Seção para seleção e monitoramento de prestadores de serviço de administração de carteiras de valores mobiliários e de fundo de investimento. </w:t>
            </w:r>
          </w:p>
        </w:tc>
        <w:tc>
          <w:tcPr>
            <w:tcW w:w="4074" w:type="dxa"/>
          </w:tcPr>
          <w:p w14:paraId="0672B3D9" w14:textId="062BB2C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219.  ...</w:t>
            </w:r>
          </w:p>
        </w:tc>
        <w:tc>
          <w:tcPr>
            <w:tcW w:w="4074" w:type="dxa"/>
          </w:tcPr>
          <w:p w14:paraId="796A3BA2" w14:textId="77777777" w:rsidR="00EB19CA" w:rsidRPr="00D462F0" w:rsidRDefault="00EB19CA" w:rsidP="00D462F0">
            <w:pPr>
              <w:jc w:val="both"/>
              <w:rPr>
                <w:rFonts w:asciiTheme="majorHAnsi" w:hAnsiTheme="majorHAnsi" w:cstheme="majorHAnsi"/>
                <w:sz w:val="24"/>
                <w:szCs w:val="24"/>
              </w:rPr>
            </w:pPr>
          </w:p>
        </w:tc>
        <w:tc>
          <w:tcPr>
            <w:tcW w:w="4075" w:type="dxa"/>
          </w:tcPr>
          <w:p w14:paraId="7B7EB1B4" w14:textId="77777777" w:rsidR="00EB19CA" w:rsidRPr="00D462F0" w:rsidRDefault="00EB19CA" w:rsidP="00D462F0">
            <w:pPr>
              <w:jc w:val="both"/>
              <w:rPr>
                <w:rFonts w:asciiTheme="majorHAnsi" w:hAnsiTheme="majorHAnsi" w:cstheme="majorHAnsi"/>
                <w:bCs/>
                <w:sz w:val="24"/>
                <w:szCs w:val="24"/>
              </w:rPr>
            </w:pPr>
          </w:p>
        </w:tc>
      </w:tr>
      <w:tr w:rsidR="00EB19CA" w:rsidRPr="00C93770" w14:paraId="58B7C114" w14:textId="77777777" w:rsidTr="1756A420">
        <w:tc>
          <w:tcPr>
            <w:tcW w:w="4074" w:type="dxa"/>
          </w:tcPr>
          <w:p w14:paraId="773AB626" w14:textId="3456F48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Parágrafo único.  Para fins do disposto nesta Seção, considera-se administração de carteiras de valores mobiliários, nas categorias de administrador fiduciário e gestor de recursos, a estabelecida pela Comissão de Valores Mobiliários.</w:t>
            </w:r>
          </w:p>
        </w:tc>
        <w:tc>
          <w:tcPr>
            <w:tcW w:w="4074" w:type="dxa"/>
          </w:tcPr>
          <w:p w14:paraId="63CDD4AC" w14:textId="140A947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trike/>
                <w:color w:val="EE0000"/>
                <w:sz w:val="24"/>
                <w:szCs w:val="24"/>
              </w:rPr>
              <w:t>Parágrafo único.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§1º.  </w:t>
            </w:r>
            <w:r w:rsidRPr="00D462F0">
              <w:rPr>
                <w:rFonts w:asciiTheme="majorHAnsi" w:hAnsiTheme="majorHAnsi" w:cstheme="majorHAnsi"/>
                <w:bCs/>
                <w:sz w:val="24"/>
                <w:szCs w:val="24"/>
              </w:rPr>
              <w:t xml:space="preserve">Para fins do disposto nesta Seção, considera-se administração de carteiras de valores mobiliários, nas categorias de administrador fiduciário e gestor de recursos, </w:t>
            </w:r>
            <w:r w:rsidRPr="00D462F0">
              <w:rPr>
                <w:rFonts w:asciiTheme="majorHAnsi" w:hAnsiTheme="majorHAnsi" w:cstheme="majorHAnsi"/>
                <w:bCs/>
                <w:color w:val="0000FF"/>
                <w:sz w:val="24"/>
                <w:szCs w:val="24"/>
              </w:rPr>
              <w:t xml:space="preserve">aquela estabelecida </w:t>
            </w:r>
            <w:r w:rsidRPr="00D462F0">
              <w:rPr>
                <w:rFonts w:asciiTheme="majorHAnsi" w:hAnsiTheme="majorHAnsi" w:cstheme="majorHAnsi"/>
                <w:bCs/>
                <w:strike/>
                <w:color w:val="EE0000"/>
                <w:sz w:val="24"/>
                <w:szCs w:val="24"/>
              </w:rPr>
              <w:t xml:space="preserve">a </w:t>
            </w:r>
            <w:r w:rsidRPr="00D462F0">
              <w:rPr>
                <w:rFonts w:asciiTheme="majorHAnsi" w:hAnsiTheme="majorHAnsi" w:cstheme="majorHAnsi"/>
                <w:bCs/>
                <w:sz w:val="24"/>
                <w:szCs w:val="24"/>
              </w:rPr>
              <w:t>estabelecida pela Comissão de Valores Mobiliários.</w:t>
            </w:r>
          </w:p>
          <w:p w14:paraId="226AD7E0" w14:textId="77777777" w:rsidR="00EB19CA" w:rsidRPr="00D462F0" w:rsidRDefault="00EB19CA" w:rsidP="00D462F0">
            <w:pPr>
              <w:jc w:val="both"/>
              <w:rPr>
                <w:rFonts w:asciiTheme="majorHAnsi" w:hAnsiTheme="majorHAnsi" w:cstheme="majorHAnsi"/>
                <w:bCs/>
                <w:sz w:val="24"/>
                <w:szCs w:val="24"/>
              </w:rPr>
            </w:pPr>
          </w:p>
        </w:tc>
        <w:tc>
          <w:tcPr>
            <w:tcW w:w="4074" w:type="dxa"/>
          </w:tcPr>
          <w:p w14:paraId="35260680"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Renumeração do parágrafo único para inserção do §2º no artigo. </w:t>
            </w:r>
          </w:p>
          <w:p w14:paraId="77E880D1" w14:textId="61A2947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w:t>
            </w:r>
          </w:p>
        </w:tc>
        <w:tc>
          <w:tcPr>
            <w:tcW w:w="4075" w:type="dxa"/>
          </w:tcPr>
          <w:p w14:paraId="2DA2C6F7" w14:textId="4548521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50520C57" w14:textId="77777777" w:rsidTr="1756A420">
        <w:tc>
          <w:tcPr>
            <w:tcW w:w="4074" w:type="dxa"/>
          </w:tcPr>
          <w:p w14:paraId="4C1E113F"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1C7703D2" w14:textId="77777777" w:rsidR="00EB19CA" w:rsidRPr="00D462F0" w:rsidRDefault="00EB19CA" w:rsidP="00D462F0">
            <w:pPr>
              <w:jc w:val="both"/>
              <w:rPr>
                <w:rFonts w:asciiTheme="majorHAnsi" w:hAnsiTheme="majorHAnsi" w:cstheme="majorHAnsi"/>
                <w:sz w:val="24"/>
                <w:szCs w:val="24"/>
              </w:rPr>
            </w:pPr>
          </w:p>
        </w:tc>
        <w:tc>
          <w:tcPr>
            <w:tcW w:w="4074" w:type="dxa"/>
          </w:tcPr>
          <w:p w14:paraId="1CDA43D1" w14:textId="02829DA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º  Para</w:t>
            </w:r>
            <w:proofErr w:type="gramEnd"/>
            <w:r w:rsidRPr="00D462F0">
              <w:rPr>
                <w:rFonts w:asciiTheme="majorHAnsi" w:hAnsiTheme="majorHAnsi" w:cstheme="majorHAnsi"/>
                <w:bCs/>
                <w:color w:val="0000FF"/>
                <w:sz w:val="24"/>
                <w:szCs w:val="24"/>
              </w:rPr>
              <w:t xml:space="preserve"> fins do correto entendimento desta Seção:</w:t>
            </w:r>
          </w:p>
        </w:tc>
        <w:tc>
          <w:tcPr>
            <w:tcW w:w="4074" w:type="dxa"/>
          </w:tcPr>
          <w:p w14:paraId="7C686910" w14:textId="67E77B0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Para garantir a correta abrangência e aplicabilidade aos dispositivos normativos desta seção, houve a inserção deste parágrafo, que teve como referência o contido no parágrafo único do Art. 3º da Resolução CVM nº 175, de 2022.</w:t>
            </w:r>
          </w:p>
        </w:tc>
        <w:tc>
          <w:tcPr>
            <w:tcW w:w="4075" w:type="dxa"/>
          </w:tcPr>
          <w:p w14:paraId="366736C0"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30AC3C9E"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 xml:space="preserve"> </w:t>
            </w:r>
          </w:p>
          <w:p w14:paraId="5A9E3D35"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 xml:space="preserve">A dispensa de AIR se baseia na necessidade preservar a higidez do mercado de previdência complementar. No contexto jurídico, "higidez" conota à qualidade do que é íntegro, saudável e válido, especialmente em relação a atos, contratos ou processos. Refere-se à ausência de vícios ou irregularidades que possam comprometer a validade e a eficácia de um ato jurídico. O dispositivo normativo em questão busca reforçar os princípios que permeiam a aplicação dos recursos garantidores das EFPC, disciplinados pelo Inciso I do art. 4º da Resolução </w:t>
            </w:r>
            <w:r w:rsidRPr="00D462F0">
              <w:rPr>
                <w:rFonts w:asciiTheme="majorHAnsi" w:eastAsia="Calibri" w:hAnsiTheme="majorHAnsi" w:cstheme="majorHAnsi"/>
                <w:bCs/>
                <w:sz w:val="24"/>
                <w:szCs w:val="24"/>
              </w:rPr>
              <w:lastRenderedPageBreak/>
              <w:t>CMN nº 4.994, de 2022, por meio do detalhamento de práticas e condutas que os materializam em contextos concretos de aplicação. Ao se reforçar as regras regulatórias aplicáveis à alocação dos recursos, a proposta busca garantir a qualidade e integridade das decisões de alocação e, por conseguinte, a higidez do mercado de previdência complementar fechada.</w:t>
            </w:r>
          </w:p>
          <w:p w14:paraId="4C93773C" w14:textId="77777777" w:rsidR="00EB19CA" w:rsidRPr="00D462F0" w:rsidRDefault="00EB19CA" w:rsidP="00D462F0">
            <w:pPr>
              <w:jc w:val="both"/>
              <w:rPr>
                <w:rFonts w:asciiTheme="majorHAnsi" w:hAnsiTheme="majorHAnsi" w:cstheme="majorHAnsi"/>
                <w:bCs/>
                <w:sz w:val="24"/>
                <w:szCs w:val="24"/>
              </w:rPr>
            </w:pPr>
          </w:p>
        </w:tc>
      </w:tr>
      <w:tr w:rsidR="00EB19CA" w:rsidRPr="00C93770" w14:paraId="39895FA8" w14:textId="77777777" w:rsidTr="1756A420">
        <w:tc>
          <w:tcPr>
            <w:tcW w:w="4074" w:type="dxa"/>
          </w:tcPr>
          <w:p w14:paraId="76B053BF" w14:textId="0BE3E50F" w:rsidR="00EB19CA" w:rsidRPr="00D462F0" w:rsidRDefault="00EB19CA" w:rsidP="0073509E">
            <w:pPr>
              <w:jc w:val="both"/>
              <w:rPr>
                <w:rFonts w:asciiTheme="majorHAnsi" w:hAnsiTheme="majorHAnsi" w:cstheme="majorHAnsi"/>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6589C709" w14:textId="039F02DC" w:rsidR="00EB19CA" w:rsidRPr="00D462F0" w:rsidRDefault="00EB19CA" w:rsidP="0073509E">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as</w:t>
            </w:r>
            <w:proofErr w:type="gramEnd"/>
            <w:r w:rsidRPr="00D462F0">
              <w:rPr>
                <w:rFonts w:asciiTheme="majorHAnsi" w:hAnsiTheme="majorHAnsi" w:cstheme="majorHAnsi"/>
                <w:bCs/>
                <w:color w:val="0000FF"/>
                <w:sz w:val="24"/>
                <w:szCs w:val="24"/>
              </w:rPr>
              <w:t xml:space="preserve"> referências a “fundo” ou a “fundo de investimento” aplicam-se a todas as suas classes de cotas ou subclasses; </w:t>
            </w:r>
          </w:p>
        </w:tc>
        <w:tc>
          <w:tcPr>
            <w:tcW w:w="4074" w:type="dxa"/>
          </w:tcPr>
          <w:p w14:paraId="71A59FD3" w14:textId="77777777" w:rsidR="00EB19CA" w:rsidRPr="00D462F0" w:rsidRDefault="00EB19CA" w:rsidP="0073509E">
            <w:pPr>
              <w:jc w:val="both"/>
              <w:rPr>
                <w:rFonts w:asciiTheme="majorHAnsi" w:hAnsiTheme="majorHAnsi" w:cstheme="majorHAnsi"/>
                <w:sz w:val="24"/>
                <w:szCs w:val="24"/>
              </w:rPr>
            </w:pPr>
          </w:p>
        </w:tc>
        <w:tc>
          <w:tcPr>
            <w:tcW w:w="4075" w:type="dxa"/>
          </w:tcPr>
          <w:p w14:paraId="063D54EB" w14:textId="77777777" w:rsidR="00EB19CA" w:rsidRPr="00D462F0" w:rsidRDefault="00EB19CA" w:rsidP="00FB3502">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79F14FA5" w14:textId="77777777" w:rsidR="00EB19CA" w:rsidRPr="00D462F0" w:rsidRDefault="00EB19CA" w:rsidP="0073509E">
            <w:pPr>
              <w:jc w:val="both"/>
              <w:rPr>
                <w:rFonts w:asciiTheme="majorHAnsi" w:hAnsiTheme="majorHAnsi" w:cstheme="majorHAnsi"/>
                <w:bCs/>
                <w:sz w:val="24"/>
                <w:szCs w:val="24"/>
              </w:rPr>
            </w:pPr>
          </w:p>
        </w:tc>
      </w:tr>
      <w:tr w:rsidR="00EB19CA" w:rsidRPr="00C93770" w14:paraId="409CF878" w14:textId="77777777" w:rsidTr="1756A420">
        <w:tc>
          <w:tcPr>
            <w:tcW w:w="4074" w:type="dxa"/>
          </w:tcPr>
          <w:p w14:paraId="66278D77" w14:textId="40D7187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166AFB7B" w14:textId="79EF682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as</w:t>
            </w:r>
            <w:proofErr w:type="gramEnd"/>
            <w:r w:rsidRPr="00D462F0">
              <w:rPr>
                <w:rFonts w:asciiTheme="majorHAnsi" w:hAnsiTheme="majorHAnsi" w:cstheme="majorHAnsi"/>
                <w:bCs/>
                <w:color w:val="0000FF"/>
                <w:sz w:val="24"/>
                <w:szCs w:val="24"/>
              </w:rPr>
              <w:t xml:space="preserve"> referências a “classe” e a “classe de cotas” aplicam-se aos fundos de investimento que emitem cotas em classe única; e  </w:t>
            </w:r>
          </w:p>
        </w:tc>
        <w:tc>
          <w:tcPr>
            <w:tcW w:w="4074" w:type="dxa"/>
          </w:tcPr>
          <w:p w14:paraId="213E4AB8" w14:textId="77777777" w:rsidR="00EB19CA" w:rsidRPr="00D462F0" w:rsidRDefault="00EB19CA" w:rsidP="00D462F0">
            <w:pPr>
              <w:jc w:val="both"/>
              <w:rPr>
                <w:rFonts w:asciiTheme="majorHAnsi" w:hAnsiTheme="majorHAnsi" w:cstheme="majorHAnsi"/>
                <w:sz w:val="24"/>
                <w:szCs w:val="24"/>
              </w:rPr>
            </w:pPr>
          </w:p>
        </w:tc>
        <w:tc>
          <w:tcPr>
            <w:tcW w:w="4075" w:type="dxa"/>
          </w:tcPr>
          <w:p w14:paraId="707C7803"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6DC52EB0" w14:textId="77777777" w:rsidR="00EB19CA" w:rsidRPr="00D462F0" w:rsidRDefault="00EB19CA" w:rsidP="00D462F0">
            <w:pPr>
              <w:jc w:val="both"/>
              <w:rPr>
                <w:rFonts w:asciiTheme="majorHAnsi" w:hAnsiTheme="majorHAnsi" w:cstheme="majorHAnsi"/>
                <w:bCs/>
                <w:sz w:val="24"/>
                <w:szCs w:val="24"/>
              </w:rPr>
            </w:pPr>
          </w:p>
        </w:tc>
      </w:tr>
      <w:tr w:rsidR="00EB19CA" w:rsidRPr="00C93770" w14:paraId="43F53CC0" w14:textId="77777777" w:rsidTr="1756A420">
        <w:tc>
          <w:tcPr>
            <w:tcW w:w="4074" w:type="dxa"/>
          </w:tcPr>
          <w:p w14:paraId="60F4E809" w14:textId="16D2408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2E76964F" w14:textId="7214FA0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III – as referências a “regulamento” e a “regulamento do fundo” aplicam-se aos anexos descritivos das classes de cotas e os apêndices das subclasses.</w:t>
            </w:r>
          </w:p>
        </w:tc>
        <w:tc>
          <w:tcPr>
            <w:tcW w:w="4074" w:type="dxa"/>
          </w:tcPr>
          <w:p w14:paraId="167123E7" w14:textId="77777777" w:rsidR="00EB19CA" w:rsidRPr="00D462F0" w:rsidRDefault="00EB19CA" w:rsidP="00D462F0">
            <w:pPr>
              <w:jc w:val="both"/>
              <w:rPr>
                <w:rFonts w:asciiTheme="majorHAnsi" w:hAnsiTheme="majorHAnsi" w:cstheme="majorHAnsi"/>
                <w:sz w:val="24"/>
                <w:szCs w:val="24"/>
              </w:rPr>
            </w:pPr>
          </w:p>
        </w:tc>
        <w:tc>
          <w:tcPr>
            <w:tcW w:w="4075" w:type="dxa"/>
          </w:tcPr>
          <w:p w14:paraId="29C9EBBD"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0D7B082C" w14:textId="77777777" w:rsidR="00EB19CA" w:rsidRPr="00D462F0" w:rsidRDefault="00EB19CA" w:rsidP="00D462F0">
            <w:pPr>
              <w:jc w:val="both"/>
              <w:rPr>
                <w:rFonts w:asciiTheme="majorHAnsi" w:hAnsiTheme="majorHAnsi" w:cstheme="majorHAnsi"/>
                <w:bCs/>
                <w:sz w:val="24"/>
                <w:szCs w:val="24"/>
              </w:rPr>
            </w:pPr>
          </w:p>
        </w:tc>
      </w:tr>
      <w:tr w:rsidR="00EB19CA" w:rsidRPr="00C93770" w14:paraId="5AE3A9A5" w14:textId="77777777" w:rsidTr="1756A420">
        <w:tc>
          <w:tcPr>
            <w:tcW w:w="4074" w:type="dxa"/>
          </w:tcPr>
          <w:p w14:paraId="426586DB"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w:t>
            </w:r>
          </w:p>
          <w:p w14:paraId="32287781" w14:textId="4BF34731"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Prestador de Serviço de Administração de Carteiras de Valores Mobiliários</w:t>
            </w:r>
          </w:p>
        </w:tc>
        <w:tc>
          <w:tcPr>
            <w:tcW w:w="4074" w:type="dxa"/>
          </w:tcPr>
          <w:p w14:paraId="4EFEEF27"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w:t>
            </w:r>
          </w:p>
          <w:p w14:paraId="557D5CF7" w14:textId="25298888"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 xml:space="preserve">Seleção de Prestadores de Serviços </w:t>
            </w:r>
            <w:r w:rsidRPr="00D462F0">
              <w:rPr>
                <w:rFonts w:asciiTheme="majorHAnsi" w:hAnsiTheme="majorHAnsi" w:cstheme="majorHAnsi"/>
                <w:b/>
                <w:bCs/>
                <w:strike/>
                <w:color w:val="EE0000"/>
                <w:sz w:val="24"/>
                <w:szCs w:val="24"/>
              </w:rPr>
              <w:t>de Administração de Carteiras de Valores Mobiliários</w:t>
            </w:r>
          </w:p>
        </w:tc>
        <w:tc>
          <w:tcPr>
            <w:tcW w:w="4074" w:type="dxa"/>
          </w:tcPr>
          <w:p w14:paraId="4564460C" w14:textId="0DA05DFF" w:rsidR="00EB19CA" w:rsidRPr="00D462F0" w:rsidRDefault="0028717C"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alinhar às nomenclaturas adotadas pela Resolução CMN nº 5.202, de 2025, e Resolução CVM nº 175, de 2022.</w:t>
            </w:r>
          </w:p>
        </w:tc>
        <w:tc>
          <w:tcPr>
            <w:tcW w:w="4075" w:type="dxa"/>
          </w:tcPr>
          <w:p w14:paraId="32E01DCA" w14:textId="77777777" w:rsidR="00EB19CA" w:rsidRPr="00D462F0" w:rsidRDefault="00EB19CA" w:rsidP="00D462F0">
            <w:pPr>
              <w:jc w:val="both"/>
              <w:rPr>
                <w:rFonts w:asciiTheme="majorHAnsi" w:hAnsiTheme="majorHAnsi" w:cstheme="majorHAnsi"/>
                <w:bCs/>
                <w:sz w:val="24"/>
                <w:szCs w:val="24"/>
              </w:rPr>
            </w:pPr>
          </w:p>
        </w:tc>
      </w:tr>
      <w:tr w:rsidR="00EB19CA" w:rsidRPr="00C93770" w14:paraId="60FD84FF" w14:textId="77777777" w:rsidTr="1756A420">
        <w:tc>
          <w:tcPr>
            <w:tcW w:w="4074" w:type="dxa"/>
          </w:tcPr>
          <w:p w14:paraId="6AF001EB" w14:textId="45678952"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220.  A EFPC na seleção de prestadores de serviço de administração de carteiras de valores mobiliários e de gestão de fundo de investimento exclusivo deve, no mínimo:</w:t>
            </w:r>
          </w:p>
        </w:tc>
        <w:tc>
          <w:tcPr>
            <w:tcW w:w="4074" w:type="dxa"/>
          </w:tcPr>
          <w:p w14:paraId="1486928E" w14:textId="300BE64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Art. 220.  A EFPC na seleção de prestadores de serviços </w:t>
            </w:r>
            <w:r w:rsidRPr="00D462F0">
              <w:rPr>
                <w:rFonts w:asciiTheme="majorHAnsi" w:hAnsiTheme="majorHAnsi" w:cstheme="majorHAnsi"/>
                <w:bCs/>
                <w:strike/>
                <w:color w:val="EE0000"/>
                <w:sz w:val="24"/>
                <w:szCs w:val="24"/>
              </w:rPr>
              <w:t>de administração de carteiras de valores mobiliários e de gestão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de fundo de investimento exclusivo deve, no mínimo:</w:t>
            </w:r>
          </w:p>
        </w:tc>
        <w:tc>
          <w:tcPr>
            <w:tcW w:w="4074" w:type="dxa"/>
          </w:tcPr>
          <w:p w14:paraId="09B10092" w14:textId="538F1E2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alinhar às nomenclaturas adotadas pela Resolução CMN nº 5.202, de 2025, e Resolução CVM nº 175, de 2022.</w:t>
            </w:r>
          </w:p>
        </w:tc>
        <w:tc>
          <w:tcPr>
            <w:tcW w:w="4075" w:type="dxa"/>
          </w:tcPr>
          <w:p w14:paraId="666F903E" w14:textId="34853DA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w:t>
            </w:r>
            <w:r w:rsidRPr="00D462F0">
              <w:rPr>
                <w:rFonts w:asciiTheme="majorHAnsi" w:eastAsia="Times New Roman" w:hAnsiTheme="majorHAnsi" w:cstheme="majorHAnsi"/>
                <w:bCs/>
                <w:sz w:val="24"/>
                <w:szCs w:val="24"/>
              </w:rPr>
              <w:t xml:space="preserve"> - </w:t>
            </w:r>
            <w:r w:rsidRPr="00D462F0">
              <w:rPr>
                <w:rFonts w:asciiTheme="majorHAnsi" w:hAnsiTheme="majorHAnsi" w:cstheme="majorHAnsi"/>
                <w:bCs/>
                <w:sz w:val="24"/>
                <w:szCs w:val="24"/>
              </w:rPr>
              <w:t>Mero aprimoramento redacional, sem alteração de mérito para eliminação de possíveis ambiguidades.</w:t>
            </w:r>
          </w:p>
        </w:tc>
      </w:tr>
      <w:tr w:rsidR="00EB19CA" w:rsidRPr="00C93770" w14:paraId="349F6A39" w14:textId="77777777" w:rsidTr="1756A420">
        <w:tc>
          <w:tcPr>
            <w:tcW w:w="4074" w:type="dxa"/>
          </w:tcPr>
          <w:p w14:paraId="78E408BE" w14:textId="769BD87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 - </w:t>
            </w:r>
            <w:proofErr w:type="gramStart"/>
            <w:r w:rsidRPr="00D462F0">
              <w:rPr>
                <w:rFonts w:asciiTheme="majorHAnsi" w:hAnsiTheme="majorHAnsi" w:cstheme="majorHAnsi"/>
                <w:sz w:val="24"/>
                <w:szCs w:val="24"/>
              </w:rPr>
              <w:t>estabelecer</w:t>
            </w:r>
            <w:proofErr w:type="gramEnd"/>
            <w:r w:rsidRPr="00D462F0">
              <w:rPr>
                <w:rFonts w:asciiTheme="majorHAnsi" w:hAnsiTheme="majorHAnsi" w:cstheme="majorHAnsi"/>
                <w:sz w:val="24"/>
                <w:szCs w:val="24"/>
              </w:rPr>
              <w:t xml:space="preserve"> critérios de seleção que visem à impessoalidade, à concorrência e à transparência;</w:t>
            </w:r>
          </w:p>
        </w:tc>
        <w:tc>
          <w:tcPr>
            <w:tcW w:w="4074" w:type="dxa"/>
          </w:tcPr>
          <w:p w14:paraId="5F30669E" w14:textId="53CBECB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 - </w:t>
            </w:r>
            <w:proofErr w:type="gramStart"/>
            <w:r w:rsidRPr="00D462F0">
              <w:rPr>
                <w:rFonts w:asciiTheme="majorHAnsi" w:hAnsiTheme="majorHAnsi" w:cstheme="majorHAnsi"/>
                <w:bCs/>
                <w:sz w:val="24"/>
                <w:szCs w:val="24"/>
              </w:rPr>
              <w:t>estabelecer</w:t>
            </w:r>
            <w:proofErr w:type="gramEnd"/>
            <w:r w:rsidRPr="00D462F0">
              <w:rPr>
                <w:rFonts w:asciiTheme="majorHAnsi" w:hAnsiTheme="majorHAnsi" w:cstheme="majorHAnsi"/>
                <w:bCs/>
                <w:sz w:val="24"/>
                <w:szCs w:val="24"/>
              </w:rPr>
              <w:t xml:space="preserve"> critérios de seleção que visem à impessoalidade, à concorrência e à transparência, </w:t>
            </w:r>
            <w:r w:rsidRPr="00D462F0">
              <w:rPr>
                <w:rFonts w:asciiTheme="majorHAnsi" w:hAnsiTheme="majorHAnsi" w:cstheme="majorHAnsi"/>
                <w:bCs/>
                <w:color w:val="0000FF"/>
                <w:sz w:val="24"/>
                <w:szCs w:val="24"/>
              </w:rPr>
              <w:t>atuando para evitar práticas que possam ferir a relação fiduciária</w:t>
            </w:r>
            <w:r w:rsidRPr="00D462F0">
              <w:rPr>
                <w:rFonts w:asciiTheme="majorHAnsi" w:hAnsiTheme="majorHAnsi" w:cstheme="majorHAnsi"/>
                <w:bCs/>
                <w:sz w:val="24"/>
                <w:szCs w:val="24"/>
              </w:rPr>
              <w:t>;</w:t>
            </w:r>
          </w:p>
        </w:tc>
        <w:tc>
          <w:tcPr>
            <w:tcW w:w="4074" w:type="dxa"/>
          </w:tcPr>
          <w:p w14:paraId="5EDDB681" w14:textId="514473F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Acréscimo da parte final do inciso para reforçar que os critérios de seleção têm como objetivo mitigar o risco de práticas que possam de alguma ferir a relação fiduciária entre o plano de benefícios e o prestador de serviços.</w:t>
            </w:r>
          </w:p>
        </w:tc>
        <w:tc>
          <w:tcPr>
            <w:tcW w:w="4075" w:type="dxa"/>
          </w:tcPr>
          <w:p w14:paraId="7AAF5D68" w14:textId="4A214B2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1C7BFFA4" w14:textId="77777777" w:rsidTr="1756A420">
        <w:tc>
          <w:tcPr>
            <w:tcW w:w="4074" w:type="dxa"/>
          </w:tcPr>
          <w:p w14:paraId="62BAE7E5" w14:textId="7A4E00F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II - </w:t>
            </w:r>
            <w:proofErr w:type="gramStart"/>
            <w:r w:rsidRPr="00D462F0">
              <w:rPr>
                <w:rFonts w:asciiTheme="majorHAnsi" w:hAnsiTheme="majorHAnsi" w:cstheme="majorHAnsi"/>
                <w:sz w:val="24"/>
                <w:szCs w:val="24"/>
              </w:rPr>
              <w:t>avaliar</w:t>
            </w:r>
            <w:proofErr w:type="gramEnd"/>
            <w:r w:rsidRPr="00D462F0">
              <w:rPr>
                <w:rFonts w:asciiTheme="majorHAnsi" w:hAnsiTheme="majorHAnsi" w:cstheme="majorHAnsi"/>
                <w:sz w:val="24"/>
                <w:szCs w:val="24"/>
              </w:rPr>
              <w:t xml:space="preserve"> se o administrador de carteira de valores mobiliários é devidamente autorizado pela Comissão de Valores Mobiliários e tem reputação ilibada;</w:t>
            </w:r>
          </w:p>
        </w:tc>
        <w:tc>
          <w:tcPr>
            <w:tcW w:w="4074" w:type="dxa"/>
          </w:tcPr>
          <w:p w14:paraId="375F1834" w14:textId="1D8915F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II - </w:t>
            </w:r>
            <w:proofErr w:type="gramStart"/>
            <w:r w:rsidRPr="00D462F0">
              <w:rPr>
                <w:rFonts w:asciiTheme="majorHAnsi" w:hAnsiTheme="majorHAnsi" w:cstheme="majorHAnsi"/>
                <w:bCs/>
                <w:sz w:val="24"/>
                <w:szCs w:val="24"/>
              </w:rPr>
              <w:t>avaliar</w:t>
            </w:r>
            <w:proofErr w:type="gramEnd"/>
            <w:r w:rsidRPr="00D462F0">
              <w:rPr>
                <w:rFonts w:asciiTheme="majorHAnsi" w:hAnsiTheme="majorHAnsi" w:cstheme="majorHAnsi"/>
                <w:bCs/>
                <w:sz w:val="24"/>
                <w:szCs w:val="24"/>
              </w:rPr>
              <w:t xml:space="preserve"> se o </w:t>
            </w:r>
            <w:r w:rsidRPr="00D462F0">
              <w:rPr>
                <w:rFonts w:asciiTheme="majorHAnsi" w:hAnsiTheme="majorHAnsi" w:cstheme="majorHAnsi"/>
                <w:bCs/>
                <w:strike/>
                <w:color w:val="EE0000"/>
                <w:sz w:val="24"/>
                <w:szCs w:val="24"/>
              </w:rPr>
              <w:t>administrador de carteira de valores mobiliários</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prestador de serviços </w:t>
            </w:r>
            <w:r w:rsidRPr="00D462F0">
              <w:rPr>
                <w:rFonts w:asciiTheme="majorHAnsi" w:hAnsiTheme="majorHAnsi" w:cstheme="majorHAnsi"/>
                <w:bCs/>
                <w:sz w:val="24"/>
                <w:szCs w:val="24"/>
              </w:rPr>
              <w:t>é devidamente autorizado pela Comissão de Valores Mobiliários e tem reputação ilibada;</w:t>
            </w:r>
          </w:p>
        </w:tc>
        <w:tc>
          <w:tcPr>
            <w:tcW w:w="4074" w:type="dxa"/>
          </w:tcPr>
          <w:p w14:paraId="384E3ED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Ajuste redacional para alinhar às nomenclaturas adotadas pela Resolução CMN nº 5.202, de 2025, e pela Resolução CVM nº 175, de 2022.</w:t>
            </w:r>
          </w:p>
          <w:p w14:paraId="56305ED4" w14:textId="4C998348" w:rsidR="00EB19CA" w:rsidRPr="00D462F0" w:rsidRDefault="00EB19CA" w:rsidP="00D462F0">
            <w:pPr>
              <w:jc w:val="both"/>
              <w:rPr>
                <w:rFonts w:asciiTheme="majorHAnsi" w:hAnsiTheme="majorHAnsi" w:cstheme="majorHAnsi"/>
                <w:sz w:val="24"/>
                <w:szCs w:val="24"/>
              </w:rPr>
            </w:pPr>
          </w:p>
        </w:tc>
        <w:tc>
          <w:tcPr>
            <w:tcW w:w="4075" w:type="dxa"/>
          </w:tcPr>
          <w:p w14:paraId="18B2BFFD" w14:textId="3C0ABCC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5EBC6797" w14:textId="77777777" w:rsidTr="1756A420">
        <w:tc>
          <w:tcPr>
            <w:tcW w:w="4074" w:type="dxa"/>
          </w:tcPr>
          <w:p w14:paraId="5C0AE8EE" w14:textId="02F9423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4074" w:type="dxa"/>
          </w:tcPr>
          <w:p w14:paraId="2F6EE21F"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sz w:val="24"/>
                <w:szCs w:val="24"/>
              </w:rPr>
              <w:t xml:space="preserve">III – </w:t>
            </w:r>
            <w:r w:rsidRPr="00D462F0">
              <w:rPr>
                <w:rFonts w:asciiTheme="majorHAnsi" w:hAnsiTheme="majorHAnsi" w:cstheme="majorHAnsi"/>
                <w:bCs/>
                <w:strike/>
                <w:color w:val="EE0000"/>
                <w:sz w:val="24"/>
                <w:szCs w:val="24"/>
              </w:rPr>
              <w:t>analisar</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verificar se</w:t>
            </w:r>
            <w:r w:rsidRPr="00D462F0">
              <w:rPr>
                <w:rFonts w:asciiTheme="majorHAnsi" w:hAnsiTheme="majorHAnsi" w:cstheme="majorHAnsi"/>
                <w:bCs/>
                <w:sz w:val="24"/>
                <w:szCs w:val="24"/>
              </w:rPr>
              <w:t xml:space="preserve"> a estrutura existente </w:t>
            </w:r>
            <w:r w:rsidRPr="00D462F0">
              <w:rPr>
                <w:rFonts w:asciiTheme="majorHAnsi" w:hAnsiTheme="majorHAnsi" w:cstheme="majorHAnsi"/>
                <w:bCs/>
                <w:strike/>
                <w:color w:val="EE0000"/>
                <w:sz w:val="24"/>
                <w:szCs w:val="24"/>
              </w:rPr>
              <w:t>para a prestação do serviço</w:t>
            </w:r>
            <w:r w:rsidRPr="00D462F0">
              <w:rPr>
                <w:rFonts w:asciiTheme="majorHAnsi" w:hAnsiTheme="majorHAnsi" w:cstheme="majorHAnsi"/>
                <w:bCs/>
                <w:sz w:val="24"/>
                <w:szCs w:val="24"/>
              </w:rPr>
              <w:t xml:space="preserve">, </w:t>
            </w:r>
            <w:r w:rsidRPr="00D462F0">
              <w:rPr>
                <w:rFonts w:asciiTheme="majorHAnsi" w:hAnsiTheme="majorHAnsi" w:cstheme="majorHAnsi"/>
                <w:bCs/>
                <w:strike/>
                <w:color w:val="EE0000"/>
                <w:sz w:val="24"/>
                <w:szCs w:val="24"/>
              </w:rPr>
              <w:t xml:space="preserve">a qualificação técnica e a experiência dos profissionais para o exercício de administração de carteira de valores mobiliários, </w:t>
            </w:r>
            <w:r w:rsidRPr="00D462F0">
              <w:rPr>
                <w:rFonts w:asciiTheme="majorHAnsi" w:hAnsiTheme="majorHAnsi" w:cstheme="majorHAnsi"/>
                <w:bCs/>
                <w:color w:val="0000FF"/>
                <w:sz w:val="24"/>
                <w:szCs w:val="24"/>
              </w:rPr>
              <w:t xml:space="preserve">a experiência dos profissionais, a capacidade operacional e técnica, </w:t>
            </w:r>
            <w:r w:rsidRPr="00D462F0">
              <w:rPr>
                <w:rFonts w:asciiTheme="majorHAnsi" w:hAnsiTheme="majorHAnsi" w:cstheme="majorHAnsi"/>
                <w:bCs/>
                <w:color w:val="000000" w:themeColor="text1"/>
                <w:sz w:val="24"/>
                <w:szCs w:val="24"/>
              </w:rPr>
              <w:t xml:space="preserve">incluindo o histórico de atuação </w:t>
            </w:r>
            <w:r w:rsidRPr="00D462F0">
              <w:rPr>
                <w:rFonts w:asciiTheme="majorHAnsi" w:hAnsiTheme="majorHAnsi" w:cstheme="majorHAnsi"/>
                <w:bCs/>
                <w:strike/>
                <w:color w:val="EE0000"/>
                <w:sz w:val="24"/>
                <w:szCs w:val="24"/>
              </w:rPr>
              <w:t>do gestor de recursos</w:t>
            </w:r>
            <w:r w:rsidRPr="00D462F0">
              <w:rPr>
                <w:rFonts w:asciiTheme="majorHAnsi" w:hAnsiTheme="majorHAnsi" w:cstheme="majorHAnsi"/>
                <w:bCs/>
                <w:color w:val="0000FF"/>
                <w:sz w:val="24"/>
                <w:szCs w:val="24"/>
              </w:rPr>
              <w:t xml:space="preserve"> dos prestadores de serviços, são compatíveis com o serviço a ser prestado.</w:t>
            </w:r>
          </w:p>
          <w:p w14:paraId="2996CEB3" w14:textId="77777777" w:rsidR="00EB19CA" w:rsidRPr="00D462F0" w:rsidRDefault="00EB19CA" w:rsidP="00D462F0">
            <w:pPr>
              <w:jc w:val="both"/>
              <w:rPr>
                <w:rFonts w:asciiTheme="majorHAnsi" w:hAnsiTheme="majorHAnsi" w:cstheme="majorHAnsi"/>
                <w:bCs/>
                <w:sz w:val="24"/>
                <w:szCs w:val="24"/>
              </w:rPr>
            </w:pPr>
          </w:p>
        </w:tc>
        <w:tc>
          <w:tcPr>
            <w:tcW w:w="4074" w:type="dxa"/>
          </w:tcPr>
          <w:p w14:paraId="4BE58F70" w14:textId="77777777" w:rsidR="00EB19CA" w:rsidRPr="00D462F0" w:rsidRDefault="00EB19CA" w:rsidP="00D462F0">
            <w:pPr>
              <w:jc w:val="both"/>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O aprimoramento redacional propõe substituir o termo "analisar" por "verificar se" para evidenciar que o objetivo dessa verificação é avaliar se a estrutura existente, a experiência dos profissionais, a capacidade operacional e técnica, incluindo seu histórico de atuação, são compatíveis com o serviço a ser prestado. Além disso, o texto foi ajustado para reforçar a importância da proporcionalidade, destacando que a estrutura do prestador deve estar adequada ao mandato a que se refere, e para utilizar o termo "prestador de serviços como forma de direcionar a responsabilidade normativa conforme a legislação aplicável da CVM.</w:t>
            </w:r>
          </w:p>
          <w:p w14:paraId="19847382" w14:textId="77777777" w:rsidR="00EB19CA" w:rsidRPr="00D462F0" w:rsidRDefault="00EB19CA" w:rsidP="00D462F0">
            <w:pPr>
              <w:jc w:val="both"/>
              <w:rPr>
                <w:rFonts w:asciiTheme="majorHAnsi" w:hAnsiTheme="majorHAnsi" w:cstheme="majorHAnsi"/>
                <w:sz w:val="24"/>
                <w:szCs w:val="24"/>
              </w:rPr>
            </w:pPr>
          </w:p>
        </w:tc>
        <w:tc>
          <w:tcPr>
            <w:tcW w:w="4075" w:type="dxa"/>
          </w:tcPr>
          <w:p w14:paraId="09500AD6" w14:textId="40BC93CE"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Alínea “a” do inciso V, do art. 4º.</w:t>
            </w:r>
          </w:p>
        </w:tc>
      </w:tr>
      <w:tr w:rsidR="00EB19CA" w:rsidRPr="00C93770" w14:paraId="1430C62A" w14:textId="77777777" w:rsidTr="1756A420">
        <w:tc>
          <w:tcPr>
            <w:tcW w:w="4074" w:type="dxa"/>
          </w:tcPr>
          <w:p w14:paraId="7CDF005E" w14:textId="1D7F10B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IV - </w:t>
            </w:r>
            <w:proofErr w:type="gramStart"/>
            <w:r w:rsidRPr="00D462F0">
              <w:rPr>
                <w:rFonts w:asciiTheme="majorHAnsi" w:hAnsiTheme="majorHAnsi" w:cstheme="majorHAnsi"/>
                <w:sz w:val="24"/>
                <w:szCs w:val="24"/>
              </w:rPr>
              <w:t>estabelecer</w:t>
            </w:r>
            <w:proofErr w:type="gramEnd"/>
            <w:r w:rsidRPr="00D462F0">
              <w:rPr>
                <w:rFonts w:asciiTheme="majorHAnsi" w:hAnsiTheme="majorHAnsi" w:cstheme="majorHAnsi"/>
                <w:sz w:val="24"/>
                <w:szCs w:val="24"/>
              </w:rPr>
              <w:t xml:space="preserve"> o escopo do serviço a ser prestado inclusive contemplando objetivos passíveis de verificação de acordo com as características do mandato;</w:t>
            </w:r>
          </w:p>
        </w:tc>
        <w:tc>
          <w:tcPr>
            <w:tcW w:w="4074" w:type="dxa"/>
          </w:tcPr>
          <w:p w14:paraId="121E014D" w14:textId="2EB01B6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IV - </w:t>
            </w:r>
            <w:proofErr w:type="gramStart"/>
            <w:r w:rsidRPr="00D462F0">
              <w:rPr>
                <w:rFonts w:asciiTheme="majorHAnsi" w:hAnsiTheme="majorHAnsi" w:cstheme="majorHAnsi"/>
                <w:bCs/>
                <w:sz w:val="24"/>
                <w:szCs w:val="24"/>
              </w:rPr>
              <w:t>estabelecer</w:t>
            </w:r>
            <w:proofErr w:type="gramEnd"/>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com clareza e objetividade no regulamento e no contrato de prestação de serviços</w:t>
            </w:r>
            <w:r w:rsidRPr="00D462F0">
              <w:rPr>
                <w:rFonts w:asciiTheme="majorHAnsi" w:hAnsiTheme="majorHAnsi" w:cstheme="majorHAnsi"/>
                <w:bCs/>
                <w:sz w:val="24"/>
                <w:szCs w:val="24"/>
              </w:rPr>
              <w:t xml:space="preserve"> o escopo </w:t>
            </w:r>
            <w:r w:rsidRPr="00D462F0">
              <w:rPr>
                <w:rFonts w:asciiTheme="majorHAnsi" w:hAnsiTheme="majorHAnsi" w:cstheme="majorHAnsi"/>
                <w:bCs/>
                <w:strike/>
                <w:color w:val="EE0000"/>
                <w:sz w:val="24"/>
                <w:szCs w:val="24"/>
              </w:rPr>
              <w:t xml:space="preserve">do serviço a ser prestado </w:t>
            </w:r>
            <w:r w:rsidRPr="00887C1C">
              <w:rPr>
                <w:rFonts w:asciiTheme="majorHAnsi" w:hAnsiTheme="majorHAnsi" w:cstheme="majorHAnsi"/>
                <w:bCs/>
                <w:color w:val="0000FF"/>
                <w:sz w:val="24"/>
                <w:szCs w:val="24"/>
              </w:rPr>
              <w:t>da atividade contratada</w:t>
            </w:r>
            <w:r w:rsidRPr="00D462F0">
              <w:rPr>
                <w:rFonts w:asciiTheme="majorHAnsi" w:hAnsiTheme="majorHAnsi" w:cstheme="majorHAnsi"/>
                <w:bCs/>
                <w:color w:val="0000FF"/>
                <w:sz w:val="24"/>
                <w:szCs w:val="24"/>
              </w:rPr>
              <w:t>,</w:t>
            </w:r>
            <w:r w:rsidRPr="00D462F0">
              <w:rPr>
                <w:rFonts w:asciiTheme="majorHAnsi" w:hAnsiTheme="majorHAnsi" w:cstheme="majorHAnsi"/>
                <w:bCs/>
                <w:sz w:val="24"/>
                <w:szCs w:val="24"/>
              </w:rPr>
              <w:t xml:space="preserve"> contemplando </w:t>
            </w:r>
            <w:r w:rsidRPr="00D462F0">
              <w:rPr>
                <w:rFonts w:asciiTheme="majorHAnsi" w:hAnsiTheme="majorHAnsi" w:cstheme="majorHAnsi"/>
                <w:bCs/>
                <w:strike/>
                <w:color w:val="EE0000"/>
                <w:sz w:val="24"/>
                <w:szCs w:val="24"/>
              </w:rPr>
              <w:t>inclusive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 xml:space="preserve">objetivos passíveis de verificação de acordo com as características do mandato, </w:t>
            </w:r>
            <w:r w:rsidRPr="00D462F0">
              <w:rPr>
                <w:rFonts w:asciiTheme="majorHAnsi" w:hAnsiTheme="majorHAnsi" w:cstheme="majorHAnsi"/>
                <w:bCs/>
                <w:color w:val="0000FF"/>
                <w:sz w:val="24"/>
                <w:szCs w:val="24"/>
              </w:rPr>
              <w:t>firmando, sempre que possível, acordos quanto ao nível de serviço a ser prestado</w:t>
            </w:r>
            <w:r w:rsidRPr="00D462F0">
              <w:rPr>
                <w:rFonts w:asciiTheme="majorHAnsi" w:hAnsiTheme="majorHAnsi" w:cstheme="majorHAnsi"/>
                <w:bCs/>
                <w:sz w:val="24"/>
                <w:szCs w:val="24"/>
              </w:rPr>
              <w:t xml:space="preserve">; </w:t>
            </w:r>
          </w:p>
        </w:tc>
        <w:tc>
          <w:tcPr>
            <w:tcW w:w="4074" w:type="dxa"/>
          </w:tcPr>
          <w:p w14:paraId="242490DC" w14:textId="35176A93" w:rsidR="00EB19CA" w:rsidRPr="00D462F0" w:rsidRDefault="00EB19CA"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 xml:space="preserve">A redação proposta visa garantir maior precisão normativa ao exigir que o regulamento e o contrato contenham, de forma clara e objetiva, a definição do escopo dos serviços a serem prestados. A exclusão do termo “inclusive” elimina redundância, sem prejuízo da exigência de metas verificáveis. A opção por abordagem mais genérica evita a adoção automática do modelo de SLA previsto no Ofício-Circular nº 3/2020-CVM/SMI, o qual não se coaduna com a natureza contínua e institucional dos serviços prestados no âmbito das EFPC, </w:t>
            </w:r>
            <w:r w:rsidRPr="00D462F0">
              <w:rPr>
                <w:rFonts w:asciiTheme="majorHAnsi" w:eastAsia="Times New Roman" w:hAnsiTheme="majorHAnsi" w:cstheme="majorHAnsi"/>
                <w:sz w:val="24"/>
                <w:szCs w:val="24"/>
              </w:rPr>
              <w:lastRenderedPageBreak/>
              <w:t>respeitando a diversidade de estruturas organizacionais do setor.</w:t>
            </w:r>
          </w:p>
        </w:tc>
        <w:tc>
          <w:tcPr>
            <w:tcW w:w="4075" w:type="dxa"/>
          </w:tcPr>
          <w:p w14:paraId="29D61001" w14:textId="5E60596D"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lastRenderedPageBreak/>
              <w:t>Alínea “a” do inciso V, do art. 4º.</w:t>
            </w:r>
          </w:p>
        </w:tc>
      </w:tr>
      <w:tr w:rsidR="00EB19CA" w:rsidRPr="00C93770" w14:paraId="3943DFAF" w14:textId="77777777" w:rsidTr="1756A420">
        <w:tc>
          <w:tcPr>
            <w:tcW w:w="4074" w:type="dxa"/>
          </w:tcPr>
          <w:p w14:paraId="2E2EFDE5" w14:textId="71379B7C"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BCEFC5A" w14:textId="392D6662"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2EB3F172" w14:textId="77777777" w:rsidR="00EB19CA" w:rsidRPr="00D462F0" w:rsidRDefault="00EB19CA" w:rsidP="00D462F0">
            <w:pPr>
              <w:jc w:val="both"/>
              <w:rPr>
                <w:rFonts w:asciiTheme="majorHAnsi" w:hAnsiTheme="majorHAnsi" w:cstheme="majorHAnsi"/>
                <w:sz w:val="24"/>
                <w:szCs w:val="24"/>
              </w:rPr>
            </w:pPr>
          </w:p>
        </w:tc>
        <w:tc>
          <w:tcPr>
            <w:tcW w:w="4075" w:type="dxa"/>
          </w:tcPr>
          <w:p w14:paraId="484279B5" w14:textId="77777777" w:rsidR="00EB19CA" w:rsidRPr="00D462F0" w:rsidRDefault="00EB19CA" w:rsidP="00D462F0">
            <w:pPr>
              <w:jc w:val="both"/>
              <w:rPr>
                <w:rFonts w:asciiTheme="majorHAnsi" w:hAnsiTheme="majorHAnsi" w:cstheme="majorHAnsi"/>
                <w:bCs/>
                <w:sz w:val="24"/>
                <w:szCs w:val="24"/>
              </w:rPr>
            </w:pPr>
          </w:p>
        </w:tc>
      </w:tr>
      <w:tr w:rsidR="00EB19CA" w:rsidRPr="00C93770" w14:paraId="1CD64920" w14:textId="77777777" w:rsidTr="1756A420">
        <w:tc>
          <w:tcPr>
            <w:tcW w:w="4074" w:type="dxa"/>
          </w:tcPr>
          <w:p w14:paraId="7BE908A0" w14:textId="7FA4913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VII - analisar se a política de gestão de riscos da carteira administrada ou do fundo de investimento está alinhada às diretrizes da política de investimento dos planos de benefícios da EFPC; e</w:t>
            </w:r>
          </w:p>
        </w:tc>
        <w:tc>
          <w:tcPr>
            <w:tcW w:w="4074" w:type="dxa"/>
          </w:tcPr>
          <w:p w14:paraId="35FCC9FA" w14:textId="6765110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VII - analisar se a política de gestão de riscos da carteira administrada ou </w:t>
            </w:r>
            <w:r w:rsidRPr="00D462F0">
              <w:rPr>
                <w:rFonts w:asciiTheme="majorHAnsi" w:hAnsiTheme="majorHAnsi" w:cstheme="majorHAnsi"/>
                <w:bCs/>
                <w:color w:val="0000FF"/>
                <w:sz w:val="24"/>
                <w:szCs w:val="24"/>
              </w:rPr>
              <w:t xml:space="preserve">da classe de cotas </w:t>
            </w:r>
            <w:r w:rsidRPr="00D462F0">
              <w:rPr>
                <w:rFonts w:asciiTheme="majorHAnsi" w:hAnsiTheme="majorHAnsi" w:cstheme="majorHAnsi"/>
                <w:bCs/>
                <w:sz w:val="24"/>
                <w:szCs w:val="24"/>
              </w:rPr>
              <w:t>do fundo de investimento está alinhada às diretrizes da política de investimento dos planos de benefícios da EFPC; e</w:t>
            </w:r>
          </w:p>
        </w:tc>
        <w:tc>
          <w:tcPr>
            <w:tcW w:w="4074" w:type="dxa"/>
          </w:tcPr>
          <w:p w14:paraId="2B4C009B"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Ajuste redacional para alinhar à Resolução CMN Nº 5.202, de 2025, e a Resolução CVM nº 175, de 2022.</w:t>
            </w:r>
          </w:p>
          <w:p w14:paraId="3DDD4C5E" w14:textId="77777777" w:rsidR="00EB19CA" w:rsidRPr="00D462F0" w:rsidRDefault="00EB19CA" w:rsidP="00D462F0">
            <w:pPr>
              <w:jc w:val="both"/>
              <w:rPr>
                <w:rFonts w:asciiTheme="majorHAnsi" w:hAnsiTheme="majorHAnsi" w:cstheme="majorHAnsi"/>
                <w:sz w:val="24"/>
                <w:szCs w:val="24"/>
              </w:rPr>
            </w:pPr>
          </w:p>
        </w:tc>
        <w:tc>
          <w:tcPr>
            <w:tcW w:w="4075" w:type="dxa"/>
          </w:tcPr>
          <w:p w14:paraId="6DC7961A" w14:textId="1DC00ED5"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Incisos IV do art. 4º do Decreto nº 10.411, de 2020</w:t>
            </w:r>
            <w:r w:rsidRPr="00D462F0">
              <w:rPr>
                <w:rFonts w:asciiTheme="majorHAnsi" w:eastAsia="Times New Roman" w:hAnsiTheme="majorHAnsi" w:cstheme="majorHAnsi"/>
                <w:bCs/>
                <w:sz w:val="24"/>
                <w:szCs w:val="24"/>
              </w:rPr>
              <w:t xml:space="preserve"> - </w:t>
            </w:r>
            <w:r w:rsidRPr="00D462F0">
              <w:rPr>
                <w:rFonts w:asciiTheme="majorHAnsi" w:hAnsiTheme="majorHAnsi" w:cstheme="majorHAnsi"/>
                <w:bCs/>
                <w:sz w:val="24"/>
                <w:szCs w:val="24"/>
              </w:rPr>
              <w:t>Aprimoramento redacional, sem alteração de mérito, para atender à melhor técnica normativa e a</w:t>
            </w:r>
            <w:r w:rsidRPr="00D462F0">
              <w:rPr>
                <w:rFonts w:asciiTheme="majorHAnsi" w:eastAsia="Times New Roman" w:hAnsiTheme="majorHAnsi" w:cstheme="majorHAnsi"/>
                <w:bCs/>
                <w:sz w:val="24"/>
                <w:szCs w:val="24"/>
              </w:rPr>
              <w:t>daptação à Resolução CMN nº 5.202, de 2025, e Resolução CVM nº175, de 2022, assim como retirada expressa da Resolução CMN nº 4.994, de 2022.</w:t>
            </w:r>
          </w:p>
        </w:tc>
      </w:tr>
      <w:tr w:rsidR="00EB19CA" w:rsidRPr="00C93770" w14:paraId="4B10702C" w14:textId="77777777" w:rsidTr="1756A420">
        <w:tc>
          <w:tcPr>
            <w:tcW w:w="4074" w:type="dxa"/>
          </w:tcPr>
          <w:p w14:paraId="63C016D5" w14:textId="0932D43A"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B38CAC9" w14:textId="0B67C64F"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2CC85FF5" w14:textId="77777777" w:rsidR="00EB19CA" w:rsidRPr="00D462F0" w:rsidRDefault="00EB19CA" w:rsidP="00D462F0">
            <w:pPr>
              <w:jc w:val="both"/>
              <w:rPr>
                <w:rFonts w:asciiTheme="majorHAnsi" w:hAnsiTheme="majorHAnsi" w:cstheme="majorHAnsi"/>
                <w:sz w:val="24"/>
                <w:szCs w:val="24"/>
              </w:rPr>
            </w:pPr>
          </w:p>
        </w:tc>
        <w:tc>
          <w:tcPr>
            <w:tcW w:w="4075" w:type="dxa"/>
          </w:tcPr>
          <w:p w14:paraId="1E15F2CD" w14:textId="77777777" w:rsidR="00EB19CA" w:rsidRPr="00D462F0" w:rsidRDefault="00EB19CA" w:rsidP="00D462F0">
            <w:pPr>
              <w:jc w:val="both"/>
              <w:rPr>
                <w:rFonts w:asciiTheme="majorHAnsi" w:hAnsiTheme="majorHAnsi" w:cstheme="majorHAnsi"/>
                <w:bCs/>
                <w:sz w:val="24"/>
                <w:szCs w:val="24"/>
              </w:rPr>
            </w:pPr>
          </w:p>
        </w:tc>
      </w:tr>
      <w:tr w:rsidR="00EB19CA" w:rsidRPr="00C93770" w14:paraId="749933F6" w14:textId="77777777" w:rsidTr="1756A420">
        <w:tc>
          <w:tcPr>
            <w:tcW w:w="4074" w:type="dxa"/>
          </w:tcPr>
          <w:p w14:paraId="50AC2FAF" w14:textId="73D3121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§2</w:t>
            </w:r>
            <w:proofErr w:type="gramStart"/>
            <w:r w:rsidRPr="00D462F0">
              <w:rPr>
                <w:rFonts w:asciiTheme="majorHAnsi" w:hAnsiTheme="majorHAnsi" w:cstheme="majorHAnsi"/>
                <w:sz w:val="24"/>
                <w:szCs w:val="24"/>
              </w:rPr>
              <w:t>º  O</w:t>
            </w:r>
            <w:proofErr w:type="gramEnd"/>
            <w:r w:rsidRPr="00D462F0">
              <w:rPr>
                <w:rFonts w:asciiTheme="majorHAnsi" w:hAnsiTheme="majorHAnsi" w:cstheme="majorHAnsi"/>
                <w:sz w:val="24"/>
                <w:szCs w:val="24"/>
              </w:rPr>
              <w:t xml:space="preserve">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4074" w:type="dxa"/>
          </w:tcPr>
          <w:p w14:paraId="78AE3565" w14:textId="036A104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§2</w:t>
            </w:r>
            <w:proofErr w:type="gramStart"/>
            <w:r w:rsidRPr="00D462F0">
              <w:rPr>
                <w:rFonts w:asciiTheme="majorHAnsi" w:hAnsiTheme="majorHAnsi" w:cstheme="majorHAnsi"/>
                <w:bCs/>
                <w:sz w:val="24"/>
                <w:szCs w:val="24"/>
              </w:rPr>
              <w:t>º  O</w:t>
            </w:r>
            <w:proofErr w:type="gramEnd"/>
            <w:r w:rsidRPr="00D462F0">
              <w:rPr>
                <w:rFonts w:asciiTheme="majorHAnsi" w:hAnsiTheme="majorHAnsi" w:cstheme="majorHAnsi"/>
                <w:bCs/>
                <w:sz w:val="24"/>
                <w:szCs w:val="24"/>
              </w:rPr>
              <w:t xml:space="preserve"> membro de diretoria </w:t>
            </w:r>
            <w:r w:rsidRPr="00D462F0">
              <w:rPr>
                <w:rFonts w:asciiTheme="majorHAnsi" w:hAnsiTheme="majorHAnsi" w:cstheme="majorHAnsi"/>
                <w:bCs/>
                <w:strike/>
                <w:color w:val="EE0000"/>
                <w:sz w:val="24"/>
                <w:szCs w:val="24"/>
              </w:rPr>
              <w:t>ou</w:t>
            </w:r>
            <w:r w:rsidRPr="00D462F0">
              <w:rPr>
                <w:rFonts w:asciiTheme="majorHAnsi" w:hAnsiTheme="majorHAnsi" w:cstheme="majorHAnsi"/>
                <w:bCs/>
                <w:sz w:val="24"/>
                <w:szCs w:val="24"/>
              </w:rPr>
              <w:t xml:space="preserve"> </w:t>
            </w:r>
            <w:proofErr w:type="gramStart"/>
            <w:r w:rsidRPr="00D462F0">
              <w:rPr>
                <w:rFonts w:asciiTheme="majorHAnsi" w:hAnsiTheme="majorHAnsi" w:cstheme="majorHAnsi"/>
                <w:bCs/>
                <w:color w:val="0000FF"/>
                <w:sz w:val="24"/>
                <w:szCs w:val="24"/>
              </w:rPr>
              <w:t>e</w:t>
            </w:r>
            <w:proofErr w:type="gramEnd"/>
            <w:r w:rsidRPr="00D462F0">
              <w:rPr>
                <w:rFonts w:asciiTheme="majorHAnsi" w:hAnsiTheme="majorHAnsi" w:cstheme="majorHAnsi"/>
                <w:bCs/>
                <w:color w:val="0000FF"/>
                <w:sz w:val="24"/>
                <w:szCs w:val="24"/>
              </w:rPr>
              <w:t xml:space="preserve"> do </w:t>
            </w:r>
            <w:r w:rsidRPr="00D462F0">
              <w:rPr>
                <w:rFonts w:asciiTheme="majorHAnsi" w:hAnsiTheme="majorHAnsi" w:cstheme="majorHAnsi"/>
                <w:bCs/>
                <w:sz w:val="24"/>
                <w:szCs w:val="24"/>
              </w:rPr>
              <w:t xml:space="preserve">conselho deliberativo da EFPC deve formalizar ao conselho deliberativo a existência de qualquer potencial conflito de </w:t>
            </w:r>
            <w:r w:rsidRPr="00D462F0">
              <w:rPr>
                <w:rFonts w:asciiTheme="majorHAnsi" w:hAnsiTheme="majorHAnsi" w:cstheme="majorHAnsi"/>
                <w:bCs/>
                <w:strike/>
                <w:color w:val="EE0000"/>
                <w:sz w:val="24"/>
                <w:szCs w:val="24"/>
              </w:rPr>
              <w:t>interesse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 xml:space="preserve">interesses </w:t>
            </w:r>
            <w:r w:rsidRPr="00D462F0">
              <w:rPr>
                <w:rFonts w:asciiTheme="majorHAnsi" w:hAnsiTheme="majorHAnsi" w:cstheme="majorHAnsi"/>
                <w:bCs/>
                <w:sz w:val="24"/>
                <w:szCs w:val="24"/>
              </w:rPr>
              <w:t>quando da seleção do prestador de serviço de administração de carteiras de valores mobiliários.</w:t>
            </w:r>
          </w:p>
        </w:tc>
        <w:tc>
          <w:tcPr>
            <w:tcW w:w="4074" w:type="dxa"/>
          </w:tcPr>
          <w:p w14:paraId="4E436850" w14:textId="16FEC9C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Aprimoramento redacional para afirmar que tanto o membro da diretoria quanto o conselheiro deliberativo precisam formalizar a existência de qualquer potencial conflito de interesses.</w:t>
            </w:r>
            <w:r w:rsidRPr="00D462F0" w:rsidDel="00486BF6">
              <w:rPr>
                <w:rFonts w:asciiTheme="majorHAnsi" w:hAnsiTheme="majorHAnsi" w:cstheme="majorHAnsi"/>
                <w:sz w:val="24"/>
                <w:szCs w:val="24"/>
              </w:rPr>
              <w:t xml:space="preserve"> </w:t>
            </w:r>
            <w:r w:rsidRPr="00D462F0">
              <w:rPr>
                <w:rFonts w:asciiTheme="majorHAnsi" w:hAnsiTheme="majorHAnsi" w:cstheme="majorHAnsi"/>
                <w:sz w:val="24"/>
                <w:szCs w:val="24"/>
              </w:rPr>
              <w:t xml:space="preserve">s. </w:t>
            </w:r>
          </w:p>
        </w:tc>
        <w:tc>
          <w:tcPr>
            <w:tcW w:w="4075" w:type="dxa"/>
          </w:tcPr>
          <w:p w14:paraId="478EF523" w14:textId="77777777"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IV do art. 4º do Decreto nº 10.411, de 2020 do Decreto nº 10.411, de 2020 - Ajuste redacional para retirada de menção expressa à Resolução CMN nº 4.994, de 2022, configurando para mais perenidade ao dispositivo.</w:t>
            </w:r>
            <w:r w:rsidRPr="00D462F0">
              <w:rPr>
                <w:rFonts w:asciiTheme="majorHAnsi" w:eastAsia="Times New Roman" w:hAnsiTheme="majorHAnsi" w:cstheme="majorHAnsi"/>
                <w:bCs/>
                <w:sz w:val="24"/>
                <w:szCs w:val="24"/>
              </w:rPr>
              <w:t xml:space="preserve"> </w:t>
            </w:r>
            <w:r w:rsidRPr="00D462F0">
              <w:rPr>
                <w:rFonts w:asciiTheme="majorHAnsi" w:hAnsiTheme="majorHAnsi" w:cstheme="majorHAnsi"/>
                <w:bCs/>
                <w:sz w:val="24"/>
                <w:szCs w:val="24"/>
              </w:rPr>
              <w:t>Aprimoramento redacional, sem alteração de mérito, para atender à melhor técnica normativa.</w:t>
            </w:r>
          </w:p>
          <w:p w14:paraId="0B05B263" w14:textId="77777777" w:rsidR="00EB19CA" w:rsidRPr="00D462F0" w:rsidRDefault="00EB19CA" w:rsidP="00D462F0">
            <w:pPr>
              <w:jc w:val="both"/>
              <w:rPr>
                <w:rFonts w:asciiTheme="majorHAnsi" w:hAnsiTheme="majorHAnsi" w:cstheme="majorHAnsi"/>
                <w:bCs/>
                <w:sz w:val="24"/>
                <w:szCs w:val="24"/>
              </w:rPr>
            </w:pPr>
          </w:p>
        </w:tc>
      </w:tr>
      <w:tr w:rsidR="00EB19CA" w:rsidRPr="00C93770" w14:paraId="76DDB52A" w14:textId="77777777" w:rsidTr="1756A420">
        <w:tc>
          <w:tcPr>
            <w:tcW w:w="4074" w:type="dxa"/>
          </w:tcPr>
          <w:p w14:paraId="346B66D2" w14:textId="525F1B8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§3</w:t>
            </w:r>
            <w:proofErr w:type="gramStart"/>
            <w:r w:rsidRPr="00D462F0">
              <w:rPr>
                <w:rFonts w:asciiTheme="majorHAnsi" w:hAnsiTheme="majorHAnsi" w:cstheme="majorHAnsi"/>
                <w:sz w:val="24"/>
                <w:szCs w:val="24"/>
              </w:rPr>
              <w:t>º  A</w:t>
            </w:r>
            <w:proofErr w:type="gramEnd"/>
            <w:r w:rsidRPr="00D462F0">
              <w:rPr>
                <w:rFonts w:asciiTheme="majorHAnsi" w:hAnsiTheme="majorHAnsi" w:cstheme="majorHAnsi"/>
                <w:sz w:val="24"/>
                <w:szCs w:val="24"/>
              </w:rPr>
              <w:t xml:space="preserve"> EFPC deve revisar periodicamente os critérios de seleção de prestadores de serviço de administração de carteiras de valores mobiliários e de gestão de fundo de investimento exclusivo.</w:t>
            </w:r>
          </w:p>
        </w:tc>
        <w:tc>
          <w:tcPr>
            <w:tcW w:w="4074" w:type="dxa"/>
          </w:tcPr>
          <w:p w14:paraId="175442E9" w14:textId="25AEEAE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§3</w:t>
            </w:r>
            <w:proofErr w:type="gramStart"/>
            <w:r w:rsidRPr="00D462F0">
              <w:rPr>
                <w:rFonts w:asciiTheme="majorHAnsi" w:hAnsiTheme="majorHAnsi" w:cstheme="majorHAnsi"/>
                <w:bCs/>
                <w:sz w:val="24"/>
                <w:szCs w:val="24"/>
              </w:rPr>
              <w:t>º  A</w:t>
            </w:r>
            <w:proofErr w:type="gramEnd"/>
            <w:r w:rsidRPr="00D462F0">
              <w:rPr>
                <w:rFonts w:asciiTheme="majorHAnsi" w:hAnsiTheme="majorHAnsi" w:cstheme="majorHAnsi"/>
                <w:bCs/>
                <w:sz w:val="24"/>
                <w:szCs w:val="24"/>
              </w:rPr>
              <w:t xml:space="preserve"> EFPC deve revisar periodicamente os critérios de seleção de prestadores de </w:t>
            </w:r>
            <w:r w:rsidRPr="00D462F0">
              <w:rPr>
                <w:rFonts w:asciiTheme="majorHAnsi" w:hAnsiTheme="majorHAnsi" w:cstheme="majorHAnsi"/>
                <w:bCs/>
                <w:strike/>
                <w:color w:val="EE0000"/>
                <w:sz w:val="24"/>
                <w:szCs w:val="24"/>
              </w:rPr>
              <w:t>serviço</w:t>
            </w:r>
            <w:r w:rsidRPr="00D462F0">
              <w:rPr>
                <w:rFonts w:asciiTheme="majorHAnsi" w:hAnsiTheme="majorHAnsi" w:cstheme="majorHAnsi"/>
                <w:bCs/>
                <w:sz w:val="24"/>
                <w:szCs w:val="24"/>
              </w:rPr>
              <w:t xml:space="preserve"> serviços </w:t>
            </w:r>
            <w:r w:rsidRPr="00D462F0">
              <w:rPr>
                <w:rFonts w:asciiTheme="majorHAnsi" w:hAnsiTheme="majorHAnsi" w:cstheme="majorHAnsi"/>
                <w:bCs/>
                <w:strike/>
                <w:color w:val="EE0000"/>
                <w:sz w:val="24"/>
                <w:szCs w:val="24"/>
              </w:rPr>
              <w:t>de administração de carteiras de valores mobiliários 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trike/>
                <w:color w:val="EE0000"/>
                <w:sz w:val="24"/>
                <w:szCs w:val="24"/>
              </w:rPr>
              <w:t>gestão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de fundo de investimento exclusivo.</w:t>
            </w:r>
          </w:p>
        </w:tc>
        <w:tc>
          <w:tcPr>
            <w:tcW w:w="4074" w:type="dxa"/>
          </w:tcPr>
          <w:p w14:paraId="4276348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 redacional para alinhar às nomenclaturas adotadas pela Resolução CMN nº 5.202, de 2025, e pela Resolução CVM nº 175, de 2022.</w:t>
            </w:r>
          </w:p>
          <w:p w14:paraId="1697961A" w14:textId="77777777" w:rsidR="00EB19CA" w:rsidRPr="00D462F0" w:rsidRDefault="00EB19CA" w:rsidP="00D462F0">
            <w:pPr>
              <w:jc w:val="both"/>
              <w:rPr>
                <w:rFonts w:asciiTheme="majorHAnsi" w:hAnsiTheme="majorHAnsi" w:cstheme="majorHAnsi"/>
                <w:sz w:val="24"/>
                <w:szCs w:val="24"/>
              </w:rPr>
            </w:pPr>
          </w:p>
        </w:tc>
        <w:tc>
          <w:tcPr>
            <w:tcW w:w="4075" w:type="dxa"/>
          </w:tcPr>
          <w:p w14:paraId="5066126D" w14:textId="4BC9D0A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1B764C3B" w14:textId="77777777" w:rsidTr="1756A420">
        <w:tc>
          <w:tcPr>
            <w:tcW w:w="4074" w:type="dxa"/>
          </w:tcPr>
          <w:p w14:paraId="18562D39"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w:t>
            </w:r>
          </w:p>
          <w:p w14:paraId="327BF6BB" w14:textId="3D11B109"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w:t>
            </w:r>
          </w:p>
        </w:tc>
        <w:tc>
          <w:tcPr>
            <w:tcW w:w="4074" w:type="dxa"/>
          </w:tcPr>
          <w:p w14:paraId="6AC16B20"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w:t>
            </w:r>
          </w:p>
          <w:p w14:paraId="58B5421E" w14:textId="1937A80F"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w:t>
            </w:r>
          </w:p>
        </w:tc>
        <w:tc>
          <w:tcPr>
            <w:tcW w:w="4074" w:type="dxa"/>
          </w:tcPr>
          <w:p w14:paraId="3CB65F1A" w14:textId="77777777" w:rsidR="00EB19CA" w:rsidRPr="00D462F0" w:rsidRDefault="00EB19CA" w:rsidP="00D462F0">
            <w:pPr>
              <w:jc w:val="both"/>
              <w:rPr>
                <w:rFonts w:asciiTheme="majorHAnsi" w:hAnsiTheme="majorHAnsi" w:cstheme="majorHAnsi"/>
                <w:sz w:val="24"/>
                <w:szCs w:val="24"/>
              </w:rPr>
            </w:pPr>
          </w:p>
        </w:tc>
        <w:tc>
          <w:tcPr>
            <w:tcW w:w="4075" w:type="dxa"/>
          </w:tcPr>
          <w:p w14:paraId="3B6B38FE" w14:textId="77777777" w:rsidR="00EB19CA" w:rsidRPr="00D462F0" w:rsidRDefault="00EB19CA" w:rsidP="00D462F0">
            <w:pPr>
              <w:jc w:val="both"/>
              <w:rPr>
                <w:rFonts w:asciiTheme="majorHAnsi" w:hAnsiTheme="majorHAnsi" w:cstheme="majorHAnsi"/>
                <w:bCs/>
                <w:sz w:val="24"/>
                <w:szCs w:val="24"/>
              </w:rPr>
            </w:pPr>
          </w:p>
        </w:tc>
      </w:tr>
      <w:tr w:rsidR="00EB19CA" w:rsidRPr="00C93770" w14:paraId="1D07BE39" w14:textId="77777777" w:rsidTr="1756A420">
        <w:tc>
          <w:tcPr>
            <w:tcW w:w="4074" w:type="dxa"/>
          </w:tcPr>
          <w:p w14:paraId="245732C0" w14:textId="228C27FD"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221.  Na seleção e contratação de fundo de investimento, observados aspectos de concorrência e transparência, a EFPC deve, no mínimo, analisar:</w:t>
            </w:r>
          </w:p>
        </w:tc>
        <w:tc>
          <w:tcPr>
            <w:tcW w:w="4074" w:type="dxa"/>
          </w:tcPr>
          <w:p w14:paraId="4042B5E2" w14:textId="68578A4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221.  ...</w:t>
            </w:r>
          </w:p>
        </w:tc>
        <w:tc>
          <w:tcPr>
            <w:tcW w:w="4074" w:type="dxa"/>
          </w:tcPr>
          <w:p w14:paraId="5A48798A" w14:textId="77777777" w:rsidR="00EB19CA" w:rsidRPr="00D462F0" w:rsidRDefault="00EB19CA" w:rsidP="00D462F0">
            <w:pPr>
              <w:jc w:val="both"/>
              <w:rPr>
                <w:rFonts w:asciiTheme="majorHAnsi" w:hAnsiTheme="majorHAnsi" w:cstheme="majorHAnsi"/>
                <w:sz w:val="24"/>
                <w:szCs w:val="24"/>
              </w:rPr>
            </w:pPr>
          </w:p>
        </w:tc>
        <w:tc>
          <w:tcPr>
            <w:tcW w:w="4075" w:type="dxa"/>
          </w:tcPr>
          <w:p w14:paraId="296B8631" w14:textId="77777777" w:rsidR="00EB19CA" w:rsidRPr="00D462F0" w:rsidRDefault="00EB19CA" w:rsidP="00D462F0">
            <w:pPr>
              <w:jc w:val="both"/>
              <w:rPr>
                <w:rFonts w:asciiTheme="majorHAnsi" w:hAnsiTheme="majorHAnsi" w:cstheme="majorHAnsi"/>
                <w:bCs/>
                <w:sz w:val="24"/>
                <w:szCs w:val="24"/>
              </w:rPr>
            </w:pPr>
          </w:p>
        </w:tc>
      </w:tr>
      <w:tr w:rsidR="00EB19CA" w:rsidRPr="00C93770" w14:paraId="0931DF90" w14:textId="77777777" w:rsidTr="1756A420">
        <w:tc>
          <w:tcPr>
            <w:tcW w:w="4074" w:type="dxa"/>
          </w:tcPr>
          <w:p w14:paraId="4D1961EE" w14:textId="146D9A3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 - </w:t>
            </w:r>
            <w:proofErr w:type="gramStart"/>
            <w:r w:rsidRPr="00D462F0">
              <w:rPr>
                <w:rFonts w:asciiTheme="majorHAnsi" w:hAnsiTheme="majorHAnsi" w:cstheme="majorHAnsi"/>
                <w:sz w:val="24"/>
                <w:szCs w:val="24"/>
              </w:rPr>
              <w:t>o</w:t>
            </w:r>
            <w:proofErr w:type="gramEnd"/>
            <w:r w:rsidRPr="00D462F0">
              <w:rPr>
                <w:rFonts w:asciiTheme="majorHAnsi" w:hAnsiTheme="majorHAnsi" w:cstheme="majorHAnsi"/>
                <w:sz w:val="24"/>
                <w:szCs w:val="24"/>
              </w:rPr>
              <w:t xml:space="preserve"> regulamento e demais documentos disponibilizados pelo gestor do fundo </w:t>
            </w:r>
            <w:r w:rsidRPr="00D462F0">
              <w:rPr>
                <w:rFonts w:asciiTheme="majorHAnsi" w:hAnsiTheme="majorHAnsi" w:cstheme="majorHAnsi"/>
                <w:sz w:val="24"/>
                <w:szCs w:val="24"/>
              </w:rPr>
              <w:lastRenderedPageBreak/>
              <w:t>de investimento, previamente às alocações, identificando os riscos inerentes às operações previstas;</w:t>
            </w:r>
          </w:p>
        </w:tc>
        <w:tc>
          <w:tcPr>
            <w:tcW w:w="4074" w:type="dxa"/>
          </w:tcPr>
          <w:p w14:paraId="61CEBD67" w14:textId="4BC2F11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 xml:space="preserve">I - </w:t>
            </w:r>
            <w:proofErr w:type="gramStart"/>
            <w:r w:rsidRPr="00D462F0">
              <w:rPr>
                <w:rFonts w:asciiTheme="majorHAnsi" w:hAnsiTheme="majorHAnsi" w:cstheme="majorHAnsi"/>
                <w:bCs/>
                <w:sz w:val="24"/>
                <w:szCs w:val="24"/>
              </w:rPr>
              <w:t>o</w:t>
            </w:r>
            <w:proofErr w:type="gramEnd"/>
            <w:r w:rsidRPr="00D462F0">
              <w:rPr>
                <w:rFonts w:asciiTheme="majorHAnsi" w:hAnsiTheme="majorHAnsi" w:cstheme="majorHAnsi"/>
                <w:bCs/>
                <w:sz w:val="24"/>
                <w:szCs w:val="24"/>
              </w:rPr>
              <w:t xml:space="preserve"> regulamento e demais documentos disponibilizados pelos </w:t>
            </w:r>
            <w:r w:rsidRPr="00D462F0">
              <w:rPr>
                <w:rFonts w:asciiTheme="majorHAnsi" w:hAnsiTheme="majorHAnsi" w:cstheme="majorHAnsi"/>
                <w:bCs/>
                <w:color w:val="0000FF"/>
                <w:sz w:val="24"/>
                <w:szCs w:val="24"/>
              </w:rPr>
              <w:t xml:space="preserve">prestadores de </w:t>
            </w:r>
            <w:r w:rsidRPr="00D462F0">
              <w:rPr>
                <w:rFonts w:asciiTheme="majorHAnsi" w:hAnsiTheme="majorHAnsi" w:cstheme="majorHAnsi"/>
                <w:bCs/>
                <w:color w:val="0000FF"/>
                <w:sz w:val="24"/>
                <w:szCs w:val="24"/>
              </w:rPr>
              <w:lastRenderedPageBreak/>
              <w:t xml:space="preserve">serviços </w:t>
            </w:r>
            <w:r w:rsidRPr="00D462F0">
              <w:rPr>
                <w:rFonts w:asciiTheme="majorHAnsi" w:hAnsiTheme="majorHAnsi" w:cstheme="majorHAnsi"/>
                <w:bCs/>
                <w:strike/>
                <w:color w:val="EE0000"/>
                <w:sz w:val="24"/>
                <w:szCs w:val="24"/>
              </w:rPr>
              <w:t>gestor do fundo de investimento</w:t>
            </w:r>
            <w:r w:rsidRPr="00D462F0">
              <w:rPr>
                <w:rFonts w:asciiTheme="majorHAnsi" w:hAnsiTheme="majorHAnsi" w:cstheme="majorHAnsi"/>
                <w:bCs/>
                <w:sz w:val="24"/>
                <w:szCs w:val="24"/>
              </w:rPr>
              <w:t>, previamente às alocações, identificando os riscos inerentes às operações previstas;</w:t>
            </w:r>
          </w:p>
        </w:tc>
        <w:tc>
          <w:tcPr>
            <w:tcW w:w="4074" w:type="dxa"/>
          </w:tcPr>
          <w:p w14:paraId="5344FF5E" w14:textId="10A91FB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Ajuste redacional para alinhar às nomenclaturas adotadas pela </w:t>
            </w:r>
            <w:r w:rsidRPr="00D462F0">
              <w:rPr>
                <w:rFonts w:asciiTheme="majorHAnsi" w:hAnsiTheme="majorHAnsi" w:cstheme="majorHAnsi"/>
                <w:sz w:val="24"/>
                <w:szCs w:val="24"/>
              </w:rPr>
              <w:lastRenderedPageBreak/>
              <w:t>Resolução CMN nº 5.202, de 2025, e pela Resolução CVM nº 175, de 2022.</w:t>
            </w:r>
          </w:p>
        </w:tc>
        <w:tc>
          <w:tcPr>
            <w:tcW w:w="4075" w:type="dxa"/>
          </w:tcPr>
          <w:p w14:paraId="1905A905" w14:textId="4333313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 xml:space="preserve">Inciso IV do art. 4º do Decreto nº 10.411, de 2020 - Mero aprimoramento </w:t>
            </w:r>
            <w:r w:rsidRPr="00D462F0">
              <w:rPr>
                <w:rFonts w:asciiTheme="majorHAnsi" w:hAnsiTheme="majorHAnsi" w:cstheme="majorHAnsi"/>
                <w:bCs/>
                <w:sz w:val="24"/>
                <w:szCs w:val="24"/>
              </w:rPr>
              <w:lastRenderedPageBreak/>
              <w:t>redacional, sem alteração de mérito para eliminação de possíveis ambiguidades.</w:t>
            </w:r>
          </w:p>
        </w:tc>
      </w:tr>
      <w:tr w:rsidR="00EB19CA" w:rsidRPr="00C93770" w14:paraId="7814804E" w14:textId="77777777" w:rsidTr="1756A420">
        <w:tc>
          <w:tcPr>
            <w:tcW w:w="4074" w:type="dxa"/>
          </w:tcPr>
          <w:p w14:paraId="595A5A5F" w14:textId="5C17D35C" w:rsidR="00EB19CA" w:rsidRPr="00D462F0" w:rsidRDefault="00EA698E" w:rsidP="0028717C">
            <w:pPr>
              <w:jc w:val="center"/>
              <w:rPr>
                <w:rFonts w:asciiTheme="majorHAnsi" w:hAnsiTheme="majorHAnsi" w:cstheme="majorHAnsi"/>
                <w:sz w:val="24"/>
                <w:szCs w:val="24"/>
              </w:rPr>
            </w:pPr>
            <w:r>
              <w:rPr>
                <w:rFonts w:asciiTheme="majorHAnsi" w:hAnsiTheme="majorHAnsi" w:cstheme="majorHAnsi"/>
                <w:sz w:val="24"/>
                <w:szCs w:val="24"/>
              </w:rPr>
              <w:lastRenderedPageBreak/>
              <w:t>...</w:t>
            </w:r>
          </w:p>
        </w:tc>
        <w:tc>
          <w:tcPr>
            <w:tcW w:w="4074" w:type="dxa"/>
          </w:tcPr>
          <w:p w14:paraId="7A49DE27" w14:textId="56ACC000"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7EDC70BB" w14:textId="77777777" w:rsidR="00EB19CA" w:rsidRPr="00D462F0" w:rsidRDefault="00EB19CA" w:rsidP="00D462F0">
            <w:pPr>
              <w:jc w:val="both"/>
              <w:rPr>
                <w:rFonts w:asciiTheme="majorHAnsi" w:hAnsiTheme="majorHAnsi" w:cstheme="majorHAnsi"/>
                <w:sz w:val="24"/>
                <w:szCs w:val="24"/>
              </w:rPr>
            </w:pPr>
          </w:p>
        </w:tc>
        <w:tc>
          <w:tcPr>
            <w:tcW w:w="4075" w:type="dxa"/>
          </w:tcPr>
          <w:p w14:paraId="69DDABCB" w14:textId="77777777" w:rsidR="00EB19CA" w:rsidRPr="00D462F0" w:rsidRDefault="00EB19CA" w:rsidP="00D462F0">
            <w:pPr>
              <w:jc w:val="both"/>
              <w:rPr>
                <w:rFonts w:asciiTheme="majorHAnsi" w:hAnsiTheme="majorHAnsi" w:cstheme="majorHAnsi"/>
                <w:bCs/>
                <w:sz w:val="24"/>
                <w:szCs w:val="24"/>
              </w:rPr>
            </w:pPr>
          </w:p>
        </w:tc>
      </w:tr>
      <w:tr w:rsidR="00EB19CA" w:rsidRPr="00C93770" w14:paraId="19DBEF42" w14:textId="77777777" w:rsidTr="1756A420">
        <w:tc>
          <w:tcPr>
            <w:tcW w:w="4074" w:type="dxa"/>
          </w:tcPr>
          <w:p w14:paraId="458B3050" w14:textId="4C76DD3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VII - as taxas de administração, gestão e performance efetivas dos fundos, principalmente daqueles que possam adquirir cotas de outros fundos de investimento.</w:t>
            </w:r>
          </w:p>
        </w:tc>
        <w:tc>
          <w:tcPr>
            <w:tcW w:w="4074" w:type="dxa"/>
          </w:tcPr>
          <w:p w14:paraId="07C95032" w14:textId="0712109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VII - as taxas de administração, gestão, </w:t>
            </w:r>
            <w:r w:rsidRPr="00D462F0">
              <w:rPr>
                <w:rFonts w:asciiTheme="majorHAnsi" w:hAnsiTheme="majorHAnsi" w:cstheme="majorHAnsi"/>
                <w:bCs/>
                <w:color w:val="0000FF"/>
                <w:sz w:val="24"/>
                <w:szCs w:val="24"/>
              </w:rPr>
              <w:t xml:space="preserve">distribuição </w:t>
            </w:r>
            <w:r w:rsidRPr="00D462F0">
              <w:rPr>
                <w:rFonts w:asciiTheme="majorHAnsi" w:hAnsiTheme="majorHAnsi" w:cstheme="majorHAnsi"/>
                <w:bCs/>
                <w:sz w:val="24"/>
                <w:szCs w:val="24"/>
              </w:rPr>
              <w:t xml:space="preserve">e performance efetivas </w:t>
            </w:r>
            <w:r w:rsidRPr="00D462F0">
              <w:rPr>
                <w:rFonts w:asciiTheme="majorHAnsi" w:hAnsiTheme="majorHAnsi" w:cstheme="majorHAnsi"/>
                <w:bCs/>
                <w:strike/>
                <w:color w:val="EE0000"/>
                <w:sz w:val="24"/>
                <w:szCs w:val="24"/>
              </w:rPr>
              <w:t>dos fundos</w:t>
            </w:r>
            <w:r w:rsidRPr="00D462F0">
              <w:rPr>
                <w:rFonts w:asciiTheme="majorHAnsi" w:hAnsiTheme="majorHAnsi" w:cstheme="majorHAnsi"/>
                <w:bCs/>
                <w:sz w:val="24"/>
                <w:szCs w:val="24"/>
              </w:rPr>
              <w:t xml:space="preserve">, principalmente </w:t>
            </w:r>
            <w:r w:rsidRPr="00D462F0">
              <w:rPr>
                <w:rFonts w:asciiTheme="majorHAnsi" w:hAnsiTheme="majorHAnsi" w:cstheme="majorHAnsi"/>
                <w:bCs/>
                <w:color w:val="0000FF"/>
                <w:sz w:val="24"/>
                <w:szCs w:val="24"/>
              </w:rPr>
              <w:t xml:space="preserve">quando </w:t>
            </w:r>
            <w:r w:rsidRPr="00D462F0">
              <w:rPr>
                <w:rFonts w:asciiTheme="majorHAnsi" w:hAnsiTheme="majorHAnsi" w:cstheme="majorHAnsi"/>
                <w:bCs/>
                <w:strike/>
                <w:color w:val="EE0000"/>
                <w:sz w:val="24"/>
                <w:szCs w:val="24"/>
              </w:rPr>
              <w:t>daqueles que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 xml:space="preserve">possam adquirir cotas de outros fundos de investimento. </w:t>
            </w:r>
          </w:p>
        </w:tc>
        <w:tc>
          <w:tcPr>
            <w:tcW w:w="4074" w:type="dxa"/>
          </w:tcPr>
          <w:p w14:paraId="51164D8D" w14:textId="5B13BA9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Aprimoramento redacional e inclusão da necessidade de analisar também as taxas de distribuição dos fundos, considerando seu potencial impacto sobre a rentabilidade final do fundo de investimentos.</w:t>
            </w:r>
          </w:p>
        </w:tc>
        <w:tc>
          <w:tcPr>
            <w:tcW w:w="4075" w:type="dxa"/>
          </w:tcPr>
          <w:p w14:paraId="5FAA0DAF" w14:textId="1EE8FF4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IV do art. 4º do Decreto nº 10.411, de 2020 - Mero aprimoramento redacional, sem alteração de mérito para eliminação de possíveis ambiguidades.</w:t>
            </w:r>
          </w:p>
        </w:tc>
      </w:tr>
      <w:tr w:rsidR="00EB19CA" w:rsidRPr="00C93770" w14:paraId="13C192A3" w14:textId="77777777" w:rsidTr="1756A420">
        <w:tc>
          <w:tcPr>
            <w:tcW w:w="4074" w:type="dxa"/>
          </w:tcPr>
          <w:p w14:paraId="2576740C" w14:textId="58B3A897" w:rsidR="00EB19CA" w:rsidRPr="00D462F0" w:rsidRDefault="006414E3"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4C4EA542" w14:textId="315EE87D"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026B7F6" w14:textId="77777777" w:rsidR="00EB19CA" w:rsidRPr="00D462F0" w:rsidRDefault="00EB19CA" w:rsidP="00D462F0">
            <w:pPr>
              <w:jc w:val="both"/>
              <w:rPr>
                <w:rFonts w:asciiTheme="majorHAnsi" w:hAnsiTheme="majorHAnsi" w:cstheme="majorHAnsi"/>
                <w:sz w:val="24"/>
                <w:szCs w:val="24"/>
              </w:rPr>
            </w:pPr>
          </w:p>
        </w:tc>
        <w:tc>
          <w:tcPr>
            <w:tcW w:w="4075" w:type="dxa"/>
          </w:tcPr>
          <w:p w14:paraId="686C09D1" w14:textId="77777777" w:rsidR="00EB19CA" w:rsidRPr="00D462F0" w:rsidRDefault="00EB19CA" w:rsidP="00D462F0">
            <w:pPr>
              <w:jc w:val="both"/>
              <w:rPr>
                <w:rFonts w:asciiTheme="majorHAnsi" w:hAnsiTheme="majorHAnsi" w:cstheme="majorHAnsi"/>
                <w:bCs/>
                <w:sz w:val="24"/>
                <w:szCs w:val="24"/>
              </w:rPr>
            </w:pPr>
          </w:p>
        </w:tc>
      </w:tr>
      <w:tr w:rsidR="00EB19CA" w:rsidRPr="00C93770" w14:paraId="6CA8F304" w14:textId="77777777" w:rsidTr="1756A420">
        <w:tc>
          <w:tcPr>
            <w:tcW w:w="4074" w:type="dxa"/>
          </w:tcPr>
          <w:p w14:paraId="042334CF" w14:textId="54AE7FC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55ADA883" w14:textId="4569F20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IX – </w:t>
            </w:r>
            <w:proofErr w:type="gramStart"/>
            <w:r w:rsidRPr="00D462F0">
              <w:rPr>
                <w:rFonts w:asciiTheme="majorHAnsi" w:hAnsiTheme="majorHAnsi" w:cstheme="majorHAnsi"/>
                <w:bCs/>
                <w:color w:val="0000FF"/>
                <w:sz w:val="24"/>
                <w:szCs w:val="24"/>
              </w:rPr>
              <w:t>a</w:t>
            </w:r>
            <w:proofErr w:type="gramEnd"/>
            <w:r w:rsidRPr="00D462F0">
              <w:rPr>
                <w:rFonts w:asciiTheme="majorHAnsi" w:hAnsiTheme="majorHAnsi" w:cstheme="majorHAnsi"/>
                <w:bCs/>
                <w:color w:val="0000FF"/>
                <w:sz w:val="24"/>
                <w:szCs w:val="24"/>
              </w:rPr>
              <w:t xml:space="preserve"> possibilidade de a classe de cotas investir em cotas de outras classes e se existe limitação quanto ao número máximo de níveis na cadeia de investimento.</w:t>
            </w:r>
          </w:p>
        </w:tc>
        <w:tc>
          <w:tcPr>
            <w:tcW w:w="4074" w:type="dxa"/>
          </w:tcPr>
          <w:p w14:paraId="1B034307"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Inserção de dispositivo normativo para que a EFPC avalie a possibilidade da cota de classes que está adquirindo poder investir em outras classes de cotas. Trata-se de indução regulatória no sentido de que as EFPC passem a avaliar estes aspectos em suas contratações, considerando o potencial impacto de rentabilidade e dificuldades de controle de estruturas de fundos de investimento com muitos níveis de aplicação.</w:t>
            </w:r>
          </w:p>
          <w:p w14:paraId="674A0A67" w14:textId="35CD2B4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Segue a orientação da IOSCO, cujo relatório de Boas Práticas (2023) recomenda que reguladores avaliem “natureza, novidade e complexidade” na estruturação de produtos e desestimulem configurações excessivamente complexas </w:t>
            </w:r>
          </w:p>
          <w:p w14:paraId="7FEE92E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IOSCO.</w:t>
            </w:r>
          </w:p>
          <w:p w14:paraId="28C10F4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Preserva flexibilidade regulatória – não impõe proibição; apenas exige que a EFPC reconheça os custos, riscos e dificuldade de governança de cadeias extensas e, quando optar por elas, o faça de forma consciente e justificada.</w:t>
            </w:r>
          </w:p>
          <w:p w14:paraId="02269617" w14:textId="17E0DE6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Melhora transparência e governança sem ônus relevante: a análise já integra o processo de </w:t>
            </w:r>
            <w:proofErr w:type="spellStart"/>
            <w:r w:rsidRPr="00D462F0">
              <w:rPr>
                <w:rFonts w:asciiTheme="majorHAnsi" w:hAnsiTheme="majorHAnsi" w:cstheme="majorHAnsi"/>
                <w:sz w:val="24"/>
                <w:szCs w:val="24"/>
              </w:rPr>
              <w:t>due-diligence</w:t>
            </w:r>
            <w:proofErr w:type="spellEnd"/>
            <w:r w:rsidRPr="00D462F0">
              <w:rPr>
                <w:rFonts w:asciiTheme="majorHAnsi" w:hAnsiTheme="majorHAnsi" w:cstheme="majorHAnsi"/>
                <w:sz w:val="24"/>
                <w:szCs w:val="24"/>
              </w:rPr>
              <w:t xml:space="preserve"> previsto no art. 221, acrescentando apenas a verificação do “número de níveis”, informação facilmente obtida dos documentos do fundo.</w:t>
            </w:r>
          </w:p>
        </w:tc>
        <w:tc>
          <w:tcPr>
            <w:tcW w:w="4075" w:type="dxa"/>
          </w:tcPr>
          <w:p w14:paraId="624855D2"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lastRenderedPageBreak/>
              <w:t>Alínea “a” do Inciso V do art. 4º do Decreto nº 10.411, de 2020.</w:t>
            </w:r>
          </w:p>
          <w:p w14:paraId="1D58A46F" w14:textId="77777777" w:rsidR="00EB19CA" w:rsidRPr="00D462F0" w:rsidRDefault="00EB19CA" w:rsidP="00D462F0">
            <w:pPr>
              <w:jc w:val="both"/>
              <w:rPr>
                <w:rFonts w:asciiTheme="majorHAnsi" w:hAnsiTheme="majorHAnsi" w:cstheme="majorHAnsi"/>
                <w:bCs/>
                <w:sz w:val="24"/>
                <w:szCs w:val="24"/>
              </w:rPr>
            </w:pPr>
          </w:p>
        </w:tc>
      </w:tr>
      <w:tr w:rsidR="00EB19CA" w:rsidRPr="00C93770" w14:paraId="29DBC880" w14:textId="77777777" w:rsidTr="1756A420">
        <w:tc>
          <w:tcPr>
            <w:tcW w:w="4074" w:type="dxa"/>
          </w:tcPr>
          <w:p w14:paraId="6A36F13C" w14:textId="0C1137A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Parágrafo único.  Adicionalmente ao disposto neste artigo, a EFPC deve observar o disposto nos incisos I, II e VII do art. 220 na seleção de fundo de investimento não exclusivo.</w:t>
            </w:r>
          </w:p>
        </w:tc>
        <w:tc>
          <w:tcPr>
            <w:tcW w:w="4074" w:type="dxa"/>
          </w:tcPr>
          <w:p w14:paraId="58D17B6A" w14:textId="3E4D436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1</w:t>
            </w:r>
            <w:proofErr w:type="gramStart"/>
            <w:r w:rsidRPr="00D462F0">
              <w:rPr>
                <w:rFonts w:asciiTheme="majorHAnsi" w:hAnsiTheme="majorHAnsi" w:cstheme="majorHAnsi"/>
                <w:bCs/>
                <w:color w:val="0000FF"/>
                <w:sz w:val="24"/>
                <w:szCs w:val="24"/>
              </w:rPr>
              <w:t xml:space="preserve">º  </w:t>
            </w:r>
            <w:r w:rsidRPr="00D462F0">
              <w:rPr>
                <w:rFonts w:asciiTheme="majorHAnsi" w:hAnsiTheme="majorHAnsi" w:cstheme="majorHAnsi"/>
                <w:bCs/>
                <w:sz w:val="24"/>
                <w:szCs w:val="24"/>
              </w:rPr>
              <w:t>Adicionalmente</w:t>
            </w:r>
            <w:proofErr w:type="gramEnd"/>
            <w:r w:rsidRPr="00D462F0">
              <w:rPr>
                <w:rFonts w:asciiTheme="majorHAnsi" w:hAnsiTheme="majorHAnsi" w:cstheme="majorHAnsi"/>
                <w:bCs/>
                <w:sz w:val="24"/>
                <w:szCs w:val="24"/>
              </w:rPr>
              <w:t xml:space="preserve"> ao disposto neste artigo, a EFPC deve observar o disposto nos incisos I, II e VII do art. 220 na seleção de fundo de investimento não exclusivo.</w:t>
            </w:r>
          </w:p>
        </w:tc>
        <w:tc>
          <w:tcPr>
            <w:tcW w:w="4074" w:type="dxa"/>
          </w:tcPr>
          <w:p w14:paraId="77786B92" w14:textId="2534E03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Parágrafo único renumerado em função da inclusão do parágrafo 2º, abaixo. </w:t>
            </w:r>
          </w:p>
        </w:tc>
        <w:tc>
          <w:tcPr>
            <w:tcW w:w="4075" w:type="dxa"/>
          </w:tcPr>
          <w:p w14:paraId="61C3A69D" w14:textId="77777777" w:rsidR="00EB19CA" w:rsidRPr="00D462F0" w:rsidRDefault="00EB19CA" w:rsidP="00D462F0">
            <w:pPr>
              <w:jc w:val="both"/>
              <w:rPr>
                <w:rFonts w:asciiTheme="majorHAnsi" w:hAnsiTheme="majorHAnsi" w:cstheme="majorHAnsi"/>
                <w:bCs/>
                <w:sz w:val="24"/>
                <w:szCs w:val="24"/>
              </w:rPr>
            </w:pPr>
          </w:p>
        </w:tc>
      </w:tr>
      <w:tr w:rsidR="00EB19CA" w:rsidRPr="00C93770" w14:paraId="554D2646" w14:textId="77777777" w:rsidTr="1756A420">
        <w:tc>
          <w:tcPr>
            <w:tcW w:w="4074" w:type="dxa"/>
          </w:tcPr>
          <w:p w14:paraId="6FA7ACD1" w14:textId="310E38D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0E9DB15C" w14:textId="626B7B7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º  Na</w:t>
            </w:r>
            <w:proofErr w:type="gramEnd"/>
            <w:r w:rsidRPr="00D462F0">
              <w:rPr>
                <w:rFonts w:asciiTheme="majorHAnsi" w:hAnsiTheme="majorHAnsi" w:cstheme="majorHAnsi"/>
                <w:bCs/>
                <w:color w:val="0000FF"/>
                <w:sz w:val="24"/>
                <w:szCs w:val="24"/>
              </w:rPr>
              <w:t xml:space="preserve"> análise prevista no inciso I, a EFPC deve verificar se é permitida a realização de operações vedadas pela Resolução do Conselho Monetário Nacional que trata sobre aplicação dos recursos dos planos administrados pelas entidades fechadas de previdência complementar.</w:t>
            </w:r>
          </w:p>
        </w:tc>
        <w:tc>
          <w:tcPr>
            <w:tcW w:w="4074" w:type="dxa"/>
          </w:tcPr>
          <w:p w14:paraId="52A9CB65" w14:textId="0043CDC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Proposta de inserir dispositivo normativo para reforçar a necessidade de avaliação da possibilidade do fundo que será adquirido realizar operações vedadas pela Resolução CMN nº 4.994, de 2022. </w:t>
            </w:r>
          </w:p>
        </w:tc>
        <w:tc>
          <w:tcPr>
            <w:tcW w:w="4075" w:type="dxa"/>
          </w:tcPr>
          <w:p w14:paraId="443A3504"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56ECCBA4" w14:textId="77777777" w:rsidR="00EB19CA" w:rsidRPr="00D462F0" w:rsidRDefault="00EB19CA" w:rsidP="00D462F0">
            <w:pPr>
              <w:jc w:val="both"/>
              <w:rPr>
                <w:rFonts w:asciiTheme="majorHAnsi" w:hAnsiTheme="majorHAnsi" w:cstheme="majorHAnsi"/>
                <w:bCs/>
                <w:sz w:val="24"/>
                <w:szCs w:val="24"/>
              </w:rPr>
            </w:pPr>
          </w:p>
        </w:tc>
      </w:tr>
      <w:tr w:rsidR="00EB19CA" w:rsidRPr="00C93770" w14:paraId="2D6539BD" w14:textId="77777777" w:rsidTr="1756A420">
        <w:tc>
          <w:tcPr>
            <w:tcW w:w="4074" w:type="dxa"/>
          </w:tcPr>
          <w:p w14:paraId="0810BF9D"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III</w:t>
            </w:r>
          </w:p>
          <w:p w14:paraId="0BC22127" w14:textId="05938DC8"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 em Participações</w:t>
            </w:r>
          </w:p>
        </w:tc>
        <w:tc>
          <w:tcPr>
            <w:tcW w:w="4074" w:type="dxa"/>
          </w:tcPr>
          <w:p w14:paraId="08B2D76C"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III</w:t>
            </w:r>
          </w:p>
          <w:p w14:paraId="317E80DA" w14:textId="4FFF12B0"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 em Participações</w:t>
            </w:r>
          </w:p>
        </w:tc>
        <w:tc>
          <w:tcPr>
            <w:tcW w:w="4074" w:type="dxa"/>
          </w:tcPr>
          <w:p w14:paraId="5D220110" w14:textId="77777777" w:rsidR="00EB19CA" w:rsidRPr="00D462F0" w:rsidRDefault="00EB19CA" w:rsidP="00D462F0">
            <w:pPr>
              <w:jc w:val="both"/>
              <w:rPr>
                <w:rFonts w:asciiTheme="majorHAnsi" w:hAnsiTheme="majorHAnsi" w:cstheme="majorHAnsi"/>
                <w:sz w:val="24"/>
                <w:szCs w:val="24"/>
              </w:rPr>
            </w:pPr>
          </w:p>
        </w:tc>
        <w:tc>
          <w:tcPr>
            <w:tcW w:w="4075" w:type="dxa"/>
          </w:tcPr>
          <w:p w14:paraId="7C8FA2CB" w14:textId="77777777" w:rsidR="00EB19CA" w:rsidRPr="00D462F0" w:rsidRDefault="00EB19CA" w:rsidP="00D462F0">
            <w:pPr>
              <w:jc w:val="both"/>
              <w:rPr>
                <w:rFonts w:asciiTheme="majorHAnsi" w:hAnsiTheme="majorHAnsi" w:cstheme="majorHAnsi"/>
                <w:bCs/>
                <w:sz w:val="24"/>
                <w:szCs w:val="24"/>
              </w:rPr>
            </w:pPr>
          </w:p>
        </w:tc>
      </w:tr>
      <w:tr w:rsidR="00EB19CA" w:rsidRPr="00C93770" w14:paraId="688C7117" w14:textId="77777777" w:rsidTr="1756A420">
        <w:tc>
          <w:tcPr>
            <w:tcW w:w="4074" w:type="dxa"/>
          </w:tcPr>
          <w:p w14:paraId="1F64C208" w14:textId="6A4F25F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Art. 222.  </w:t>
            </w:r>
            <w:r w:rsidR="00BC6F01" w:rsidRPr="00D462F0">
              <w:rPr>
                <w:rFonts w:asciiTheme="majorHAnsi" w:hAnsiTheme="majorHAnsi" w:cstheme="majorHAnsi"/>
                <w:sz w:val="24"/>
                <w:szCs w:val="24"/>
              </w:rPr>
              <w:t>...</w:t>
            </w:r>
          </w:p>
        </w:tc>
        <w:tc>
          <w:tcPr>
            <w:tcW w:w="4074" w:type="dxa"/>
          </w:tcPr>
          <w:p w14:paraId="7774737C" w14:textId="4682624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222.  ...</w:t>
            </w:r>
          </w:p>
        </w:tc>
        <w:tc>
          <w:tcPr>
            <w:tcW w:w="4074" w:type="dxa"/>
          </w:tcPr>
          <w:p w14:paraId="497F604C" w14:textId="2A0D1C58"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369E0E04" w14:textId="77777777" w:rsidR="00EB19CA" w:rsidRPr="00D462F0" w:rsidRDefault="00EB19CA" w:rsidP="00D462F0">
            <w:pPr>
              <w:jc w:val="both"/>
              <w:rPr>
                <w:rFonts w:asciiTheme="majorHAnsi" w:hAnsiTheme="majorHAnsi" w:cstheme="majorHAnsi"/>
                <w:bCs/>
                <w:sz w:val="24"/>
                <w:szCs w:val="24"/>
              </w:rPr>
            </w:pPr>
          </w:p>
        </w:tc>
      </w:tr>
      <w:tr w:rsidR="009800BF" w:rsidRPr="00C93770" w14:paraId="7147748D" w14:textId="77777777" w:rsidTr="1756A420">
        <w:tc>
          <w:tcPr>
            <w:tcW w:w="4074" w:type="dxa"/>
          </w:tcPr>
          <w:p w14:paraId="216065F8" w14:textId="647220B2"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A3495D8" w14:textId="0E900A88"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1E65332C" w14:textId="77777777" w:rsidR="009800BF" w:rsidRPr="00D462F0" w:rsidRDefault="009800BF" w:rsidP="00D462F0">
            <w:pPr>
              <w:jc w:val="both"/>
              <w:rPr>
                <w:rFonts w:asciiTheme="majorHAnsi" w:hAnsiTheme="majorHAnsi" w:cstheme="majorHAnsi"/>
                <w:sz w:val="24"/>
                <w:szCs w:val="24"/>
              </w:rPr>
            </w:pPr>
          </w:p>
        </w:tc>
        <w:tc>
          <w:tcPr>
            <w:tcW w:w="4075" w:type="dxa"/>
          </w:tcPr>
          <w:p w14:paraId="2B68DF33" w14:textId="77777777" w:rsidR="009800BF" w:rsidRPr="00D462F0" w:rsidRDefault="009800BF" w:rsidP="00D462F0">
            <w:pPr>
              <w:jc w:val="both"/>
              <w:rPr>
                <w:rFonts w:asciiTheme="majorHAnsi" w:hAnsiTheme="majorHAnsi" w:cstheme="majorHAnsi"/>
                <w:bCs/>
                <w:sz w:val="24"/>
                <w:szCs w:val="24"/>
              </w:rPr>
            </w:pPr>
          </w:p>
        </w:tc>
      </w:tr>
      <w:tr w:rsidR="00EB19CA" w:rsidRPr="00C93770" w14:paraId="3BCD6C4F" w14:textId="77777777" w:rsidTr="1756A420">
        <w:tc>
          <w:tcPr>
            <w:tcW w:w="4074" w:type="dxa"/>
          </w:tcPr>
          <w:p w14:paraId="6EDB5DB0" w14:textId="5CD818E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VII - os riscos envolvidos na participação da EFPC em comitê de investimento do fundo de investimento em participações;</w:t>
            </w:r>
          </w:p>
        </w:tc>
        <w:tc>
          <w:tcPr>
            <w:tcW w:w="4074" w:type="dxa"/>
          </w:tcPr>
          <w:p w14:paraId="70A61D13" w14:textId="0D27A70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EE0000"/>
                <w:sz w:val="24"/>
                <w:szCs w:val="24"/>
              </w:rPr>
              <w:t>Revogar</w:t>
            </w:r>
          </w:p>
        </w:tc>
        <w:tc>
          <w:tcPr>
            <w:tcW w:w="4074" w:type="dxa"/>
          </w:tcPr>
          <w:p w14:paraId="064BAC4E" w14:textId="2F27176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Revogar o inciso VII porque segundo entendimento do Voto do Conselheiro do CMN na aprovação da Resolução CMN nº 5.202, de 2025, a participação da EFPC em comitê de investimentos em FIP está vedada, por conseguinte lógico:</w:t>
            </w:r>
          </w:p>
          <w:p w14:paraId="201DDA4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 Resolução CMN nº 5.202, de 2025, reforçou o conceito de FIP entidade de investimento contido na Resolução CMN nº 4.994, de 2022. Pois bem, a Resolução CMN nº 5.111, de 2023, regula que um FIP não será classificado </w:t>
            </w:r>
            <w:r w:rsidRPr="00D462F0">
              <w:rPr>
                <w:rFonts w:asciiTheme="majorHAnsi" w:hAnsiTheme="majorHAnsi" w:cstheme="majorHAnsi"/>
                <w:sz w:val="24"/>
                <w:szCs w:val="24"/>
              </w:rPr>
              <w:lastRenderedPageBreak/>
              <w:t>como entidade de investimento se possuir cotista majoritários participem de comitê, veja:</w:t>
            </w:r>
          </w:p>
          <w:p w14:paraId="344B49CE"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Resolução CMN nº 5.111, de 2023:</w:t>
            </w:r>
          </w:p>
          <w:p w14:paraId="475B3B47"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2º ......</w:t>
            </w:r>
          </w:p>
          <w:p w14:paraId="11FDEBA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w:t>
            </w:r>
          </w:p>
          <w:p w14:paraId="55467634"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2</w:t>
            </w:r>
            <w:proofErr w:type="gramStart"/>
            <w:r w:rsidRPr="00D462F0">
              <w:rPr>
                <w:rFonts w:asciiTheme="majorHAnsi" w:hAnsiTheme="majorHAnsi" w:cstheme="majorHAnsi"/>
                <w:sz w:val="24"/>
                <w:szCs w:val="24"/>
              </w:rPr>
              <w:t>º  Não</w:t>
            </w:r>
            <w:proofErr w:type="gramEnd"/>
            <w:r w:rsidRPr="00D462F0">
              <w:rPr>
                <w:rFonts w:asciiTheme="majorHAnsi" w:hAnsiTheme="majorHAnsi" w:cstheme="majorHAnsi"/>
                <w:sz w:val="24"/>
                <w:szCs w:val="24"/>
              </w:rPr>
              <w:t xml:space="preserve"> são classificados como entidades de investimento, em caráter exemplificativo, os fundos de investimento no país que:</w:t>
            </w:r>
          </w:p>
          <w:p w14:paraId="0B31917E"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 - </w:t>
            </w:r>
            <w:proofErr w:type="gramStart"/>
            <w:r w:rsidRPr="00D462F0">
              <w:rPr>
                <w:rFonts w:asciiTheme="majorHAnsi" w:hAnsiTheme="majorHAnsi" w:cstheme="majorHAnsi"/>
                <w:sz w:val="24"/>
                <w:szCs w:val="24"/>
              </w:rPr>
              <w:t>possuam</w:t>
            </w:r>
            <w:proofErr w:type="gramEnd"/>
            <w:r w:rsidRPr="00D462F0">
              <w:rPr>
                <w:rFonts w:asciiTheme="majorHAnsi" w:hAnsiTheme="majorHAnsi" w:cstheme="majorHAnsi"/>
                <w:sz w:val="24"/>
                <w:szCs w:val="24"/>
              </w:rPr>
              <w:t xml:space="preserve"> comitê de investimento ou outro órgão de governança deliberativo no qual cotistas majoritários pessoas físicas ou as pessoas por eles indicadas tomem decisões e enviem ordens ao gestor quanto à composição da carteira do fundo;</w:t>
            </w:r>
          </w:p>
          <w:p w14:paraId="1BAFC3D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w:t>
            </w:r>
          </w:p>
          <w:p w14:paraId="2FB650B9" w14:textId="6B1B91A8" w:rsidR="00EB19CA" w:rsidRPr="00D462F0" w:rsidRDefault="00EB19CA" w:rsidP="00D462F0">
            <w:pPr>
              <w:jc w:val="both"/>
              <w:rPr>
                <w:rFonts w:asciiTheme="majorHAnsi" w:hAnsiTheme="majorHAnsi" w:cstheme="majorHAnsi"/>
                <w:sz w:val="24"/>
                <w:szCs w:val="24"/>
              </w:rPr>
            </w:pPr>
          </w:p>
        </w:tc>
        <w:tc>
          <w:tcPr>
            <w:tcW w:w="4075" w:type="dxa"/>
          </w:tcPr>
          <w:p w14:paraId="00439590" w14:textId="4A219932"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lastRenderedPageBreak/>
              <w:t>Inciso II do art. 4º - Revogação de dispositivo e inserção de parágrafo decorrente de entendimento normativo observado na Resolução CMN nº 5.111, de 2023, combinado com o disposto na Res. CMN nº 4.994, de 2022, alterada pela Res. CMN nº 5.202, de 2025.</w:t>
            </w:r>
          </w:p>
        </w:tc>
      </w:tr>
      <w:tr w:rsidR="00EB19CA" w:rsidRPr="00C93770" w14:paraId="5AC8BFB2" w14:textId="77777777" w:rsidTr="1756A420">
        <w:tc>
          <w:tcPr>
            <w:tcW w:w="4074" w:type="dxa"/>
          </w:tcPr>
          <w:p w14:paraId="52C0F8FA" w14:textId="117CDF82" w:rsidR="00EB19CA" w:rsidRPr="00D462F0" w:rsidRDefault="00BC6F01"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01C74B9" w14:textId="3E948E7E"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EB6B83E" w14:textId="77777777" w:rsidR="00EB19CA" w:rsidRPr="00D462F0" w:rsidRDefault="00EB19CA" w:rsidP="00D462F0">
            <w:pPr>
              <w:jc w:val="both"/>
              <w:rPr>
                <w:rFonts w:asciiTheme="majorHAnsi" w:hAnsiTheme="majorHAnsi" w:cstheme="majorHAnsi"/>
                <w:sz w:val="24"/>
                <w:szCs w:val="24"/>
              </w:rPr>
            </w:pPr>
          </w:p>
        </w:tc>
        <w:tc>
          <w:tcPr>
            <w:tcW w:w="4075" w:type="dxa"/>
          </w:tcPr>
          <w:p w14:paraId="72C716F6" w14:textId="77777777" w:rsidR="00EB19CA" w:rsidRPr="00D462F0" w:rsidRDefault="00EB19CA" w:rsidP="00D462F0">
            <w:pPr>
              <w:jc w:val="both"/>
              <w:rPr>
                <w:rFonts w:asciiTheme="majorHAnsi" w:hAnsiTheme="majorHAnsi" w:cstheme="majorHAnsi"/>
                <w:bCs/>
                <w:sz w:val="24"/>
                <w:szCs w:val="24"/>
              </w:rPr>
            </w:pPr>
          </w:p>
        </w:tc>
      </w:tr>
      <w:tr w:rsidR="00EB19CA" w:rsidRPr="00C93770" w14:paraId="0BD21158" w14:textId="77777777" w:rsidTr="1756A420">
        <w:tc>
          <w:tcPr>
            <w:tcW w:w="4074" w:type="dxa"/>
          </w:tcPr>
          <w:p w14:paraId="626EF1E5" w14:textId="22FECCB2"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§1</w:t>
            </w:r>
            <w:proofErr w:type="gramStart"/>
            <w:r w:rsidRPr="00D462F0">
              <w:rPr>
                <w:rFonts w:asciiTheme="majorHAnsi" w:hAnsiTheme="majorHAnsi" w:cstheme="majorHAnsi"/>
                <w:sz w:val="24"/>
                <w:szCs w:val="24"/>
              </w:rPr>
              <w:t>º  O</w:t>
            </w:r>
            <w:proofErr w:type="gramEnd"/>
            <w:r w:rsidRPr="00D462F0">
              <w:rPr>
                <w:rFonts w:asciiTheme="majorHAnsi" w:hAnsiTheme="majorHAnsi" w:cstheme="majorHAns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tc>
        <w:tc>
          <w:tcPr>
            <w:tcW w:w="4074" w:type="dxa"/>
          </w:tcPr>
          <w:p w14:paraId="5542BD0D" w14:textId="23FF9AF0"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§1</w:t>
            </w:r>
            <w:proofErr w:type="gramStart"/>
            <w:r w:rsidRPr="00D462F0">
              <w:rPr>
                <w:rFonts w:asciiTheme="majorHAnsi" w:hAnsiTheme="majorHAnsi" w:cstheme="majorHAnsi"/>
                <w:bCs/>
                <w:sz w:val="24"/>
                <w:szCs w:val="24"/>
              </w:rPr>
              <w:t>º  O</w:t>
            </w:r>
            <w:proofErr w:type="gramEnd"/>
            <w:r w:rsidRPr="00D462F0">
              <w:rPr>
                <w:rFonts w:asciiTheme="majorHAnsi" w:hAnsiTheme="majorHAnsi" w:cstheme="majorHAnsi"/>
                <w:bCs/>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da </w:t>
            </w:r>
            <w:r w:rsidRPr="00D462F0">
              <w:rPr>
                <w:rFonts w:asciiTheme="majorHAnsi" w:hAnsiTheme="majorHAnsi" w:cstheme="majorHAnsi"/>
                <w:bCs/>
                <w:color w:val="0000FF"/>
                <w:sz w:val="24"/>
                <w:szCs w:val="24"/>
              </w:rPr>
              <w:t xml:space="preserve">classe ou da subclasse </w:t>
            </w:r>
            <w:r w:rsidRPr="00D462F0">
              <w:rPr>
                <w:rFonts w:asciiTheme="majorHAnsi" w:hAnsiTheme="majorHAnsi" w:cstheme="majorHAnsi"/>
                <w:bCs/>
                <w:sz w:val="24"/>
                <w:szCs w:val="24"/>
              </w:rPr>
              <w:t>do fundo sob sua gestão, considerando as subscrições efetuadas por todos os cotistas do fundo.</w:t>
            </w:r>
            <w:r w:rsidRPr="00D462F0">
              <w:rPr>
                <w:rFonts w:asciiTheme="majorHAnsi" w:hAnsiTheme="majorHAnsi" w:cstheme="majorHAnsi"/>
                <w:bCs/>
                <w:strike/>
                <w:color w:val="EE0000"/>
                <w:sz w:val="24"/>
                <w:szCs w:val="24"/>
              </w:rPr>
              <w:t xml:space="preserve"> de investimento em participações.</w:t>
            </w:r>
          </w:p>
        </w:tc>
        <w:tc>
          <w:tcPr>
            <w:tcW w:w="4074" w:type="dxa"/>
          </w:tcPr>
          <w:p w14:paraId="1FE7AD99"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Aprimoramento redacional com utilização da sigla e atualização da disposição normativa, tendo em vista a alteração de redação promovida pela Resolução CMN nº 5.202, de 2025, no inciso I do §2º do Art. 23 da Resolução CMN nº 4.994, de 2022.</w:t>
            </w:r>
          </w:p>
          <w:p w14:paraId="7C5B73E9" w14:textId="77777777" w:rsidR="00EB19CA" w:rsidRPr="00D462F0" w:rsidRDefault="00EB19CA" w:rsidP="00D462F0">
            <w:pPr>
              <w:jc w:val="both"/>
              <w:rPr>
                <w:rFonts w:asciiTheme="majorHAnsi" w:hAnsiTheme="majorHAnsi" w:cstheme="majorHAnsi"/>
                <w:sz w:val="24"/>
                <w:szCs w:val="24"/>
              </w:rPr>
            </w:pPr>
          </w:p>
        </w:tc>
        <w:tc>
          <w:tcPr>
            <w:tcW w:w="4075" w:type="dxa"/>
          </w:tcPr>
          <w:p w14:paraId="15FB9A34"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5B7AA9D4" w14:textId="77777777" w:rsidR="00EB19CA" w:rsidRPr="00D462F0" w:rsidRDefault="00EB19CA" w:rsidP="00D462F0">
            <w:pPr>
              <w:jc w:val="both"/>
              <w:rPr>
                <w:rFonts w:asciiTheme="majorHAnsi" w:hAnsiTheme="majorHAnsi" w:cstheme="majorHAnsi"/>
                <w:bCs/>
                <w:sz w:val="24"/>
                <w:szCs w:val="24"/>
              </w:rPr>
            </w:pPr>
          </w:p>
        </w:tc>
      </w:tr>
      <w:tr w:rsidR="00EB19CA" w:rsidRPr="00C93770" w14:paraId="2B5F65E9" w14:textId="77777777" w:rsidTr="1756A420">
        <w:tc>
          <w:tcPr>
            <w:tcW w:w="4074" w:type="dxa"/>
          </w:tcPr>
          <w:p w14:paraId="14F022F4" w14:textId="70C276C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§2</w:t>
            </w:r>
            <w:proofErr w:type="gramStart"/>
            <w:r w:rsidRPr="00D462F0">
              <w:rPr>
                <w:rFonts w:asciiTheme="majorHAnsi" w:hAnsiTheme="majorHAnsi" w:cstheme="majorHAnsi"/>
                <w:sz w:val="24"/>
                <w:szCs w:val="24"/>
              </w:rPr>
              <w:t>º  Para</w:t>
            </w:r>
            <w:proofErr w:type="gramEnd"/>
            <w:r w:rsidRPr="00D462F0">
              <w:rPr>
                <w:rFonts w:asciiTheme="majorHAnsi" w:hAnsiTheme="majorHAnsi" w:cstheme="majorHAnsi"/>
                <w:sz w:val="24"/>
                <w:szCs w:val="24"/>
              </w:rPr>
              <w:t xml:space="preserve"> fins de composição do percentual do capital subscrito a que se refere o §1º, podem ser considerados os aportes efetuados por:</w:t>
            </w:r>
          </w:p>
        </w:tc>
        <w:tc>
          <w:tcPr>
            <w:tcW w:w="4074" w:type="dxa"/>
          </w:tcPr>
          <w:p w14:paraId="5B79B724" w14:textId="6D5F804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§2</w:t>
            </w:r>
            <w:proofErr w:type="gramStart"/>
            <w:r w:rsidRPr="00D462F0">
              <w:rPr>
                <w:rFonts w:asciiTheme="majorHAnsi" w:hAnsiTheme="majorHAnsi" w:cstheme="majorHAnsi"/>
                <w:bCs/>
                <w:sz w:val="24"/>
                <w:szCs w:val="24"/>
              </w:rPr>
              <w:t>º  ...</w:t>
            </w:r>
            <w:proofErr w:type="gramEnd"/>
          </w:p>
        </w:tc>
        <w:tc>
          <w:tcPr>
            <w:tcW w:w="4074" w:type="dxa"/>
          </w:tcPr>
          <w:p w14:paraId="6773CB60" w14:textId="66F6A7A6"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604DFFE9" w14:textId="77777777" w:rsidR="00EB19CA" w:rsidRPr="00D462F0" w:rsidRDefault="00EB19CA" w:rsidP="00D462F0">
            <w:pPr>
              <w:jc w:val="both"/>
              <w:rPr>
                <w:rFonts w:asciiTheme="majorHAnsi" w:hAnsiTheme="majorHAnsi" w:cstheme="majorHAnsi"/>
                <w:bCs/>
                <w:sz w:val="24"/>
                <w:szCs w:val="24"/>
              </w:rPr>
            </w:pPr>
          </w:p>
        </w:tc>
      </w:tr>
      <w:tr w:rsidR="009800BF" w:rsidRPr="00C93770" w14:paraId="7866E1DF" w14:textId="77777777" w:rsidTr="1756A420">
        <w:tc>
          <w:tcPr>
            <w:tcW w:w="4074" w:type="dxa"/>
          </w:tcPr>
          <w:p w14:paraId="4752554A" w14:textId="607793CF"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3C9ECDE7" w14:textId="4F45A8F8"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334DDE7A" w14:textId="77777777" w:rsidR="009800BF" w:rsidRPr="00D462F0" w:rsidRDefault="009800BF" w:rsidP="00D462F0">
            <w:pPr>
              <w:jc w:val="both"/>
              <w:rPr>
                <w:rFonts w:asciiTheme="majorHAnsi" w:hAnsiTheme="majorHAnsi" w:cstheme="majorHAnsi"/>
                <w:sz w:val="24"/>
                <w:szCs w:val="24"/>
              </w:rPr>
            </w:pPr>
          </w:p>
        </w:tc>
        <w:tc>
          <w:tcPr>
            <w:tcW w:w="4075" w:type="dxa"/>
          </w:tcPr>
          <w:p w14:paraId="4D5CB3B4" w14:textId="77777777" w:rsidR="009800BF" w:rsidRPr="00D462F0" w:rsidRDefault="009800BF" w:rsidP="00D462F0">
            <w:pPr>
              <w:jc w:val="both"/>
              <w:rPr>
                <w:rFonts w:asciiTheme="majorHAnsi" w:hAnsiTheme="majorHAnsi" w:cstheme="majorHAnsi"/>
                <w:bCs/>
                <w:sz w:val="24"/>
                <w:szCs w:val="24"/>
              </w:rPr>
            </w:pPr>
          </w:p>
        </w:tc>
      </w:tr>
      <w:tr w:rsidR="00EB19CA" w:rsidRPr="00C93770" w14:paraId="769255C3" w14:textId="77777777" w:rsidTr="1756A420">
        <w:tc>
          <w:tcPr>
            <w:tcW w:w="4074" w:type="dxa"/>
          </w:tcPr>
          <w:p w14:paraId="05D57470" w14:textId="10B1BD0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II - </w:t>
            </w:r>
            <w:proofErr w:type="gramStart"/>
            <w:r w:rsidRPr="00D462F0">
              <w:rPr>
                <w:rFonts w:asciiTheme="majorHAnsi" w:hAnsiTheme="majorHAnsi" w:cstheme="majorHAnsi"/>
                <w:sz w:val="24"/>
                <w:szCs w:val="24"/>
              </w:rPr>
              <w:t>fundo</w:t>
            </w:r>
            <w:proofErr w:type="gramEnd"/>
            <w:r w:rsidRPr="00D462F0">
              <w:rPr>
                <w:rFonts w:asciiTheme="majorHAnsi" w:hAnsiTheme="majorHAnsi" w:cstheme="majorHAnsi"/>
                <w:sz w:val="24"/>
                <w:szCs w:val="24"/>
              </w:rPr>
              <w:t xml:space="preserve"> de investimento constituído no Brasil que seja restrito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tc>
        <w:tc>
          <w:tcPr>
            <w:tcW w:w="4074" w:type="dxa"/>
          </w:tcPr>
          <w:p w14:paraId="68E0A987" w14:textId="0DADA6F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II – </w:t>
            </w:r>
            <w:proofErr w:type="gramStart"/>
            <w:r w:rsidRPr="00D462F0">
              <w:rPr>
                <w:rFonts w:asciiTheme="majorHAnsi" w:hAnsiTheme="majorHAnsi" w:cstheme="majorHAnsi"/>
                <w:bCs/>
                <w:color w:val="0000FF"/>
                <w:sz w:val="24"/>
                <w:szCs w:val="24"/>
              </w:rPr>
              <w:t>classe</w:t>
            </w:r>
            <w:proofErr w:type="gramEnd"/>
            <w:r w:rsidRPr="00D462F0">
              <w:rPr>
                <w:rFonts w:asciiTheme="majorHAnsi" w:hAnsiTheme="majorHAnsi" w:cstheme="majorHAnsi"/>
                <w:bCs/>
                <w:color w:val="0000FF"/>
                <w:sz w:val="24"/>
                <w:szCs w:val="24"/>
              </w:rPr>
              <w:t xml:space="preserve"> de cota de </w:t>
            </w:r>
            <w:r w:rsidRPr="00D462F0">
              <w:rPr>
                <w:rFonts w:asciiTheme="majorHAnsi" w:hAnsiTheme="majorHAnsi" w:cstheme="majorHAnsi"/>
                <w:bCs/>
                <w:sz w:val="24"/>
                <w:szCs w:val="24"/>
              </w:rPr>
              <w:t>fundo de investimento constituído no Brasil que seja restrita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tc>
        <w:tc>
          <w:tcPr>
            <w:tcW w:w="4074" w:type="dxa"/>
          </w:tcPr>
          <w:p w14:paraId="0DD48CC4" w14:textId="59EBEB8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Aprimoramento redacional com utilização da sigla e adaptação do texto, considerando que a característica de exclusividade recai sobre a cota de classe e não sobre o fundo, a partir das alterações da Resolução CVM nº 175, de 2022. Assim, a alteração proposta busca manter inalterada a essência da regra anterior.</w:t>
            </w:r>
          </w:p>
        </w:tc>
        <w:tc>
          <w:tcPr>
            <w:tcW w:w="4075" w:type="dxa"/>
          </w:tcPr>
          <w:p w14:paraId="4AB7C661" w14:textId="77777777" w:rsidR="00EB19CA" w:rsidRPr="00D462F0" w:rsidRDefault="00EB19CA"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 xml:space="preserve">Alínea “a” do </w:t>
            </w: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V</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p w14:paraId="2E29042F" w14:textId="77777777" w:rsidR="00EB19CA" w:rsidRPr="00D462F0" w:rsidRDefault="00EB19CA" w:rsidP="00D462F0">
            <w:pPr>
              <w:jc w:val="both"/>
              <w:rPr>
                <w:rFonts w:asciiTheme="majorHAnsi" w:hAnsiTheme="majorHAnsi" w:cstheme="majorHAnsi"/>
                <w:bCs/>
                <w:sz w:val="24"/>
                <w:szCs w:val="24"/>
              </w:rPr>
            </w:pPr>
          </w:p>
        </w:tc>
      </w:tr>
      <w:tr w:rsidR="00BC6F01" w:rsidRPr="00C93770" w14:paraId="54E902E8" w14:textId="77777777" w:rsidTr="1756A420">
        <w:tc>
          <w:tcPr>
            <w:tcW w:w="4074" w:type="dxa"/>
          </w:tcPr>
          <w:p w14:paraId="2FA93A7C" w14:textId="61585B2C" w:rsidR="00BC6F01" w:rsidRPr="0028717C" w:rsidRDefault="00BC6F01" w:rsidP="0028717C">
            <w:pPr>
              <w:jc w:val="center"/>
              <w:rPr>
                <w:rFonts w:asciiTheme="majorHAnsi" w:hAnsiTheme="majorHAnsi" w:cstheme="majorHAnsi"/>
                <w:sz w:val="24"/>
                <w:szCs w:val="24"/>
              </w:rPr>
            </w:pPr>
            <w:r w:rsidRPr="0028717C">
              <w:rPr>
                <w:rFonts w:asciiTheme="majorHAnsi" w:hAnsiTheme="majorHAnsi" w:cstheme="majorHAnsi"/>
                <w:sz w:val="24"/>
                <w:szCs w:val="24"/>
              </w:rPr>
              <w:t>...</w:t>
            </w:r>
          </w:p>
        </w:tc>
        <w:tc>
          <w:tcPr>
            <w:tcW w:w="4074" w:type="dxa"/>
          </w:tcPr>
          <w:p w14:paraId="0A356D42" w14:textId="6AEF5CDB" w:rsidR="00BC6F01" w:rsidRPr="0028717C" w:rsidRDefault="00BC6F01" w:rsidP="0028717C">
            <w:pPr>
              <w:jc w:val="center"/>
              <w:rPr>
                <w:rFonts w:asciiTheme="majorHAnsi" w:hAnsiTheme="majorHAnsi" w:cstheme="majorHAnsi"/>
                <w:bCs/>
                <w:sz w:val="24"/>
                <w:szCs w:val="24"/>
              </w:rPr>
            </w:pPr>
            <w:r w:rsidRPr="0028717C">
              <w:rPr>
                <w:rFonts w:asciiTheme="majorHAnsi" w:hAnsiTheme="majorHAnsi" w:cstheme="majorHAnsi"/>
                <w:bCs/>
                <w:sz w:val="24"/>
                <w:szCs w:val="24"/>
              </w:rPr>
              <w:t>...</w:t>
            </w:r>
          </w:p>
        </w:tc>
        <w:tc>
          <w:tcPr>
            <w:tcW w:w="4074" w:type="dxa"/>
          </w:tcPr>
          <w:p w14:paraId="3EAD3805" w14:textId="77777777" w:rsidR="00BC6F01" w:rsidRPr="00D462F0" w:rsidRDefault="00BC6F01" w:rsidP="00D462F0">
            <w:pPr>
              <w:jc w:val="both"/>
              <w:rPr>
                <w:rFonts w:asciiTheme="majorHAnsi" w:hAnsiTheme="majorHAnsi" w:cstheme="majorHAnsi"/>
                <w:sz w:val="24"/>
                <w:szCs w:val="24"/>
              </w:rPr>
            </w:pPr>
          </w:p>
        </w:tc>
        <w:tc>
          <w:tcPr>
            <w:tcW w:w="4075" w:type="dxa"/>
          </w:tcPr>
          <w:p w14:paraId="164AF6C1" w14:textId="77777777" w:rsidR="00BC6F01" w:rsidRPr="00D462F0" w:rsidRDefault="00BC6F01" w:rsidP="00D462F0">
            <w:pPr>
              <w:jc w:val="both"/>
              <w:rPr>
                <w:rFonts w:asciiTheme="majorHAnsi" w:eastAsia="Times New Roman" w:hAnsiTheme="majorHAnsi" w:cstheme="majorHAnsi"/>
                <w:bCs/>
                <w:sz w:val="24"/>
                <w:szCs w:val="24"/>
              </w:rPr>
            </w:pPr>
          </w:p>
        </w:tc>
      </w:tr>
      <w:tr w:rsidR="00EB19CA" w:rsidRPr="00C93770" w14:paraId="14692392" w14:textId="77777777" w:rsidTr="1756A420">
        <w:tc>
          <w:tcPr>
            <w:tcW w:w="4074" w:type="dxa"/>
          </w:tcPr>
          <w:p w14:paraId="66F1201C" w14:textId="5DB80EB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Sem referência anterior.</w:t>
            </w:r>
          </w:p>
        </w:tc>
        <w:tc>
          <w:tcPr>
            <w:tcW w:w="4074" w:type="dxa"/>
          </w:tcPr>
          <w:p w14:paraId="4B69BF31" w14:textId="24121E0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5</w:t>
            </w:r>
            <w:proofErr w:type="gramStart"/>
            <w:r w:rsidRPr="00D462F0">
              <w:rPr>
                <w:rFonts w:asciiTheme="majorHAnsi" w:hAnsiTheme="majorHAnsi" w:cstheme="majorHAnsi"/>
                <w:bCs/>
                <w:color w:val="0000FF"/>
                <w:sz w:val="24"/>
                <w:szCs w:val="24"/>
              </w:rPr>
              <w:t>º  É</w:t>
            </w:r>
            <w:proofErr w:type="gramEnd"/>
            <w:r w:rsidRPr="00D462F0">
              <w:rPr>
                <w:rFonts w:asciiTheme="majorHAnsi" w:hAnsiTheme="majorHAnsi" w:cstheme="majorHAnsi"/>
                <w:bCs/>
                <w:color w:val="0000FF"/>
                <w:sz w:val="24"/>
                <w:szCs w:val="24"/>
              </w:rPr>
              <w:t xml:space="preserve"> vedada a participação de representante da EFPC em comitê de investimentos de FIP.</w:t>
            </w:r>
          </w:p>
        </w:tc>
        <w:tc>
          <w:tcPr>
            <w:tcW w:w="4074" w:type="dxa"/>
          </w:tcPr>
          <w:p w14:paraId="14DFCCF1"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justificativa para alteração pode ser encontrada no inciso VII do Art. 222.</w:t>
            </w:r>
          </w:p>
          <w:p w14:paraId="32D89FA8" w14:textId="77777777" w:rsidR="00EB19CA" w:rsidRPr="00D462F0" w:rsidRDefault="00EB19CA" w:rsidP="00D462F0">
            <w:pPr>
              <w:jc w:val="both"/>
              <w:rPr>
                <w:rFonts w:asciiTheme="majorHAnsi" w:hAnsiTheme="majorHAnsi" w:cstheme="majorHAnsi"/>
                <w:sz w:val="24"/>
                <w:szCs w:val="24"/>
              </w:rPr>
            </w:pPr>
          </w:p>
        </w:tc>
        <w:tc>
          <w:tcPr>
            <w:tcW w:w="4075" w:type="dxa"/>
          </w:tcPr>
          <w:p w14:paraId="3B71B63D" w14:textId="68C5FE42"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II do art. 4º do Decreto nº 10.411, de 2020 - Inserção de dispositivo para definir prazo máximo de atendimento do disposto em norma hierarquicamente superior.  </w:t>
            </w:r>
          </w:p>
        </w:tc>
      </w:tr>
      <w:tr w:rsidR="00EB19CA" w:rsidRPr="00C93770" w14:paraId="0B93468F" w14:textId="77777777" w:rsidTr="1756A420">
        <w:tc>
          <w:tcPr>
            <w:tcW w:w="4074" w:type="dxa"/>
          </w:tcPr>
          <w:p w14:paraId="2086509D" w14:textId="674BDC1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BCF4FD4" w14:textId="73453E1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6</w:t>
            </w:r>
            <w:proofErr w:type="gramStart"/>
            <w:r w:rsidRPr="00D462F0">
              <w:rPr>
                <w:rFonts w:asciiTheme="majorHAnsi" w:hAnsiTheme="majorHAnsi" w:cstheme="majorHAnsi"/>
                <w:bCs/>
                <w:color w:val="0000FF"/>
                <w:sz w:val="24"/>
                <w:szCs w:val="24"/>
              </w:rPr>
              <w:t>º  As</w:t>
            </w:r>
            <w:proofErr w:type="gramEnd"/>
            <w:r w:rsidRPr="00D462F0">
              <w:rPr>
                <w:rFonts w:asciiTheme="majorHAnsi" w:hAnsiTheme="majorHAnsi" w:cstheme="majorHAnsi"/>
                <w:bCs/>
                <w:color w:val="0000FF"/>
                <w:sz w:val="24"/>
                <w:szCs w:val="24"/>
              </w:rPr>
              <w:t xml:space="preserve"> EFPC com representantes em comitês de investimento de FIP devem deixar os comitês até 30</w:t>
            </w:r>
            <w:r w:rsidR="0073509E">
              <w:rPr>
                <w:rFonts w:asciiTheme="majorHAnsi" w:hAnsiTheme="majorHAnsi" w:cstheme="majorHAnsi"/>
                <w:bCs/>
                <w:color w:val="0000FF"/>
                <w:sz w:val="24"/>
                <w:szCs w:val="24"/>
              </w:rPr>
              <w:t xml:space="preserve"> de junho de </w:t>
            </w:r>
            <w:r w:rsidRPr="00D462F0">
              <w:rPr>
                <w:rFonts w:asciiTheme="majorHAnsi" w:hAnsiTheme="majorHAnsi" w:cstheme="majorHAnsi"/>
                <w:bCs/>
                <w:color w:val="0000FF"/>
                <w:sz w:val="24"/>
                <w:szCs w:val="24"/>
              </w:rPr>
              <w:t>2026.</w:t>
            </w:r>
          </w:p>
        </w:tc>
        <w:tc>
          <w:tcPr>
            <w:tcW w:w="4074" w:type="dxa"/>
          </w:tcPr>
          <w:p w14:paraId="3B366C15" w14:textId="47B5F539"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Considerando a impossibilidade de participação no comitê de investimentos de FIP, o dispositivo normativo busca facultar prazo para que as EFPC deixem de participar do comitê de investimento de FIPs no qual já investem.</w:t>
            </w:r>
          </w:p>
        </w:tc>
        <w:tc>
          <w:tcPr>
            <w:tcW w:w="4075" w:type="dxa"/>
          </w:tcPr>
          <w:p w14:paraId="31DD22F8" w14:textId="2A8D6360"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II do art. 4º do Decreto nº 10.411, de 2020 - Inserção de dispositivo para definir prazo máximo de atendimento do disposto em norma hierarquicamente superior.  </w:t>
            </w:r>
          </w:p>
        </w:tc>
      </w:tr>
      <w:tr w:rsidR="00EB19CA" w:rsidRPr="00C93770" w14:paraId="1895E476" w14:textId="77777777" w:rsidTr="1756A420">
        <w:tc>
          <w:tcPr>
            <w:tcW w:w="4074" w:type="dxa"/>
          </w:tcPr>
          <w:p w14:paraId="0D2A2149"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IV</w:t>
            </w:r>
          </w:p>
          <w:p w14:paraId="2C0693D9" w14:textId="244BA4F8"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 em Direitos Creditórios</w:t>
            </w:r>
          </w:p>
        </w:tc>
        <w:tc>
          <w:tcPr>
            <w:tcW w:w="4074" w:type="dxa"/>
          </w:tcPr>
          <w:p w14:paraId="05048175" w14:textId="77777777"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IV</w:t>
            </w:r>
          </w:p>
          <w:p w14:paraId="1362B2A4" w14:textId="18E7244C" w:rsidR="00EB19CA" w:rsidRPr="00D462F0" w:rsidRDefault="00EB19CA" w:rsidP="0028717C">
            <w:pPr>
              <w:jc w:val="center"/>
              <w:rPr>
                <w:rFonts w:asciiTheme="majorHAnsi" w:hAnsiTheme="majorHAnsi" w:cstheme="majorHAnsi"/>
                <w:b/>
                <w:bCs/>
                <w:sz w:val="24"/>
                <w:szCs w:val="24"/>
              </w:rPr>
            </w:pPr>
            <w:r w:rsidRPr="00D462F0">
              <w:rPr>
                <w:rFonts w:asciiTheme="majorHAnsi" w:hAnsiTheme="majorHAnsi" w:cstheme="majorHAnsi"/>
                <w:b/>
                <w:bCs/>
                <w:sz w:val="24"/>
                <w:szCs w:val="24"/>
              </w:rPr>
              <w:t>Seleção de Fundo de Investimento em Direitos Creditórios</w:t>
            </w:r>
          </w:p>
        </w:tc>
        <w:tc>
          <w:tcPr>
            <w:tcW w:w="4074" w:type="dxa"/>
          </w:tcPr>
          <w:p w14:paraId="4C6C0A01" w14:textId="77777777" w:rsidR="00EB19CA" w:rsidRPr="00D462F0" w:rsidRDefault="00EB19CA" w:rsidP="00D462F0">
            <w:pPr>
              <w:jc w:val="both"/>
              <w:rPr>
                <w:rFonts w:asciiTheme="majorHAnsi" w:hAnsiTheme="majorHAnsi" w:cstheme="majorHAnsi"/>
                <w:sz w:val="24"/>
                <w:szCs w:val="24"/>
              </w:rPr>
            </w:pPr>
          </w:p>
        </w:tc>
        <w:tc>
          <w:tcPr>
            <w:tcW w:w="4075" w:type="dxa"/>
          </w:tcPr>
          <w:p w14:paraId="67C8ACB1" w14:textId="77777777" w:rsidR="00EB19CA" w:rsidRPr="00D462F0" w:rsidRDefault="00EB19CA" w:rsidP="00D462F0">
            <w:pPr>
              <w:jc w:val="both"/>
              <w:rPr>
                <w:rFonts w:asciiTheme="majorHAnsi" w:hAnsiTheme="majorHAnsi" w:cstheme="majorHAnsi"/>
                <w:bCs/>
                <w:sz w:val="24"/>
                <w:szCs w:val="24"/>
              </w:rPr>
            </w:pPr>
          </w:p>
        </w:tc>
      </w:tr>
      <w:tr w:rsidR="00EB19CA" w:rsidRPr="00C93770" w14:paraId="56923519" w14:textId="77777777" w:rsidTr="1756A420">
        <w:tc>
          <w:tcPr>
            <w:tcW w:w="4074" w:type="dxa"/>
          </w:tcPr>
          <w:p w14:paraId="496A3465" w14:textId="792EA4B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223.  Na seleção de fundo de investimento em direitos creditórios (FIDC), a EFPC deve, adicionalmente ao disposto no art. 221, analisar:</w:t>
            </w:r>
          </w:p>
        </w:tc>
        <w:tc>
          <w:tcPr>
            <w:tcW w:w="4074" w:type="dxa"/>
          </w:tcPr>
          <w:p w14:paraId="0A68E302" w14:textId="183C0550"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223.  ...</w:t>
            </w:r>
          </w:p>
        </w:tc>
        <w:tc>
          <w:tcPr>
            <w:tcW w:w="4074" w:type="dxa"/>
          </w:tcPr>
          <w:p w14:paraId="74D96ECF" w14:textId="4C376832"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547CE60C" w14:textId="77777777" w:rsidR="00EB19CA" w:rsidRPr="00D462F0" w:rsidRDefault="00EB19CA" w:rsidP="00D462F0">
            <w:pPr>
              <w:jc w:val="both"/>
              <w:rPr>
                <w:rFonts w:asciiTheme="majorHAnsi" w:hAnsiTheme="majorHAnsi" w:cstheme="majorHAnsi"/>
                <w:bCs/>
                <w:sz w:val="24"/>
                <w:szCs w:val="24"/>
              </w:rPr>
            </w:pPr>
          </w:p>
        </w:tc>
      </w:tr>
      <w:tr w:rsidR="00EB19CA" w:rsidRPr="00C93770" w14:paraId="3380DF19" w14:textId="77777777" w:rsidTr="1756A420">
        <w:tc>
          <w:tcPr>
            <w:tcW w:w="4074" w:type="dxa"/>
          </w:tcPr>
          <w:p w14:paraId="420BD8A6" w14:textId="2B191F1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 - </w:t>
            </w:r>
            <w:proofErr w:type="gramStart"/>
            <w:r w:rsidRPr="00D462F0">
              <w:rPr>
                <w:rFonts w:asciiTheme="majorHAnsi" w:hAnsiTheme="majorHAnsi" w:cstheme="majorHAnsi"/>
                <w:sz w:val="24"/>
                <w:szCs w:val="24"/>
              </w:rPr>
              <w:t>a</w:t>
            </w:r>
            <w:proofErr w:type="gramEnd"/>
            <w:r w:rsidRPr="00D462F0">
              <w:rPr>
                <w:rFonts w:asciiTheme="majorHAnsi" w:hAnsiTheme="majorHAnsi" w:cstheme="majorHAnsi"/>
                <w:sz w:val="24"/>
                <w:szCs w:val="24"/>
              </w:rPr>
              <w:t xml:space="preserve"> estrutura da carteira, o cedente, o nível de subordinação, a inadimplência e a perda que a classificação de risco e a subordinação deveriam suportar comparando-se com a perda estimada, e a classificação de risco no Sistema de </w:t>
            </w:r>
            <w:r w:rsidRPr="00D462F0">
              <w:rPr>
                <w:rFonts w:asciiTheme="majorHAnsi" w:hAnsiTheme="majorHAnsi" w:cstheme="majorHAnsi"/>
                <w:sz w:val="24"/>
                <w:szCs w:val="24"/>
              </w:rPr>
              <w:lastRenderedPageBreak/>
              <w:t>Informações de Crédito do Banco Central, quando disponível;</w:t>
            </w:r>
          </w:p>
        </w:tc>
        <w:tc>
          <w:tcPr>
            <w:tcW w:w="4074" w:type="dxa"/>
          </w:tcPr>
          <w:p w14:paraId="5B83269A" w14:textId="7DCBB95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 xml:space="preserve">I - </w:t>
            </w:r>
            <w:proofErr w:type="gramStart"/>
            <w:r w:rsidRPr="00D462F0">
              <w:rPr>
                <w:rFonts w:asciiTheme="majorHAnsi" w:hAnsiTheme="majorHAnsi" w:cstheme="majorHAnsi"/>
                <w:bCs/>
                <w:sz w:val="24"/>
                <w:szCs w:val="24"/>
              </w:rPr>
              <w:t>a</w:t>
            </w:r>
            <w:proofErr w:type="gramEnd"/>
            <w:r w:rsidRPr="00D462F0">
              <w:rPr>
                <w:rFonts w:asciiTheme="majorHAnsi" w:hAnsiTheme="majorHAnsi" w:cstheme="majorHAnsi"/>
                <w:bCs/>
                <w:sz w:val="24"/>
                <w:szCs w:val="24"/>
              </w:rPr>
              <w:t xml:space="preserve"> estrutura da carteira, o cedente, o nível de subordinação, a inadimplência e a perda que a classificação de risco e a subordinação deveriam suportar, </w:t>
            </w:r>
            <w:r w:rsidRPr="00D462F0">
              <w:rPr>
                <w:rFonts w:asciiTheme="majorHAnsi" w:hAnsiTheme="majorHAnsi" w:cstheme="majorHAnsi"/>
                <w:bCs/>
                <w:strike/>
                <w:color w:val="EE0000"/>
                <w:sz w:val="24"/>
                <w:szCs w:val="24"/>
              </w:rPr>
              <w:t>comparando-se</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comparada </w:t>
            </w:r>
            <w:r w:rsidRPr="00D462F0">
              <w:rPr>
                <w:rFonts w:asciiTheme="majorHAnsi" w:hAnsiTheme="majorHAnsi" w:cstheme="majorHAnsi"/>
                <w:bCs/>
                <w:sz w:val="24"/>
                <w:szCs w:val="24"/>
              </w:rPr>
              <w:t xml:space="preserve">com a perda estimada, e a classificação de risco no Sistema de Informações de </w:t>
            </w:r>
            <w:r w:rsidRPr="00D462F0">
              <w:rPr>
                <w:rFonts w:asciiTheme="majorHAnsi" w:hAnsiTheme="majorHAnsi" w:cstheme="majorHAnsi"/>
                <w:bCs/>
                <w:sz w:val="24"/>
                <w:szCs w:val="24"/>
              </w:rPr>
              <w:lastRenderedPageBreak/>
              <w:t>Crédito do Banco Central, quando disponível;</w:t>
            </w:r>
          </w:p>
        </w:tc>
        <w:tc>
          <w:tcPr>
            <w:tcW w:w="4074" w:type="dxa"/>
          </w:tcPr>
          <w:p w14:paraId="516CDB07" w14:textId="0B91E04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Ajuste redacional para dar maior clareza.</w:t>
            </w:r>
          </w:p>
        </w:tc>
        <w:tc>
          <w:tcPr>
            <w:tcW w:w="4075" w:type="dxa"/>
          </w:tcPr>
          <w:p w14:paraId="581B89C3" w14:textId="7654C027"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Inciso IV do art. 4º do Decreto 10.411, de 2020.</w:t>
            </w:r>
          </w:p>
        </w:tc>
      </w:tr>
      <w:tr w:rsidR="009800BF" w:rsidRPr="00C93770" w14:paraId="7E747ED7" w14:textId="77777777" w:rsidTr="1756A420">
        <w:tc>
          <w:tcPr>
            <w:tcW w:w="4074" w:type="dxa"/>
          </w:tcPr>
          <w:p w14:paraId="7991F85D" w14:textId="04B29D3F"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6FF1FCA9" w14:textId="35F057CB"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3176DE40" w14:textId="77777777" w:rsidR="009800BF" w:rsidRPr="00D462F0" w:rsidRDefault="009800BF" w:rsidP="00D462F0">
            <w:pPr>
              <w:jc w:val="both"/>
              <w:rPr>
                <w:rFonts w:asciiTheme="majorHAnsi" w:hAnsiTheme="majorHAnsi" w:cstheme="majorHAnsi"/>
                <w:sz w:val="24"/>
                <w:szCs w:val="24"/>
              </w:rPr>
            </w:pPr>
          </w:p>
        </w:tc>
        <w:tc>
          <w:tcPr>
            <w:tcW w:w="4075" w:type="dxa"/>
          </w:tcPr>
          <w:p w14:paraId="383904A8" w14:textId="77777777" w:rsidR="009800BF" w:rsidRPr="00D462F0" w:rsidRDefault="009800BF" w:rsidP="00D462F0">
            <w:pPr>
              <w:jc w:val="both"/>
              <w:rPr>
                <w:rFonts w:asciiTheme="majorHAnsi" w:eastAsia="Times New Roman" w:hAnsiTheme="majorHAnsi" w:cstheme="majorHAnsi"/>
                <w:bCs/>
                <w:sz w:val="24"/>
                <w:szCs w:val="24"/>
              </w:rPr>
            </w:pPr>
          </w:p>
        </w:tc>
      </w:tr>
      <w:tr w:rsidR="00EB19CA" w:rsidRPr="00C93770" w14:paraId="6FD748D3" w14:textId="77777777" w:rsidTr="1756A420">
        <w:tc>
          <w:tcPr>
            <w:tcW w:w="4074" w:type="dxa"/>
          </w:tcPr>
          <w:p w14:paraId="71FB9314" w14:textId="2C5C8E42" w:rsidR="00EB19CA" w:rsidRPr="00D462F0" w:rsidRDefault="00EB19CA" w:rsidP="00D462F0">
            <w:pPr>
              <w:jc w:val="both"/>
              <w:rPr>
                <w:rFonts w:asciiTheme="majorHAnsi" w:hAnsiTheme="majorHAnsi" w:cstheme="majorHAnsi"/>
                <w:b/>
                <w:bCs/>
                <w:sz w:val="24"/>
                <w:szCs w:val="24"/>
              </w:rPr>
            </w:pPr>
            <w:r w:rsidRPr="00D462F0">
              <w:rPr>
                <w:rFonts w:asciiTheme="majorHAnsi" w:hAnsiTheme="majorHAnsi" w:cstheme="majorHAnsi"/>
                <w:b/>
                <w:bCs/>
                <w:sz w:val="24"/>
                <w:szCs w:val="24"/>
              </w:rPr>
              <w:t>Sem referência anterior.</w:t>
            </w:r>
          </w:p>
        </w:tc>
        <w:tc>
          <w:tcPr>
            <w:tcW w:w="4074" w:type="dxa"/>
          </w:tcPr>
          <w:p w14:paraId="75CA37A4" w14:textId="560E6AAF" w:rsidR="00EB19CA" w:rsidRPr="00D462F0" w:rsidRDefault="00EB19CA" w:rsidP="004E06F1">
            <w:pPr>
              <w:jc w:val="center"/>
              <w:rPr>
                <w:rFonts w:asciiTheme="majorHAnsi" w:hAnsiTheme="majorHAnsi" w:cstheme="majorHAnsi"/>
                <w:b/>
                <w:bCs/>
                <w:color w:val="0000FF"/>
                <w:sz w:val="24"/>
                <w:szCs w:val="24"/>
              </w:rPr>
            </w:pPr>
            <w:r w:rsidRPr="00D462F0">
              <w:rPr>
                <w:rFonts w:asciiTheme="majorHAnsi" w:hAnsiTheme="majorHAnsi" w:cstheme="majorHAnsi"/>
                <w:b/>
                <w:bCs/>
                <w:color w:val="0000FF"/>
                <w:sz w:val="24"/>
                <w:szCs w:val="24"/>
              </w:rPr>
              <w:t>Subseção IV-A</w:t>
            </w:r>
          </w:p>
          <w:p w14:paraId="5B464DAA" w14:textId="69C57B39" w:rsidR="00EB19CA" w:rsidRPr="00D462F0" w:rsidRDefault="00EB19CA" w:rsidP="004E06F1">
            <w:pPr>
              <w:jc w:val="center"/>
              <w:rPr>
                <w:rFonts w:asciiTheme="majorHAnsi" w:hAnsiTheme="majorHAnsi" w:cstheme="majorHAnsi"/>
                <w:b/>
                <w:bCs/>
                <w:sz w:val="24"/>
                <w:szCs w:val="24"/>
              </w:rPr>
            </w:pPr>
            <w:r w:rsidRPr="00D462F0">
              <w:rPr>
                <w:rFonts w:asciiTheme="majorHAnsi" w:hAnsiTheme="majorHAnsi" w:cstheme="majorHAnsi"/>
                <w:b/>
                <w:bCs/>
                <w:color w:val="0000FF"/>
                <w:sz w:val="24"/>
                <w:szCs w:val="24"/>
              </w:rPr>
              <w:t>Seleção de Fundo de Investimento nas Cadeias Agroindustriais</w:t>
            </w:r>
          </w:p>
        </w:tc>
        <w:tc>
          <w:tcPr>
            <w:tcW w:w="4074" w:type="dxa"/>
          </w:tcPr>
          <w:p w14:paraId="331E6613" w14:textId="362F995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Subseção criada para abranger a regulamentação necessária para a aquisição de Fundo de Investimento nas Cadeias Agroindustriais –</w:t>
            </w:r>
            <w:r w:rsidR="00EF2AB4">
              <w:rPr>
                <w:rFonts w:asciiTheme="majorHAnsi" w:hAnsiTheme="majorHAnsi" w:cstheme="majorHAnsi"/>
                <w:sz w:val="24"/>
                <w:szCs w:val="24"/>
              </w:rPr>
              <w:t xml:space="preserve"> </w:t>
            </w:r>
            <w:proofErr w:type="spellStart"/>
            <w:r w:rsidR="00EF2AB4">
              <w:rPr>
                <w:rFonts w:asciiTheme="majorHAnsi" w:hAnsiTheme="majorHAnsi" w:cstheme="majorHAnsi"/>
                <w:sz w:val="24"/>
                <w:szCs w:val="24"/>
              </w:rPr>
              <w:t>Fiagro</w:t>
            </w:r>
            <w:proofErr w:type="spellEnd"/>
            <w:r w:rsidRPr="00D462F0">
              <w:rPr>
                <w:rFonts w:asciiTheme="majorHAnsi" w:hAnsiTheme="majorHAnsi" w:cstheme="majorHAnsi"/>
                <w:sz w:val="24"/>
                <w:szCs w:val="24"/>
              </w:rPr>
              <w:t>. De acordo com a técnica legislativa, como a Seção VI já existe na regulamentação atual, deve-se numerar a nova seção com o número anterior acrescido da letra do alfabeto.</w:t>
            </w:r>
          </w:p>
        </w:tc>
        <w:tc>
          <w:tcPr>
            <w:tcW w:w="4075" w:type="dxa"/>
          </w:tcPr>
          <w:p w14:paraId="3DCF1A2F"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303EAF49" w14:textId="021FA2C1" w:rsidR="00EB19CA" w:rsidRPr="00D462F0" w:rsidRDefault="00EB19CA"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 - Inserção de dispositivo para regulamentar ativo que passou ter menção expressa na Res. CMN 4.994, de 2022, após a alteração advinda com a Res. CMN nº 5.202, de 2025. A proposta replicou a lógica dos demais tipos de fundos existentes para FII, FIP e FIDC, considerando a complexidade e polivalência do fundo.</w:t>
            </w:r>
          </w:p>
        </w:tc>
      </w:tr>
      <w:tr w:rsidR="00EB19CA" w:rsidRPr="00C93770" w14:paraId="636156D0" w14:textId="77777777" w:rsidTr="1756A420">
        <w:tc>
          <w:tcPr>
            <w:tcW w:w="4074" w:type="dxa"/>
          </w:tcPr>
          <w:p w14:paraId="3111C788" w14:textId="38AD651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12207012" w14:textId="432BBEA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Art. 224-A. </w:t>
            </w:r>
            <w:r w:rsidR="00BC6F01"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Na seleção de Fundo de Investimento nas Cadeias Agroindustriais, a EFPC deve, adicionalmente ao disposto no art. 221, analisar:</w:t>
            </w:r>
          </w:p>
        </w:tc>
        <w:tc>
          <w:tcPr>
            <w:tcW w:w="4074" w:type="dxa"/>
          </w:tcPr>
          <w:p w14:paraId="26AD1747"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Sugestão de artigo para Fundo de Investimento nas Cadeias Agroindustriais semelhante aos demais existentes para FII, FIP e FIDC, considerando a complexidade e polivalência do fundo.</w:t>
            </w:r>
          </w:p>
          <w:p w14:paraId="5962CF57" w14:textId="5B1B7BF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Estabelece os critérios específicos de análise que as EFPC devem observar na seleção de Fundo de Investimento nas Cadeias Agroindustriais, complementando as disposições gerais do art. 221, considerando as características particulares desses fundos voltados às cadeias produtivas agroindustriais, conforme Lei nº 14.130</w:t>
            </w:r>
            <w:r w:rsidR="00EF2AB4">
              <w:rPr>
                <w:rFonts w:asciiTheme="majorHAnsi" w:hAnsiTheme="majorHAnsi" w:cstheme="majorHAnsi"/>
                <w:sz w:val="24"/>
                <w:szCs w:val="24"/>
              </w:rPr>
              <w:t xml:space="preserve">, de </w:t>
            </w:r>
            <w:r w:rsidRPr="00D462F0">
              <w:rPr>
                <w:rFonts w:asciiTheme="majorHAnsi" w:hAnsiTheme="majorHAnsi" w:cstheme="majorHAnsi"/>
                <w:sz w:val="24"/>
                <w:szCs w:val="24"/>
              </w:rPr>
              <w:t>2021</w:t>
            </w:r>
            <w:r w:rsidR="00EF2AB4">
              <w:rPr>
                <w:rFonts w:asciiTheme="majorHAnsi" w:hAnsiTheme="majorHAnsi" w:cstheme="majorHAnsi"/>
                <w:sz w:val="24"/>
                <w:szCs w:val="24"/>
              </w:rPr>
              <w:t>.</w:t>
            </w:r>
          </w:p>
          <w:p w14:paraId="017816D8" w14:textId="77777777" w:rsidR="00EB19CA" w:rsidRPr="00D462F0" w:rsidRDefault="00EB19CA" w:rsidP="00D462F0">
            <w:pPr>
              <w:jc w:val="both"/>
              <w:rPr>
                <w:rFonts w:asciiTheme="majorHAnsi" w:hAnsiTheme="majorHAnsi" w:cstheme="majorHAnsi"/>
                <w:sz w:val="24"/>
                <w:szCs w:val="24"/>
              </w:rPr>
            </w:pPr>
          </w:p>
        </w:tc>
        <w:tc>
          <w:tcPr>
            <w:tcW w:w="4075" w:type="dxa"/>
          </w:tcPr>
          <w:p w14:paraId="3EB9208F"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771107B3" w14:textId="77777777" w:rsidR="00EB19CA" w:rsidRPr="00D462F0" w:rsidRDefault="00EB19CA" w:rsidP="00D462F0">
            <w:pPr>
              <w:jc w:val="both"/>
              <w:rPr>
                <w:rFonts w:asciiTheme="majorHAnsi" w:hAnsiTheme="majorHAnsi" w:cstheme="majorHAnsi"/>
                <w:bCs/>
                <w:sz w:val="24"/>
                <w:szCs w:val="24"/>
              </w:rPr>
            </w:pPr>
          </w:p>
        </w:tc>
      </w:tr>
      <w:tr w:rsidR="00EB19CA" w:rsidRPr="00C93770" w14:paraId="640334B6" w14:textId="77777777" w:rsidTr="1756A420">
        <w:tc>
          <w:tcPr>
            <w:tcW w:w="4074" w:type="dxa"/>
          </w:tcPr>
          <w:p w14:paraId="284C4773" w14:textId="5F22F3A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115DD11C" w14:textId="5AE92D9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as</w:t>
            </w:r>
            <w:proofErr w:type="gramEnd"/>
            <w:r w:rsidRPr="00D462F0">
              <w:rPr>
                <w:rFonts w:asciiTheme="majorHAnsi" w:hAnsiTheme="majorHAnsi" w:cstheme="majorHAnsi"/>
                <w:bCs/>
                <w:color w:val="0000FF"/>
                <w:sz w:val="24"/>
                <w:szCs w:val="24"/>
              </w:rPr>
              <w:t xml:space="preserve"> regras específicas de subscrição e integralização das cotas, incluindo prazos, chamadas de capital, classes de cotas e eventuais restrições a investidores, nos termos da Lei nº 14.130, de 2021, e da regulamentação da Comissão de Valores Mobiliários;</w:t>
            </w:r>
          </w:p>
        </w:tc>
        <w:tc>
          <w:tcPr>
            <w:tcW w:w="4074" w:type="dxa"/>
          </w:tcPr>
          <w:p w14:paraId="572BD9D7" w14:textId="3E88073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Assegura que a EFPC compreenda adequadamente as regras específicas de captação e integralização dos Fundo de Investimento nas Cadeias Agroindustriais, incluindo eventuais chamadas de capital e diferentes classes de cotas, elementos essenciais </w:t>
            </w:r>
            <w:r w:rsidRPr="00D462F0">
              <w:rPr>
                <w:rFonts w:asciiTheme="majorHAnsi" w:hAnsiTheme="majorHAnsi" w:cstheme="majorHAnsi"/>
                <w:sz w:val="24"/>
                <w:szCs w:val="24"/>
              </w:rPr>
              <w:lastRenderedPageBreak/>
              <w:t>para o planejamento de fluxo de caixa e compatibilidade com o passivo atuarial dos planos previdenciários.</w:t>
            </w:r>
          </w:p>
        </w:tc>
        <w:tc>
          <w:tcPr>
            <w:tcW w:w="4075" w:type="dxa"/>
          </w:tcPr>
          <w:p w14:paraId="03891296"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lastRenderedPageBreak/>
              <w:t>Alínea “a” do Inciso V do art. 4º do Decreto nº 10.411, de 2020.</w:t>
            </w:r>
          </w:p>
          <w:p w14:paraId="4850EF90" w14:textId="77777777" w:rsidR="00EB19CA" w:rsidRPr="00D462F0" w:rsidRDefault="00EB19CA" w:rsidP="00D462F0">
            <w:pPr>
              <w:jc w:val="both"/>
              <w:rPr>
                <w:rFonts w:asciiTheme="majorHAnsi" w:hAnsiTheme="majorHAnsi" w:cstheme="majorHAnsi"/>
                <w:bCs/>
                <w:sz w:val="24"/>
                <w:szCs w:val="24"/>
              </w:rPr>
            </w:pPr>
          </w:p>
        </w:tc>
      </w:tr>
      <w:tr w:rsidR="00EB19CA" w:rsidRPr="00C93770" w14:paraId="156A87A5" w14:textId="77777777" w:rsidTr="1756A420">
        <w:tc>
          <w:tcPr>
            <w:tcW w:w="4074" w:type="dxa"/>
          </w:tcPr>
          <w:p w14:paraId="6A0A1C4E" w14:textId="3C9ABCE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20ECD5A6" w14:textId="174E2E3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a</w:t>
            </w:r>
            <w:proofErr w:type="gramEnd"/>
            <w:r w:rsidRPr="00D462F0">
              <w:rPr>
                <w:rFonts w:asciiTheme="majorHAnsi" w:hAnsiTheme="majorHAnsi" w:cstheme="majorHAnsi"/>
                <w:bCs/>
                <w:color w:val="0000FF"/>
                <w:sz w:val="24"/>
                <w:szCs w:val="24"/>
              </w:rPr>
              <w:t xml:space="preserve"> política de distribuição de rendimentos e, quando aplicável, de amortização ordinária de cotas, explicitando periodicidade, critérios de retenção e prioridades de pagamento;</w:t>
            </w:r>
          </w:p>
        </w:tc>
        <w:tc>
          <w:tcPr>
            <w:tcW w:w="4074" w:type="dxa"/>
          </w:tcPr>
          <w:p w14:paraId="38CCF7B4" w14:textId="763A191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Permite à EFPC avaliar a regularidade e previsibilidade dos rendimentos do Fundo de Investimento nas Cadeias Agroindustriais, informação fundamental para o gerenciamento de liquidez e cumprimento dos compromissos previdenciários com os participantes e assistidos</w:t>
            </w:r>
            <w:r w:rsidR="00EF2AB4">
              <w:rPr>
                <w:rFonts w:asciiTheme="majorHAnsi" w:hAnsiTheme="majorHAnsi" w:cstheme="majorHAnsi"/>
                <w:sz w:val="24"/>
                <w:szCs w:val="24"/>
              </w:rPr>
              <w:t>.</w:t>
            </w:r>
          </w:p>
        </w:tc>
        <w:tc>
          <w:tcPr>
            <w:tcW w:w="4075" w:type="dxa"/>
          </w:tcPr>
          <w:p w14:paraId="000140D5"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2A478949" w14:textId="77777777" w:rsidR="00EB19CA" w:rsidRPr="00D462F0" w:rsidRDefault="00EB19CA" w:rsidP="00D462F0">
            <w:pPr>
              <w:jc w:val="both"/>
              <w:rPr>
                <w:rFonts w:asciiTheme="majorHAnsi" w:hAnsiTheme="majorHAnsi" w:cstheme="majorHAnsi"/>
                <w:bCs/>
                <w:sz w:val="24"/>
                <w:szCs w:val="24"/>
              </w:rPr>
            </w:pPr>
          </w:p>
        </w:tc>
      </w:tr>
      <w:tr w:rsidR="00EB19CA" w:rsidRPr="00C93770" w14:paraId="1DAD51D1" w14:textId="77777777" w:rsidTr="1756A420">
        <w:tc>
          <w:tcPr>
            <w:tcW w:w="4074" w:type="dxa"/>
          </w:tcPr>
          <w:p w14:paraId="32E27B6A" w14:textId="4B20CE8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5A56D5F" w14:textId="449FA56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III – a política de divulgação de informações, garantindo tempestividade e escopo mínimo de relatórios gerenciais, demonstrações financeiras, atas de assembleia e laudos de avaliação;</w:t>
            </w:r>
          </w:p>
        </w:tc>
        <w:tc>
          <w:tcPr>
            <w:tcW w:w="4074" w:type="dxa"/>
          </w:tcPr>
          <w:p w14:paraId="2661A384" w14:textId="3B9A178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Garante que a EFPC tenha acesso tempestivo às informações necessárias para o monitoramento contínuo do investimento, em linha com os deveres de transparência e prestação de contas previstos na regulamentação da previdência complementar.</w:t>
            </w:r>
          </w:p>
        </w:tc>
        <w:tc>
          <w:tcPr>
            <w:tcW w:w="4075" w:type="dxa"/>
          </w:tcPr>
          <w:p w14:paraId="218529C0"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0ACAB5CE" w14:textId="77777777" w:rsidR="00EB19CA" w:rsidRPr="00D462F0" w:rsidRDefault="00EB19CA" w:rsidP="00D462F0">
            <w:pPr>
              <w:jc w:val="both"/>
              <w:rPr>
                <w:rFonts w:asciiTheme="majorHAnsi" w:hAnsiTheme="majorHAnsi" w:cstheme="majorHAnsi"/>
                <w:bCs/>
                <w:sz w:val="24"/>
                <w:szCs w:val="24"/>
              </w:rPr>
            </w:pPr>
          </w:p>
        </w:tc>
      </w:tr>
      <w:tr w:rsidR="00EB19CA" w:rsidRPr="00C93770" w14:paraId="68639C03" w14:textId="77777777" w:rsidTr="1756A420">
        <w:tc>
          <w:tcPr>
            <w:tcW w:w="4074" w:type="dxa"/>
          </w:tcPr>
          <w:p w14:paraId="1D287853" w14:textId="0C9F7BD3"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49CC0E0" w14:textId="3FD9156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IV – </w:t>
            </w:r>
            <w:proofErr w:type="gramStart"/>
            <w:r w:rsidRPr="00D462F0">
              <w:rPr>
                <w:rFonts w:asciiTheme="majorHAnsi" w:hAnsiTheme="majorHAnsi" w:cstheme="majorHAnsi"/>
                <w:bCs/>
                <w:color w:val="0000FF"/>
                <w:sz w:val="24"/>
                <w:szCs w:val="24"/>
              </w:rPr>
              <w:t>a</w:t>
            </w:r>
            <w:proofErr w:type="gramEnd"/>
            <w:r w:rsidRPr="00D462F0">
              <w:rPr>
                <w:rFonts w:asciiTheme="majorHAnsi" w:hAnsiTheme="majorHAnsi" w:cstheme="majorHAnsi"/>
                <w:bCs/>
                <w:color w:val="0000FF"/>
                <w:sz w:val="24"/>
                <w:szCs w:val="24"/>
              </w:rPr>
              <w:t xml:space="preserve"> participação financeira do gestor, administrador e demais partes relacionadas no Fundo de Investimento nas Cadeias Agroindustriais, a fim de aferir o alinhamento de interesses entre gestores e cotistas;</w:t>
            </w:r>
          </w:p>
        </w:tc>
        <w:tc>
          <w:tcPr>
            <w:tcW w:w="4074" w:type="dxa"/>
          </w:tcPr>
          <w:p w14:paraId="7CA0181B" w14:textId="2DE2AA5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Verifica o alinhamento de interesses entre gestores e cotistas, mitigando potenciais conflitos de agência e assegurando que a gestão do fundo seja conduzida com foco na maximização de valor para os investidores</w:t>
            </w:r>
            <w:r w:rsidR="00EF2AB4">
              <w:rPr>
                <w:rFonts w:asciiTheme="majorHAnsi" w:hAnsiTheme="majorHAnsi" w:cstheme="majorHAnsi"/>
                <w:sz w:val="24"/>
                <w:szCs w:val="24"/>
              </w:rPr>
              <w:t>.</w:t>
            </w:r>
          </w:p>
        </w:tc>
        <w:tc>
          <w:tcPr>
            <w:tcW w:w="4075" w:type="dxa"/>
          </w:tcPr>
          <w:p w14:paraId="0F7522D4"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24C9AFA2" w14:textId="77777777" w:rsidR="00EB19CA" w:rsidRPr="00D462F0" w:rsidRDefault="00EB19CA" w:rsidP="00D462F0">
            <w:pPr>
              <w:jc w:val="both"/>
              <w:rPr>
                <w:rFonts w:asciiTheme="majorHAnsi" w:hAnsiTheme="majorHAnsi" w:cstheme="majorHAnsi"/>
                <w:bCs/>
                <w:sz w:val="24"/>
                <w:szCs w:val="24"/>
              </w:rPr>
            </w:pPr>
          </w:p>
        </w:tc>
      </w:tr>
      <w:tr w:rsidR="00EB19CA" w:rsidRPr="00C93770" w14:paraId="6EB2B56E" w14:textId="77777777" w:rsidTr="1756A420">
        <w:tc>
          <w:tcPr>
            <w:tcW w:w="4074" w:type="dxa"/>
          </w:tcPr>
          <w:p w14:paraId="506507D7" w14:textId="1BC5E0E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4EEA9A65" w14:textId="1150E49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V – </w:t>
            </w:r>
            <w:proofErr w:type="gramStart"/>
            <w:r w:rsidRPr="00D462F0">
              <w:rPr>
                <w:rFonts w:asciiTheme="majorHAnsi" w:hAnsiTheme="majorHAnsi" w:cstheme="majorHAnsi"/>
                <w:bCs/>
                <w:color w:val="0000FF"/>
                <w:sz w:val="24"/>
                <w:szCs w:val="24"/>
              </w:rPr>
              <w:t>a</w:t>
            </w:r>
            <w:proofErr w:type="gramEnd"/>
            <w:r w:rsidRPr="00D462F0">
              <w:rPr>
                <w:rFonts w:asciiTheme="majorHAnsi" w:hAnsiTheme="majorHAnsi" w:cstheme="majorHAnsi"/>
                <w:bCs/>
                <w:color w:val="0000FF"/>
                <w:sz w:val="24"/>
                <w:szCs w:val="24"/>
              </w:rPr>
              <w:t xml:space="preserve"> duração do fundo, bem como os períodos de investimento e de desinvestimento previstos;</w:t>
            </w:r>
          </w:p>
        </w:tc>
        <w:tc>
          <w:tcPr>
            <w:tcW w:w="4074" w:type="dxa"/>
          </w:tcPr>
          <w:p w14:paraId="193205FC" w14:textId="6BAE34B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Permite à EFPC avaliar a compatibilidade do horizonte de investimento do Fundo de Investimento nas Cadeias Agroindustriais com o perfil de longo prazo dos planos de benefícios, considerando os períodos de carência e diferimento dos benefícios previdenciários</w:t>
            </w:r>
            <w:r w:rsidR="00EF2AB4">
              <w:rPr>
                <w:rFonts w:asciiTheme="majorHAnsi" w:hAnsiTheme="majorHAnsi" w:cstheme="majorHAnsi"/>
                <w:sz w:val="24"/>
                <w:szCs w:val="24"/>
              </w:rPr>
              <w:t>.</w:t>
            </w:r>
          </w:p>
        </w:tc>
        <w:tc>
          <w:tcPr>
            <w:tcW w:w="4075" w:type="dxa"/>
          </w:tcPr>
          <w:p w14:paraId="4C92EEFE" w14:textId="77777777" w:rsidR="00EB19CA" w:rsidRPr="00D462F0" w:rsidRDefault="00EB19CA" w:rsidP="00D462F0">
            <w:pPr>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p w14:paraId="2F1C609A" w14:textId="77777777" w:rsidR="00EB19CA" w:rsidRPr="00D462F0" w:rsidRDefault="00EB19CA" w:rsidP="00D462F0">
            <w:pPr>
              <w:jc w:val="both"/>
              <w:rPr>
                <w:rFonts w:asciiTheme="majorHAnsi" w:hAnsiTheme="majorHAnsi" w:cstheme="majorHAnsi"/>
                <w:bCs/>
                <w:sz w:val="24"/>
                <w:szCs w:val="24"/>
              </w:rPr>
            </w:pPr>
          </w:p>
        </w:tc>
      </w:tr>
      <w:tr w:rsidR="00EB19CA" w:rsidRPr="00C93770" w14:paraId="291B73B3" w14:textId="77777777" w:rsidTr="1756A420">
        <w:tc>
          <w:tcPr>
            <w:tcW w:w="4074" w:type="dxa"/>
          </w:tcPr>
          <w:p w14:paraId="58E733B9" w14:textId="3BE7606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8B8164D" w14:textId="4870BF1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VI – </w:t>
            </w:r>
            <w:proofErr w:type="gramStart"/>
            <w:r w:rsidRPr="00D462F0">
              <w:rPr>
                <w:rFonts w:asciiTheme="majorHAnsi" w:hAnsiTheme="majorHAnsi" w:cstheme="majorHAnsi"/>
                <w:bCs/>
                <w:color w:val="0000FF"/>
                <w:sz w:val="24"/>
                <w:szCs w:val="24"/>
              </w:rPr>
              <w:t>os</w:t>
            </w:r>
            <w:proofErr w:type="gramEnd"/>
            <w:r w:rsidRPr="00D462F0">
              <w:rPr>
                <w:rFonts w:asciiTheme="majorHAnsi" w:hAnsiTheme="majorHAnsi" w:cstheme="majorHAnsi"/>
                <w:bCs/>
                <w:color w:val="0000FF"/>
                <w:sz w:val="24"/>
                <w:szCs w:val="24"/>
              </w:rPr>
              <w:t xml:space="preserve"> critérios, metodologias e periodicidade de avaliação dos ativos a valor justo, realizados pelo gestor ou por avaliador independente, assegurando aderência às normas da Comissão de Valores Mobiliários;</w:t>
            </w:r>
          </w:p>
        </w:tc>
        <w:tc>
          <w:tcPr>
            <w:tcW w:w="4074" w:type="dxa"/>
          </w:tcPr>
          <w:p w14:paraId="093C5680" w14:textId="1528E0D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Assegura que a avaliação dos ativos do Fundo de Investimento nas Cadeias Agroindustriais seja realizada de forma adequada e em conformidade com as normas da CVM, permitindo precificação justa das cotas e </w:t>
            </w:r>
            <w:r w:rsidRPr="00D462F0">
              <w:rPr>
                <w:rFonts w:asciiTheme="majorHAnsi" w:hAnsiTheme="majorHAnsi" w:cstheme="majorHAnsi"/>
                <w:sz w:val="24"/>
                <w:szCs w:val="24"/>
              </w:rPr>
              <w:lastRenderedPageBreak/>
              <w:t>transparência na valoração dos investimentos</w:t>
            </w:r>
            <w:r w:rsidR="00EF2AB4">
              <w:rPr>
                <w:rFonts w:asciiTheme="majorHAnsi" w:hAnsiTheme="majorHAnsi" w:cstheme="majorHAnsi"/>
                <w:sz w:val="24"/>
                <w:szCs w:val="24"/>
              </w:rPr>
              <w:t>.</w:t>
            </w:r>
          </w:p>
        </w:tc>
        <w:tc>
          <w:tcPr>
            <w:tcW w:w="4075" w:type="dxa"/>
          </w:tcPr>
          <w:p w14:paraId="6ACF2DC3" w14:textId="65E104FA"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lastRenderedPageBreak/>
              <w:t>Alínea “a” do Inciso V do art. 4º do Decreto nº 10.411, de 2020.</w:t>
            </w:r>
          </w:p>
        </w:tc>
      </w:tr>
      <w:tr w:rsidR="00EB19CA" w:rsidRPr="00C93770" w14:paraId="4C3B4D67" w14:textId="77777777" w:rsidTr="1756A420">
        <w:tc>
          <w:tcPr>
            <w:tcW w:w="4074" w:type="dxa"/>
          </w:tcPr>
          <w:p w14:paraId="03DA98A9" w14:textId="0488CED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741F4A8E" w14:textId="28601DA4" w:rsidR="00EB19CA" w:rsidRPr="00D462F0" w:rsidRDefault="00EA698E" w:rsidP="00D462F0">
            <w:pPr>
              <w:jc w:val="both"/>
              <w:rPr>
                <w:rFonts w:asciiTheme="majorHAnsi" w:hAnsiTheme="majorHAnsi" w:cstheme="majorHAnsi"/>
                <w:bCs/>
                <w:sz w:val="24"/>
                <w:szCs w:val="24"/>
              </w:rPr>
            </w:pPr>
            <w:r>
              <w:rPr>
                <w:rFonts w:asciiTheme="majorHAnsi" w:hAnsiTheme="majorHAnsi" w:cstheme="majorHAnsi"/>
                <w:bCs/>
                <w:color w:val="0000FF"/>
                <w:sz w:val="24"/>
                <w:szCs w:val="24"/>
              </w:rPr>
              <w:t>VII</w:t>
            </w:r>
            <w:r w:rsidR="00EB19CA" w:rsidRPr="00D462F0">
              <w:rPr>
                <w:rFonts w:asciiTheme="majorHAnsi" w:hAnsiTheme="majorHAnsi" w:cstheme="majorHAnsi"/>
                <w:bCs/>
                <w:color w:val="0000FF"/>
                <w:sz w:val="24"/>
                <w:szCs w:val="24"/>
              </w:rPr>
              <w:t xml:space="preserve"> – a política de contratação de consultores e terceiros para apoio na gestão do Fundo de Investimento nas Cadeias Agroindustriais ou de seus ativos-alvo; </w:t>
            </w:r>
          </w:p>
        </w:tc>
        <w:tc>
          <w:tcPr>
            <w:tcW w:w="4074" w:type="dxa"/>
          </w:tcPr>
          <w:p w14:paraId="6F7C2E82" w14:textId="5C457C7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Permite à EFPC compreender a estrutura de custos e a qualidade dos prestadores de serviços contratados pelo Fundo de Investimento nas Cadeias Agroindustriais, aspectos que impactam diretamente na rentabilidade líquida do investimento</w:t>
            </w:r>
            <w:r w:rsidR="00EF2AB4">
              <w:rPr>
                <w:rFonts w:asciiTheme="majorHAnsi" w:hAnsiTheme="majorHAnsi" w:cstheme="majorHAnsi"/>
                <w:sz w:val="24"/>
                <w:szCs w:val="24"/>
              </w:rPr>
              <w:t>.</w:t>
            </w:r>
          </w:p>
        </w:tc>
        <w:tc>
          <w:tcPr>
            <w:tcW w:w="4075" w:type="dxa"/>
          </w:tcPr>
          <w:p w14:paraId="0A111410" w14:textId="0A52B67B"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Alínea “a” do </w:t>
            </w: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V</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tc>
      </w:tr>
      <w:tr w:rsidR="00EB19CA" w:rsidRPr="00C93770" w14:paraId="46704259" w14:textId="77777777" w:rsidTr="1756A420">
        <w:tc>
          <w:tcPr>
            <w:tcW w:w="4074" w:type="dxa"/>
          </w:tcPr>
          <w:p w14:paraId="1A154CF9" w14:textId="222F45D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E36BD28" w14:textId="0A5DE437" w:rsidR="00EB19CA" w:rsidRPr="00D462F0" w:rsidRDefault="00EA698E" w:rsidP="00D462F0">
            <w:pPr>
              <w:jc w:val="both"/>
              <w:rPr>
                <w:rFonts w:asciiTheme="majorHAnsi" w:hAnsiTheme="majorHAnsi" w:cstheme="majorHAnsi"/>
                <w:bCs/>
                <w:sz w:val="24"/>
                <w:szCs w:val="24"/>
              </w:rPr>
            </w:pPr>
            <w:r>
              <w:rPr>
                <w:rFonts w:asciiTheme="majorHAnsi" w:hAnsiTheme="majorHAnsi" w:cstheme="majorHAnsi"/>
                <w:bCs/>
                <w:color w:val="0000FF"/>
                <w:sz w:val="24"/>
                <w:szCs w:val="24"/>
              </w:rPr>
              <w:t>VIII</w:t>
            </w:r>
            <w:r w:rsidRPr="00D462F0">
              <w:rPr>
                <w:rFonts w:asciiTheme="majorHAnsi" w:hAnsiTheme="majorHAnsi" w:cstheme="majorHAnsi"/>
                <w:bCs/>
                <w:color w:val="0000FF"/>
                <w:sz w:val="24"/>
                <w:szCs w:val="24"/>
              </w:rPr>
              <w:t xml:space="preserve"> </w:t>
            </w:r>
            <w:r w:rsidR="00EB19CA" w:rsidRPr="00D462F0">
              <w:rPr>
                <w:rFonts w:asciiTheme="majorHAnsi" w:hAnsiTheme="majorHAnsi" w:cstheme="majorHAnsi"/>
                <w:bCs/>
                <w:color w:val="0000FF"/>
                <w:sz w:val="24"/>
                <w:szCs w:val="24"/>
              </w:rPr>
              <w:t>– a composição e estrutura da carteira, abrangendo origem e características de direitos creditórios, imóveis rurais, participações societárias e demais ativos, perfil de cedentes ou emissores, níveis de subordinação e histórico de inadimplência;</w:t>
            </w:r>
          </w:p>
        </w:tc>
        <w:tc>
          <w:tcPr>
            <w:tcW w:w="4074" w:type="dxa"/>
          </w:tcPr>
          <w:p w14:paraId="5503730F" w14:textId="70C54A4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Proporciona entendimento detalhado sobre a composição e diversificação da carteira do Fundo de Investimento nas Cadeias Agroindustriais, permitindo análise adequada dos riscos de concentração e crédito inerentes aos ativos agroindustriais</w:t>
            </w:r>
            <w:r w:rsidR="00EF2AB4">
              <w:rPr>
                <w:rFonts w:asciiTheme="majorHAnsi" w:hAnsiTheme="majorHAnsi" w:cstheme="majorHAnsi"/>
                <w:sz w:val="24"/>
                <w:szCs w:val="24"/>
              </w:rPr>
              <w:t>.</w:t>
            </w:r>
          </w:p>
        </w:tc>
        <w:tc>
          <w:tcPr>
            <w:tcW w:w="4075" w:type="dxa"/>
          </w:tcPr>
          <w:p w14:paraId="0061E3E4" w14:textId="33AC53D0"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47303DD1" w14:textId="77777777" w:rsidTr="1756A420">
        <w:tc>
          <w:tcPr>
            <w:tcW w:w="4074" w:type="dxa"/>
          </w:tcPr>
          <w:p w14:paraId="5BAE23BA" w14:textId="75181F36"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429D852A" w14:textId="4F08B7F8" w:rsidR="00EB19CA" w:rsidRPr="00D462F0" w:rsidRDefault="00EA698E" w:rsidP="00D462F0">
            <w:pPr>
              <w:jc w:val="both"/>
              <w:rPr>
                <w:rFonts w:asciiTheme="majorHAnsi" w:hAnsiTheme="majorHAnsi" w:cstheme="majorHAnsi"/>
                <w:bCs/>
                <w:sz w:val="24"/>
                <w:szCs w:val="24"/>
              </w:rPr>
            </w:pPr>
            <w:r>
              <w:rPr>
                <w:rFonts w:asciiTheme="majorHAnsi" w:hAnsiTheme="majorHAnsi" w:cstheme="majorHAnsi"/>
                <w:bCs/>
                <w:color w:val="0000FF"/>
                <w:sz w:val="24"/>
                <w:szCs w:val="24"/>
              </w:rPr>
              <w:t>I</w:t>
            </w:r>
            <w:r w:rsidR="00EB19CA" w:rsidRPr="00D462F0">
              <w:rPr>
                <w:rFonts w:asciiTheme="majorHAnsi" w:hAnsiTheme="majorHAnsi" w:cstheme="majorHAnsi"/>
                <w:bCs/>
                <w:color w:val="0000FF"/>
                <w:sz w:val="24"/>
                <w:szCs w:val="24"/>
              </w:rPr>
              <w:t xml:space="preserve">X – </w:t>
            </w:r>
            <w:proofErr w:type="gramStart"/>
            <w:r w:rsidR="00EB19CA" w:rsidRPr="00D462F0">
              <w:rPr>
                <w:rFonts w:asciiTheme="majorHAnsi" w:hAnsiTheme="majorHAnsi" w:cstheme="majorHAnsi"/>
                <w:bCs/>
                <w:color w:val="0000FF"/>
                <w:sz w:val="24"/>
                <w:szCs w:val="24"/>
              </w:rPr>
              <w:t>os</w:t>
            </w:r>
            <w:proofErr w:type="gramEnd"/>
            <w:r w:rsidR="00EB19CA" w:rsidRPr="00D462F0">
              <w:rPr>
                <w:rFonts w:asciiTheme="majorHAnsi" w:hAnsiTheme="majorHAnsi" w:cstheme="majorHAnsi"/>
                <w:bCs/>
                <w:color w:val="0000FF"/>
                <w:sz w:val="24"/>
                <w:szCs w:val="24"/>
              </w:rPr>
              <w:t xml:space="preserve"> mecanismos de proteção previstos no regulamento;</w:t>
            </w:r>
          </w:p>
        </w:tc>
        <w:tc>
          <w:tcPr>
            <w:tcW w:w="4074" w:type="dxa"/>
          </w:tcPr>
          <w:p w14:paraId="300A79FF" w14:textId="5BBE9C11"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Identifica os mecanismos de proteção disponíveis no fundo, elementos cruciais para a análise de risco-retorno e adequação do investimento ao perfil conservador tradicionalmente requerido para as EFPC</w:t>
            </w:r>
            <w:r w:rsidR="00EF2AB4">
              <w:rPr>
                <w:rFonts w:asciiTheme="majorHAnsi" w:hAnsiTheme="majorHAnsi" w:cstheme="majorHAnsi"/>
                <w:sz w:val="24"/>
                <w:szCs w:val="24"/>
              </w:rPr>
              <w:t>.</w:t>
            </w:r>
          </w:p>
        </w:tc>
        <w:tc>
          <w:tcPr>
            <w:tcW w:w="4075" w:type="dxa"/>
          </w:tcPr>
          <w:p w14:paraId="1CF6E808" w14:textId="2ACA2DAB"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51ECB475" w14:textId="77777777" w:rsidTr="1756A420">
        <w:tc>
          <w:tcPr>
            <w:tcW w:w="4074" w:type="dxa"/>
          </w:tcPr>
          <w:p w14:paraId="20C05CA2" w14:textId="2946C2C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0EAE874D" w14:textId="1C86827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xml:space="preserve">X – </w:t>
            </w:r>
            <w:proofErr w:type="gramStart"/>
            <w:r w:rsidRPr="00D462F0">
              <w:rPr>
                <w:rFonts w:asciiTheme="majorHAnsi" w:hAnsiTheme="majorHAnsi" w:cstheme="majorHAnsi"/>
                <w:bCs/>
                <w:color w:val="0000FF"/>
                <w:sz w:val="24"/>
                <w:szCs w:val="24"/>
              </w:rPr>
              <w:t>as</w:t>
            </w:r>
            <w:proofErr w:type="gramEnd"/>
            <w:r w:rsidRPr="00D462F0">
              <w:rPr>
                <w:rFonts w:asciiTheme="majorHAnsi" w:hAnsiTheme="majorHAnsi" w:cstheme="majorHAnsi"/>
                <w:bCs/>
                <w:color w:val="0000FF"/>
                <w:sz w:val="24"/>
                <w:szCs w:val="24"/>
              </w:rPr>
              <w:t xml:space="preserve"> características e riscos específicos dos ativos-alvo, incluindo aspectos fundiários, ambientais, climáticos e de mercado que possam afetar tais ativos;</w:t>
            </w:r>
          </w:p>
        </w:tc>
        <w:tc>
          <w:tcPr>
            <w:tcW w:w="4074" w:type="dxa"/>
          </w:tcPr>
          <w:p w14:paraId="58893D48" w14:textId="3A762D2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Reconhece as especificidades e riscos inerentes aos ativos do agronegócio, incluindo riscos climáticos, ambientais e regulatórios específicos do setor, permitindo avaliação adequada do perfil de risco do investimento</w:t>
            </w:r>
            <w:r w:rsidR="00EF2AB4">
              <w:rPr>
                <w:rFonts w:asciiTheme="majorHAnsi" w:hAnsiTheme="majorHAnsi" w:cstheme="majorHAnsi"/>
                <w:sz w:val="24"/>
                <w:szCs w:val="24"/>
              </w:rPr>
              <w:t>.</w:t>
            </w:r>
          </w:p>
        </w:tc>
        <w:tc>
          <w:tcPr>
            <w:tcW w:w="4075" w:type="dxa"/>
          </w:tcPr>
          <w:p w14:paraId="2400E8B9" w14:textId="19BDDE9C"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70A6C295" w14:textId="77777777" w:rsidTr="1756A420">
        <w:tc>
          <w:tcPr>
            <w:tcW w:w="4074" w:type="dxa"/>
          </w:tcPr>
          <w:p w14:paraId="00D3CFA3" w14:textId="2411CBD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58D15F9A" w14:textId="6F47826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XI – o laudo de avaliação dos ativos relevantes, elaborado por avaliador independente, e as metodologias empregadas;</w:t>
            </w:r>
          </w:p>
        </w:tc>
        <w:tc>
          <w:tcPr>
            <w:tcW w:w="4074" w:type="dxa"/>
          </w:tcPr>
          <w:p w14:paraId="734D8A68" w14:textId="62AE864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Assegura que a EFPC tenha acesso a avaliações técnicas independentes dos principais ativos do Fundo de Investimento nas Cadeias Agroindustriais, fornecendo base sólida para a análise de risco e tomada de decisão de investimento</w:t>
            </w:r>
            <w:r w:rsidR="00EF2AB4">
              <w:rPr>
                <w:rFonts w:asciiTheme="majorHAnsi" w:hAnsiTheme="majorHAnsi" w:cstheme="majorHAnsi"/>
                <w:sz w:val="24"/>
                <w:szCs w:val="24"/>
              </w:rPr>
              <w:t>.</w:t>
            </w:r>
          </w:p>
        </w:tc>
        <w:tc>
          <w:tcPr>
            <w:tcW w:w="4075" w:type="dxa"/>
          </w:tcPr>
          <w:p w14:paraId="00C3BFEE" w14:textId="239F7E32"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653EE95C" w14:textId="77777777" w:rsidTr="1756A420">
        <w:tc>
          <w:tcPr>
            <w:tcW w:w="4074" w:type="dxa"/>
          </w:tcPr>
          <w:p w14:paraId="4883C604" w14:textId="38B91CCE"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02505E73" w14:textId="25631A6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XI</w:t>
            </w:r>
            <w:r w:rsidR="00EA698E">
              <w:rPr>
                <w:rFonts w:asciiTheme="majorHAnsi" w:hAnsiTheme="majorHAnsi" w:cstheme="majorHAnsi"/>
                <w:bCs/>
                <w:color w:val="0000FF"/>
                <w:sz w:val="24"/>
                <w:szCs w:val="24"/>
              </w:rPr>
              <w:t>I</w:t>
            </w:r>
            <w:r w:rsidRPr="00D462F0">
              <w:rPr>
                <w:rFonts w:asciiTheme="majorHAnsi" w:hAnsiTheme="majorHAnsi" w:cstheme="majorHAnsi"/>
                <w:bCs/>
                <w:color w:val="0000FF"/>
                <w:sz w:val="24"/>
                <w:szCs w:val="24"/>
              </w:rPr>
              <w:t xml:space="preserve"> – quaisquer eventos ou fatos relevantes relativos ao Fundo de Investimento nas Cadeias </w:t>
            </w:r>
            <w:r w:rsidRPr="00D462F0">
              <w:rPr>
                <w:rFonts w:asciiTheme="majorHAnsi" w:hAnsiTheme="majorHAnsi" w:cstheme="majorHAnsi"/>
                <w:bCs/>
                <w:color w:val="0000FF"/>
                <w:sz w:val="24"/>
                <w:szCs w:val="24"/>
              </w:rPr>
              <w:lastRenderedPageBreak/>
              <w:t>Agroindustriais ou a seus ativos que possam impactar significativamente a decisão de investimento ou a rentabilidade das cotas;</w:t>
            </w:r>
          </w:p>
        </w:tc>
        <w:tc>
          <w:tcPr>
            <w:tcW w:w="4074" w:type="dxa"/>
          </w:tcPr>
          <w:p w14:paraId="604410D5" w14:textId="5C63626F"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Garante que eventos materiais que possam afetar significativamente o desempenho do fundo sejam </w:t>
            </w:r>
            <w:r w:rsidRPr="00D462F0">
              <w:rPr>
                <w:rFonts w:asciiTheme="majorHAnsi" w:hAnsiTheme="majorHAnsi" w:cstheme="majorHAnsi"/>
                <w:sz w:val="24"/>
                <w:szCs w:val="24"/>
              </w:rPr>
              <w:lastRenderedPageBreak/>
              <w:t>adequadamente considerados na análise de investimento, permitindo decisões mais informadas</w:t>
            </w:r>
            <w:r w:rsidR="00EF2AB4">
              <w:rPr>
                <w:rFonts w:asciiTheme="majorHAnsi" w:hAnsiTheme="majorHAnsi" w:cstheme="majorHAnsi"/>
                <w:sz w:val="24"/>
                <w:szCs w:val="24"/>
              </w:rPr>
              <w:t>.</w:t>
            </w:r>
          </w:p>
        </w:tc>
        <w:tc>
          <w:tcPr>
            <w:tcW w:w="4075" w:type="dxa"/>
          </w:tcPr>
          <w:p w14:paraId="2E4697EB" w14:textId="23499661"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lastRenderedPageBreak/>
              <w:t xml:space="preserve">Alínea “a” do </w:t>
            </w:r>
            <w:r w:rsidRPr="00D462F0">
              <w:rPr>
                <w:rFonts w:asciiTheme="majorHAnsi" w:hAnsiTheme="majorHAnsi" w:cstheme="majorHAnsi"/>
                <w:bCs/>
                <w:sz w:val="24"/>
                <w:szCs w:val="24"/>
              </w:rPr>
              <w:t xml:space="preserve">Inciso </w:t>
            </w:r>
            <w:r w:rsidRPr="00D462F0">
              <w:rPr>
                <w:rFonts w:asciiTheme="majorHAnsi" w:eastAsia="Calibri" w:hAnsiTheme="majorHAnsi" w:cstheme="majorHAnsi"/>
                <w:bCs/>
                <w:sz w:val="24"/>
                <w:szCs w:val="24"/>
              </w:rPr>
              <w:t>V</w:t>
            </w:r>
            <w:r w:rsidRPr="00D462F0">
              <w:rPr>
                <w:rFonts w:asciiTheme="majorHAnsi"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tc>
      </w:tr>
      <w:tr w:rsidR="00EB19CA" w:rsidRPr="00C93770" w14:paraId="519A5C8D" w14:textId="77777777" w:rsidTr="1756A420">
        <w:tc>
          <w:tcPr>
            <w:tcW w:w="4074" w:type="dxa"/>
          </w:tcPr>
          <w:p w14:paraId="398B6A34" w14:textId="591ABE9C"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3476296E" w14:textId="65F827C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X</w:t>
            </w:r>
            <w:r w:rsidR="00EA698E">
              <w:rPr>
                <w:rFonts w:asciiTheme="majorHAnsi" w:hAnsiTheme="majorHAnsi" w:cstheme="majorHAnsi"/>
                <w:bCs/>
                <w:color w:val="0000FF"/>
                <w:sz w:val="24"/>
                <w:szCs w:val="24"/>
              </w:rPr>
              <w:t>III</w:t>
            </w:r>
            <w:r w:rsidRPr="00D462F0">
              <w:rPr>
                <w:rFonts w:asciiTheme="majorHAnsi" w:hAnsiTheme="majorHAnsi" w:cstheme="majorHAnsi"/>
                <w:bCs/>
                <w:color w:val="0000FF"/>
                <w:sz w:val="24"/>
                <w:szCs w:val="24"/>
              </w:rPr>
              <w:t xml:space="preserve"> – a estrutura de governança do fundo, contemplando composição e independência dos órgãos de administração e fiscalização, controles internos e políticas de compliance; e</w:t>
            </w:r>
          </w:p>
        </w:tc>
        <w:tc>
          <w:tcPr>
            <w:tcW w:w="4074" w:type="dxa"/>
          </w:tcPr>
          <w:p w14:paraId="342020F3" w14:textId="6BC41F14"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Avalia a qualidade da governança do Fundo de Investimento nas Cadeias Agroindustriais, aspecto fundamental para a gestão adequada dos recursos e proteção dos interesses dos cotistas, em linha com as melhores práticas de investimento das EFPC</w:t>
            </w:r>
            <w:r w:rsidR="00EF2AB4">
              <w:rPr>
                <w:rFonts w:asciiTheme="majorHAnsi" w:hAnsiTheme="majorHAnsi" w:cstheme="majorHAnsi"/>
                <w:sz w:val="24"/>
                <w:szCs w:val="24"/>
              </w:rPr>
              <w:t>.</w:t>
            </w:r>
          </w:p>
        </w:tc>
        <w:tc>
          <w:tcPr>
            <w:tcW w:w="4075" w:type="dxa"/>
          </w:tcPr>
          <w:p w14:paraId="4F9CE8C3" w14:textId="19E723CC"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 xml:space="preserve">Alínea “a” do </w:t>
            </w:r>
            <w:r w:rsidRPr="00D462F0">
              <w:rPr>
                <w:rFonts w:asciiTheme="majorHAnsi" w:hAnsiTheme="majorHAnsi" w:cstheme="majorHAnsi"/>
                <w:bCs/>
                <w:sz w:val="24"/>
                <w:szCs w:val="24"/>
              </w:rPr>
              <w:t xml:space="preserve">Inciso </w:t>
            </w:r>
            <w:r w:rsidRPr="00D462F0">
              <w:rPr>
                <w:rFonts w:asciiTheme="majorHAnsi" w:eastAsia="Calibri" w:hAnsiTheme="majorHAnsi" w:cstheme="majorHAnsi"/>
                <w:bCs/>
                <w:sz w:val="24"/>
                <w:szCs w:val="24"/>
              </w:rPr>
              <w:t>V</w:t>
            </w:r>
            <w:r w:rsidRPr="00D462F0">
              <w:rPr>
                <w:rFonts w:asciiTheme="majorHAnsi"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tc>
      </w:tr>
      <w:tr w:rsidR="00EB19CA" w:rsidRPr="00C93770" w14:paraId="261A38C1" w14:textId="77777777" w:rsidTr="1756A420">
        <w:tc>
          <w:tcPr>
            <w:tcW w:w="4074" w:type="dxa"/>
          </w:tcPr>
          <w:p w14:paraId="29DD73A7" w14:textId="5354FE28"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Sem referência anterior.</w:t>
            </w:r>
          </w:p>
        </w:tc>
        <w:tc>
          <w:tcPr>
            <w:tcW w:w="4074" w:type="dxa"/>
          </w:tcPr>
          <w:p w14:paraId="2FAA8CC2" w14:textId="7C1BA32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X</w:t>
            </w:r>
            <w:r w:rsidR="00EA698E">
              <w:rPr>
                <w:rFonts w:asciiTheme="majorHAnsi" w:hAnsiTheme="majorHAnsi" w:cstheme="majorHAnsi"/>
                <w:bCs/>
                <w:color w:val="0000FF"/>
                <w:sz w:val="24"/>
                <w:szCs w:val="24"/>
              </w:rPr>
              <w:t>I</w:t>
            </w:r>
            <w:r w:rsidRPr="00D462F0">
              <w:rPr>
                <w:rFonts w:asciiTheme="majorHAnsi" w:hAnsiTheme="majorHAnsi" w:cstheme="majorHAnsi"/>
                <w:bCs/>
                <w:color w:val="0000FF"/>
                <w:sz w:val="24"/>
                <w:szCs w:val="24"/>
              </w:rPr>
              <w:t>V – as estratégias de mitigação dos principais riscos identificados.</w:t>
            </w:r>
          </w:p>
        </w:tc>
        <w:tc>
          <w:tcPr>
            <w:tcW w:w="4074" w:type="dxa"/>
          </w:tcPr>
          <w:p w14:paraId="3CE6C611" w14:textId="5DE92B8A"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Identifica as estratégias de mitigação de riscos implementadas pelo fundo, permitindo à EFPC avaliar a adequação dessas medidas ao perfil de risco aceitável para os recursos previdenciários</w:t>
            </w:r>
            <w:r w:rsidR="00EF2AB4">
              <w:rPr>
                <w:rFonts w:asciiTheme="majorHAnsi" w:hAnsiTheme="majorHAnsi" w:cstheme="majorHAnsi"/>
                <w:sz w:val="24"/>
                <w:szCs w:val="24"/>
              </w:rPr>
              <w:t>.</w:t>
            </w:r>
          </w:p>
        </w:tc>
        <w:tc>
          <w:tcPr>
            <w:tcW w:w="4075" w:type="dxa"/>
          </w:tcPr>
          <w:p w14:paraId="7C4960F9" w14:textId="590FEEF0"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Alínea “a” do Inciso V do art. 4º do Decreto nº 10.411, de 2020.</w:t>
            </w:r>
          </w:p>
        </w:tc>
      </w:tr>
      <w:tr w:rsidR="00EB19CA" w:rsidRPr="00C93770" w14:paraId="06BEDB34" w14:textId="77777777" w:rsidTr="1756A420">
        <w:tc>
          <w:tcPr>
            <w:tcW w:w="4074" w:type="dxa"/>
          </w:tcPr>
          <w:p w14:paraId="357DFF8A" w14:textId="64AD5A5F" w:rsidR="00EB19CA" w:rsidRPr="0028717C" w:rsidRDefault="00EB19CA" w:rsidP="0028717C">
            <w:pPr>
              <w:jc w:val="center"/>
              <w:rPr>
                <w:rFonts w:asciiTheme="majorHAnsi" w:hAnsiTheme="majorHAnsi" w:cstheme="majorHAnsi"/>
                <w:bCs/>
                <w:sz w:val="24"/>
                <w:szCs w:val="24"/>
              </w:rPr>
            </w:pPr>
            <w:r w:rsidRPr="0028717C">
              <w:rPr>
                <w:rFonts w:asciiTheme="majorHAnsi" w:hAnsiTheme="majorHAnsi" w:cstheme="majorHAnsi"/>
                <w:bCs/>
                <w:sz w:val="24"/>
                <w:szCs w:val="24"/>
              </w:rPr>
              <w:t>...</w:t>
            </w:r>
          </w:p>
        </w:tc>
        <w:tc>
          <w:tcPr>
            <w:tcW w:w="4074" w:type="dxa"/>
          </w:tcPr>
          <w:p w14:paraId="3DC11398" w14:textId="5785F3EE" w:rsidR="00EB19CA" w:rsidRPr="0028717C" w:rsidRDefault="00EB19CA" w:rsidP="0028717C">
            <w:pPr>
              <w:jc w:val="center"/>
              <w:rPr>
                <w:rFonts w:asciiTheme="majorHAnsi" w:hAnsiTheme="majorHAnsi" w:cstheme="majorHAnsi"/>
                <w:bCs/>
                <w:sz w:val="24"/>
                <w:szCs w:val="24"/>
              </w:rPr>
            </w:pPr>
            <w:r w:rsidRPr="0028717C">
              <w:rPr>
                <w:rFonts w:asciiTheme="majorHAnsi" w:hAnsiTheme="majorHAnsi" w:cstheme="majorHAnsi"/>
                <w:bCs/>
                <w:sz w:val="24"/>
                <w:szCs w:val="24"/>
              </w:rPr>
              <w:t>...</w:t>
            </w:r>
          </w:p>
        </w:tc>
        <w:tc>
          <w:tcPr>
            <w:tcW w:w="4074" w:type="dxa"/>
          </w:tcPr>
          <w:p w14:paraId="33198C7B" w14:textId="77777777" w:rsidR="00EB19CA" w:rsidRPr="00D462F0" w:rsidRDefault="00EB19CA" w:rsidP="00D462F0">
            <w:pPr>
              <w:jc w:val="both"/>
              <w:rPr>
                <w:rFonts w:asciiTheme="majorHAnsi" w:hAnsiTheme="majorHAnsi" w:cstheme="majorHAnsi"/>
                <w:sz w:val="24"/>
                <w:szCs w:val="24"/>
              </w:rPr>
            </w:pPr>
          </w:p>
        </w:tc>
        <w:tc>
          <w:tcPr>
            <w:tcW w:w="4075" w:type="dxa"/>
          </w:tcPr>
          <w:p w14:paraId="762F117D" w14:textId="77777777" w:rsidR="00EB19CA" w:rsidRPr="00D462F0" w:rsidRDefault="00EB19CA" w:rsidP="00D462F0">
            <w:pPr>
              <w:jc w:val="both"/>
              <w:rPr>
                <w:rFonts w:asciiTheme="majorHAnsi" w:hAnsiTheme="majorHAnsi" w:cstheme="majorHAnsi"/>
                <w:bCs/>
                <w:sz w:val="24"/>
                <w:szCs w:val="24"/>
              </w:rPr>
            </w:pPr>
          </w:p>
        </w:tc>
      </w:tr>
      <w:tr w:rsidR="00EB19CA" w:rsidRPr="00C93770" w14:paraId="6CFA2EB9" w14:textId="77777777" w:rsidTr="1756A420">
        <w:tc>
          <w:tcPr>
            <w:tcW w:w="4074" w:type="dxa"/>
          </w:tcPr>
          <w:p w14:paraId="534E49B9" w14:textId="77777777" w:rsidR="00EB19CA" w:rsidRPr="0028717C" w:rsidRDefault="00EB19CA" w:rsidP="0028717C">
            <w:pPr>
              <w:jc w:val="center"/>
              <w:rPr>
                <w:rFonts w:asciiTheme="majorHAnsi" w:hAnsiTheme="majorHAnsi" w:cstheme="majorHAnsi"/>
                <w:b/>
                <w:sz w:val="24"/>
                <w:szCs w:val="24"/>
              </w:rPr>
            </w:pPr>
            <w:r w:rsidRPr="0028717C">
              <w:rPr>
                <w:rFonts w:asciiTheme="majorHAnsi" w:hAnsiTheme="majorHAnsi" w:cstheme="majorHAnsi"/>
                <w:b/>
                <w:sz w:val="24"/>
                <w:szCs w:val="24"/>
              </w:rPr>
              <w:t>Subseção VI</w:t>
            </w:r>
          </w:p>
          <w:p w14:paraId="5700072C" w14:textId="7D6F248E" w:rsidR="00EB19CA" w:rsidRPr="0028717C" w:rsidRDefault="00EB19CA" w:rsidP="0028717C">
            <w:pPr>
              <w:jc w:val="center"/>
              <w:rPr>
                <w:rFonts w:asciiTheme="majorHAnsi" w:hAnsiTheme="majorHAnsi" w:cstheme="majorHAnsi"/>
                <w:b/>
                <w:sz w:val="24"/>
                <w:szCs w:val="24"/>
              </w:rPr>
            </w:pPr>
            <w:r w:rsidRPr="0028717C">
              <w:rPr>
                <w:rFonts w:asciiTheme="majorHAnsi" w:hAnsiTheme="majorHAnsi" w:cstheme="majorHAnsi"/>
                <w:b/>
                <w:sz w:val="24"/>
                <w:szCs w:val="24"/>
              </w:rPr>
              <w:t>Monitoramento de Prestador de Serviço de Administração de Carteiras de Valores Mobiliários</w:t>
            </w:r>
          </w:p>
        </w:tc>
        <w:tc>
          <w:tcPr>
            <w:tcW w:w="4074" w:type="dxa"/>
          </w:tcPr>
          <w:p w14:paraId="2BDA606F" w14:textId="77777777" w:rsidR="00EB19CA" w:rsidRPr="0028717C" w:rsidRDefault="00EB19CA" w:rsidP="0028717C">
            <w:pPr>
              <w:jc w:val="center"/>
              <w:rPr>
                <w:rFonts w:asciiTheme="majorHAnsi" w:hAnsiTheme="majorHAnsi" w:cstheme="majorHAnsi"/>
                <w:b/>
                <w:sz w:val="24"/>
                <w:szCs w:val="24"/>
              </w:rPr>
            </w:pPr>
            <w:r w:rsidRPr="0028717C">
              <w:rPr>
                <w:rFonts w:asciiTheme="majorHAnsi" w:hAnsiTheme="majorHAnsi" w:cstheme="majorHAnsi"/>
                <w:b/>
                <w:sz w:val="24"/>
                <w:szCs w:val="24"/>
              </w:rPr>
              <w:t>Subseção VI</w:t>
            </w:r>
          </w:p>
          <w:p w14:paraId="372012A1" w14:textId="73B25E1C" w:rsidR="00EB19CA" w:rsidRPr="0028717C" w:rsidRDefault="00EB19CA" w:rsidP="0028717C">
            <w:pPr>
              <w:jc w:val="center"/>
              <w:rPr>
                <w:rFonts w:asciiTheme="majorHAnsi" w:hAnsiTheme="majorHAnsi" w:cstheme="majorHAnsi"/>
                <w:b/>
                <w:sz w:val="24"/>
                <w:szCs w:val="24"/>
              </w:rPr>
            </w:pPr>
            <w:r w:rsidRPr="0028717C">
              <w:rPr>
                <w:rFonts w:asciiTheme="majorHAnsi" w:hAnsiTheme="majorHAnsi" w:cstheme="majorHAnsi"/>
                <w:b/>
                <w:sz w:val="24"/>
                <w:szCs w:val="24"/>
              </w:rPr>
              <w:t>Monitoramento de Prestador de Serviço de Administração de Carteiras de Valores Mobiliários</w:t>
            </w:r>
          </w:p>
        </w:tc>
        <w:tc>
          <w:tcPr>
            <w:tcW w:w="4074" w:type="dxa"/>
          </w:tcPr>
          <w:p w14:paraId="647776B0" w14:textId="77777777" w:rsidR="00EB19CA" w:rsidRPr="00D462F0" w:rsidRDefault="00EB19CA" w:rsidP="00D462F0">
            <w:pPr>
              <w:jc w:val="both"/>
              <w:rPr>
                <w:rFonts w:asciiTheme="majorHAnsi" w:hAnsiTheme="majorHAnsi" w:cstheme="majorHAnsi"/>
                <w:sz w:val="24"/>
                <w:szCs w:val="24"/>
              </w:rPr>
            </w:pPr>
          </w:p>
        </w:tc>
        <w:tc>
          <w:tcPr>
            <w:tcW w:w="4075" w:type="dxa"/>
          </w:tcPr>
          <w:p w14:paraId="561133B9" w14:textId="77777777" w:rsidR="00EB19CA" w:rsidRPr="00D462F0" w:rsidRDefault="00EB19CA" w:rsidP="00D462F0">
            <w:pPr>
              <w:jc w:val="both"/>
              <w:rPr>
                <w:rFonts w:asciiTheme="majorHAnsi" w:hAnsiTheme="majorHAnsi" w:cstheme="majorHAnsi"/>
                <w:bCs/>
                <w:sz w:val="24"/>
                <w:szCs w:val="24"/>
              </w:rPr>
            </w:pPr>
          </w:p>
        </w:tc>
      </w:tr>
      <w:tr w:rsidR="00EB19CA" w:rsidRPr="00C93770" w14:paraId="4107A4C6" w14:textId="77777777" w:rsidTr="1756A420">
        <w:tc>
          <w:tcPr>
            <w:tcW w:w="4074" w:type="dxa"/>
          </w:tcPr>
          <w:p w14:paraId="54DF6C56" w14:textId="4B3AA91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Art. 226.  No monitoramento de fundo de investimento, a EFPC deve, no mínimo:</w:t>
            </w:r>
          </w:p>
        </w:tc>
        <w:tc>
          <w:tcPr>
            <w:tcW w:w="4074" w:type="dxa"/>
          </w:tcPr>
          <w:p w14:paraId="1A4C0645" w14:textId="4A6CFA7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Art. 226.  ...</w:t>
            </w:r>
          </w:p>
        </w:tc>
        <w:tc>
          <w:tcPr>
            <w:tcW w:w="4074" w:type="dxa"/>
          </w:tcPr>
          <w:p w14:paraId="71995589" w14:textId="60176273"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22736C1F" w14:textId="77777777" w:rsidR="00EB19CA" w:rsidRPr="00D462F0" w:rsidRDefault="00EB19CA" w:rsidP="00D462F0">
            <w:pPr>
              <w:jc w:val="both"/>
              <w:rPr>
                <w:rFonts w:asciiTheme="majorHAnsi" w:hAnsiTheme="majorHAnsi" w:cstheme="majorHAnsi"/>
                <w:bCs/>
                <w:sz w:val="24"/>
                <w:szCs w:val="24"/>
              </w:rPr>
            </w:pPr>
          </w:p>
        </w:tc>
      </w:tr>
      <w:tr w:rsidR="009800BF" w:rsidRPr="00C93770" w14:paraId="41DEEB75" w14:textId="77777777" w:rsidTr="1756A420">
        <w:tc>
          <w:tcPr>
            <w:tcW w:w="4074" w:type="dxa"/>
          </w:tcPr>
          <w:p w14:paraId="56B76930" w14:textId="16823B03"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554B2CC1" w14:textId="30585056"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4000CB8B" w14:textId="77777777" w:rsidR="009800BF" w:rsidRPr="00D462F0" w:rsidRDefault="009800BF" w:rsidP="00D462F0">
            <w:pPr>
              <w:jc w:val="both"/>
              <w:rPr>
                <w:rFonts w:asciiTheme="majorHAnsi" w:hAnsiTheme="majorHAnsi" w:cstheme="majorHAnsi"/>
                <w:sz w:val="24"/>
                <w:szCs w:val="24"/>
              </w:rPr>
            </w:pPr>
          </w:p>
        </w:tc>
        <w:tc>
          <w:tcPr>
            <w:tcW w:w="4075" w:type="dxa"/>
          </w:tcPr>
          <w:p w14:paraId="798D6EC1" w14:textId="77777777" w:rsidR="009800BF" w:rsidRPr="00D462F0" w:rsidRDefault="009800BF" w:rsidP="00D462F0">
            <w:pPr>
              <w:jc w:val="both"/>
              <w:rPr>
                <w:rFonts w:asciiTheme="majorHAnsi" w:eastAsia="Calibri" w:hAnsiTheme="majorHAnsi" w:cstheme="majorHAnsi"/>
                <w:bCs/>
                <w:sz w:val="24"/>
                <w:szCs w:val="24"/>
              </w:rPr>
            </w:pPr>
          </w:p>
        </w:tc>
      </w:tr>
      <w:tr w:rsidR="00EB19CA" w:rsidRPr="00C93770" w14:paraId="3D8D61F5" w14:textId="77777777" w:rsidTr="1756A420">
        <w:tc>
          <w:tcPr>
            <w:tcW w:w="4074" w:type="dxa"/>
          </w:tcPr>
          <w:p w14:paraId="5D490CA8" w14:textId="3507FDB2"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II - </w:t>
            </w:r>
            <w:proofErr w:type="gramStart"/>
            <w:r w:rsidRPr="00D462F0">
              <w:rPr>
                <w:rFonts w:asciiTheme="majorHAnsi" w:hAnsiTheme="majorHAnsi" w:cstheme="majorHAnsi"/>
                <w:sz w:val="24"/>
                <w:szCs w:val="24"/>
              </w:rPr>
              <w:t>monitorar</w:t>
            </w:r>
            <w:proofErr w:type="gramEnd"/>
            <w:r w:rsidRPr="00D462F0">
              <w:rPr>
                <w:rFonts w:asciiTheme="majorHAnsi" w:hAnsiTheme="majorHAnsi" w:cstheme="majorHAnsi"/>
                <w:sz w:val="24"/>
                <w:szCs w:val="24"/>
              </w:rPr>
              <w:t xml:space="preserve"> o risco e o retorno esperado dos investimentos, considerando as taxas de administração, gestão e performance efetivas dos fundos, principalmente daqueles que possam adquirir cotas de outros fundos de investimento;</w:t>
            </w:r>
          </w:p>
        </w:tc>
        <w:tc>
          <w:tcPr>
            <w:tcW w:w="4074" w:type="dxa"/>
          </w:tcPr>
          <w:p w14:paraId="567762DF" w14:textId="0E9C529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II - </w:t>
            </w:r>
            <w:proofErr w:type="gramStart"/>
            <w:r w:rsidRPr="00D462F0">
              <w:rPr>
                <w:rFonts w:asciiTheme="majorHAnsi" w:hAnsiTheme="majorHAnsi" w:cstheme="majorHAnsi"/>
                <w:bCs/>
                <w:sz w:val="24"/>
                <w:szCs w:val="24"/>
              </w:rPr>
              <w:t>monitorar</w:t>
            </w:r>
            <w:proofErr w:type="gramEnd"/>
            <w:r w:rsidRPr="00D462F0">
              <w:rPr>
                <w:rFonts w:asciiTheme="majorHAnsi" w:hAnsiTheme="majorHAnsi" w:cstheme="majorHAnsi"/>
                <w:bCs/>
                <w:sz w:val="24"/>
                <w:szCs w:val="24"/>
              </w:rPr>
              <w:t xml:space="preserve"> o risco e o retorno esperado dos investimentos, considerando as taxas de administração, </w:t>
            </w:r>
            <w:r w:rsidRPr="00D462F0">
              <w:rPr>
                <w:rFonts w:asciiTheme="majorHAnsi" w:hAnsiTheme="majorHAnsi" w:cstheme="majorHAnsi"/>
                <w:bCs/>
                <w:color w:val="0000FF"/>
                <w:sz w:val="24"/>
                <w:szCs w:val="24"/>
              </w:rPr>
              <w:t xml:space="preserve">distribuição, </w:t>
            </w:r>
            <w:r w:rsidRPr="00D462F0">
              <w:rPr>
                <w:rFonts w:asciiTheme="majorHAnsi" w:hAnsiTheme="majorHAnsi" w:cstheme="majorHAnsi"/>
                <w:bCs/>
                <w:sz w:val="24"/>
                <w:szCs w:val="24"/>
              </w:rPr>
              <w:t>gestão e performance efetivas dos fundos, principalmente daqueles que possam adquirir cotas de outros fundos de investimento;</w:t>
            </w:r>
          </w:p>
        </w:tc>
        <w:tc>
          <w:tcPr>
            <w:tcW w:w="4074" w:type="dxa"/>
          </w:tcPr>
          <w:p w14:paraId="3D18D6AF" w14:textId="1E18EB7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Inserção da necessidade de consideração também da taxa de distribuição.</w:t>
            </w:r>
          </w:p>
        </w:tc>
        <w:tc>
          <w:tcPr>
            <w:tcW w:w="4075" w:type="dxa"/>
          </w:tcPr>
          <w:p w14:paraId="7CF0D0F6" w14:textId="3D0DAC5D" w:rsidR="00EB19CA" w:rsidRPr="00D462F0" w:rsidRDefault="00EB19CA"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IV do art. 4º do Decreto nº 10.411, de 2020 do Decreto nº 10.411, de 2020 - Ajuste redacional para contemplar taxa de distribuição.</w:t>
            </w:r>
          </w:p>
        </w:tc>
      </w:tr>
      <w:tr w:rsidR="00EB19CA" w:rsidRPr="00C93770" w14:paraId="7CDDCDA0" w14:textId="77777777" w:rsidTr="1756A420">
        <w:tc>
          <w:tcPr>
            <w:tcW w:w="4074" w:type="dxa"/>
          </w:tcPr>
          <w:p w14:paraId="2E305736" w14:textId="2A42283D" w:rsidR="00EB19CA" w:rsidRPr="00D462F0" w:rsidRDefault="00EB19CA" w:rsidP="0028717C">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0F8E8AE3" w14:textId="1848545B" w:rsidR="00EB19CA" w:rsidRPr="00D462F0" w:rsidRDefault="00EB19CA" w:rsidP="0028717C">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6A72D8E4" w14:textId="03215EF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w:t>
            </w:r>
          </w:p>
        </w:tc>
        <w:tc>
          <w:tcPr>
            <w:tcW w:w="4075" w:type="dxa"/>
          </w:tcPr>
          <w:p w14:paraId="52F78608" w14:textId="77777777" w:rsidR="00EB19CA" w:rsidRPr="00D462F0" w:rsidRDefault="00EB19CA" w:rsidP="00D462F0">
            <w:pPr>
              <w:jc w:val="both"/>
              <w:rPr>
                <w:rFonts w:asciiTheme="majorHAnsi" w:hAnsiTheme="majorHAnsi" w:cstheme="majorHAnsi"/>
                <w:bCs/>
                <w:sz w:val="24"/>
                <w:szCs w:val="24"/>
              </w:rPr>
            </w:pPr>
          </w:p>
        </w:tc>
      </w:tr>
      <w:tr w:rsidR="009800BF" w:rsidRPr="00C93770" w14:paraId="66F626D9" w14:textId="77777777" w:rsidTr="1756A420">
        <w:tc>
          <w:tcPr>
            <w:tcW w:w="4074" w:type="dxa"/>
          </w:tcPr>
          <w:p w14:paraId="13A2A41E" w14:textId="77777777"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CAPÍTULO VII</w:t>
            </w:r>
          </w:p>
          <w:p w14:paraId="01779EE7" w14:textId="2B477F1D"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DOS PROCEDIMENTOS DE FISCALIZAÇÃO</w:t>
            </w:r>
          </w:p>
        </w:tc>
        <w:tc>
          <w:tcPr>
            <w:tcW w:w="4074" w:type="dxa"/>
          </w:tcPr>
          <w:p w14:paraId="46B4D1A9" w14:textId="77777777" w:rsidR="009800BF" w:rsidRPr="00D462F0" w:rsidRDefault="009800BF" w:rsidP="0028717C">
            <w:pPr>
              <w:jc w:val="center"/>
              <w:rPr>
                <w:rFonts w:asciiTheme="majorHAnsi" w:hAnsiTheme="majorHAnsi" w:cstheme="majorHAnsi"/>
                <w:sz w:val="24"/>
                <w:szCs w:val="24"/>
              </w:rPr>
            </w:pPr>
            <w:r w:rsidRPr="00D462F0">
              <w:rPr>
                <w:rFonts w:asciiTheme="majorHAnsi" w:hAnsiTheme="majorHAnsi" w:cstheme="majorHAnsi"/>
                <w:sz w:val="24"/>
                <w:szCs w:val="24"/>
              </w:rPr>
              <w:t>CAPÍTULO VII</w:t>
            </w:r>
          </w:p>
          <w:p w14:paraId="6517C3FB" w14:textId="21DC295F" w:rsidR="009800BF" w:rsidRPr="00D462F0" w:rsidRDefault="009800BF" w:rsidP="0028717C">
            <w:pPr>
              <w:jc w:val="center"/>
              <w:rPr>
                <w:rFonts w:asciiTheme="majorHAnsi" w:hAnsiTheme="majorHAnsi" w:cstheme="majorHAnsi"/>
                <w:bCs/>
                <w:sz w:val="24"/>
                <w:szCs w:val="24"/>
              </w:rPr>
            </w:pPr>
            <w:r w:rsidRPr="00D462F0">
              <w:rPr>
                <w:rFonts w:asciiTheme="majorHAnsi" w:hAnsiTheme="majorHAnsi" w:cstheme="majorHAnsi"/>
                <w:sz w:val="24"/>
                <w:szCs w:val="24"/>
              </w:rPr>
              <w:t>DOS PROCEDIMENTOS DE FISCALIZAÇÃO</w:t>
            </w:r>
          </w:p>
        </w:tc>
        <w:tc>
          <w:tcPr>
            <w:tcW w:w="4074" w:type="dxa"/>
          </w:tcPr>
          <w:p w14:paraId="5BC659A3" w14:textId="77777777" w:rsidR="009800BF" w:rsidRPr="00D462F0" w:rsidRDefault="009800BF" w:rsidP="00D462F0">
            <w:pPr>
              <w:jc w:val="both"/>
              <w:rPr>
                <w:rFonts w:asciiTheme="majorHAnsi" w:hAnsiTheme="majorHAnsi" w:cstheme="majorHAnsi"/>
                <w:sz w:val="24"/>
                <w:szCs w:val="24"/>
              </w:rPr>
            </w:pPr>
          </w:p>
        </w:tc>
        <w:tc>
          <w:tcPr>
            <w:tcW w:w="4075" w:type="dxa"/>
          </w:tcPr>
          <w:p w14:paraId="6369A545" w14:textId="77777777" w:rsidR="009800BF" w:rsidRPr="00D462F0" w:rsidRDefault="009800BF" w:rsidP="00D462F0">
            <w:pPr>
              <w:jc w:val="both"/>
              <w:rPr>
                <w:rFonts w:asciiTheme="majorHAnsi" w:hAnsiTheme="majorHAnsi" w:cstheme="majorHAnsi"/>
                <w:bCs/>
                <w:sz w:val="24"/>
                <w:szCs w:val="24"/>
              </w:rPr>
            </w:pPr>
          </w:p>
        </w:tc>
      </w:tr>
      <w:tr w:rsidR="009800BF" w:rsidRPr="00C93770" w14:paraId="7ACE8F5A" w14:textId="77777777" w:rsidTr="1756A420">
        <w:tc>
          <w:tcPr>
            <w:tcW w:w="4074" w:type="dxa"/>
          </w:tcPr>
          <w:p w14:paraId="3AD9C69B" w14:textId="77777777" w:rsidR="009800BF" w:rsidRPr="00D462F0" w:rsidRDefault="009800BF" w:rsidP="0028717C">
            <w:pPr>
              <w:jc w:val="center"/>
              <w:rPr>
                <w:rFonts w:asciiTheme="majorHAnsi" w:hAnsiTheme="majorHAnsi" w:cstheme="majorHAnsi"/>
                <w:b/>
                <w:sz w:val="24"/>
                <w:szCs w:val="24"/>
              </w:rPr>
            </w:pPr>
            <w:r w:rsidRPr="00D462F0">
              <w:rPr>
                <w:rFonts w:asciiTheme="majorHAnsi" w:hAnsiTheme="majorHAnsi" w:cstheme="majorHAnsi"/>
                <w:b/>
                <w:sz w:val="24"/>
                <w:szCs w:val="24"/>
              </w:rPr>
              <w:lastRenderedPageBreak/>
              <w:t>Seção I</w:t>
            </w:r>
          </w:p>
          <w:p w14:paraId="313366B1" w14:textId="78A2F0D4" w:rsidR="009800BF" w:rsidRPr="00D462F0" w:rsidRDefault="009800BF" w:rsidP="0028717C">
            <w:pPr>
              <w:jc w:val="center"/>
              <w:rPr>
                <w:rFonts w:asciiTheme="majorHAnsi" w:hAnsiTheme="majorHAnsi" w:cstheme="majorHAnsi"/>
                <w:b/>
                <w:sz w:val="24"/>
                <w:szCs w:val="24"/>
              </w:rPr>
            </w:pPr>
            <w:r w:rsidRPr="00D462F0">
              <w:rPr>
                <w:rFonts w:asciiTheme="majorHAnsi" w:hAnsiTheme="majorHAnsi" w:cstheme="majorHAnsi"/>
                <w:b/>
                <w:sz w:val="24"/>
                <w:szCs w:val="24"/>
              </w:rPr>
              <w:t>Rotinas e Procedimentos de Fiscalização</w:t>
            </w:r>
          </w:p>
        </w:tc>
        <w:tc>
          <w:tcPr>
            <w:tcW w:w="4074" w:type="dxa"/>
          </w:tcPr>
          <w:p w14:paraId="7DEFCCC4" w14:textId="77777777" w:rsidR="009800BF" w:rsidRPr="00D462F0" w:rsidRDefault="009800BF" w:rsidP="0028717C">
            <w:pPr>
              <w:jc w:val="center"/>
              <w:rPr>
                <w:rFonts w:asciiTheme="majorHAnsi" w:hAnsiTheme="majorHAnsi" w:cstheme="majorHAnsi"/>
                <w:b/>
                <w:sz w:val="24"/>
                <w:szCs w:val="24"/>
              </w:rPr>
            </w:pPr>
            <w:r w:rsidRPr="00D462F0">
              <w:rPr>
                <w:rFonts w:asciiTheme="majorHAnsi" w:hAnsiTheme="majorHAnsi" w:cstheme="majorHAnsi"/>
                <w:b/>
                <w:sz w:val="24"/>
                <w:szCs w:val="24"/>
              </w:rPr>
              <w:t>Seção I</w:t>
            </w:r>
          </w:p>
          <w:p w14:paraId="1BF772F0" w14:textId="738F78EE" w:rsidR="009800BF" w:rsidRPr="00D462F0" w:rsidRDefault="009800BF" w:rsidP="0028717C">
            <w:pPr>
              <w:jc w:val="center"/>
              <w:rPr>
                <w:rFonts w:asciiTheme="majorHAnsi" w:hAnsiTheme="majorHAnsi" w:cstheme="majorHAnsi"/>
                <w:b/>
                <w:bCs/>
                <w:sz w:val="24"/>
                <w:szCs w:val="24"/>
              </w:rPr>
            </w:pPr>
            <w:r w:rsidRPr="00D462F0">
              <w:rPr>
                <w:rFonts w:asciiTheme="majorHAnsi" w:hAnsiTheme="majorHAnsi" w:cstheme="majorHAnsi"/>
                <w:b/>
                <w:sz w:val="24"/>
                <w:szCs w:val="24"/>
              </w:rPr>
              <w:t>Rotinas e Procedimentos de Fiscalização</w:t>
            </w:r>
          </w:p>
        </w:tc>
        <w:tc>
          <w:tcPr>
            <w:tcW w:w="4074" w:type="dxa"/>
          </w:tcPr>
          <w:p w14:paraId="7F012478" w14:textId="77777777" w:rsidR="009800BF" w:rsidRPr="00D462F0" w:rsidRDefault="009800BF" w:rsidP="00D462F0">
            <w:pPr>
              <w:jc w:val="both"/>
              <w:rPr>
                <w:rFonts w:asciiTheme="majorHAnsi" w:hAnsiTheme="majorHAnsi" w:cstheme="majorHAnsi"/>
                <w:sz w:val="24"/>
                <w:szCs w:val="24"/>
              </w:rPr>
            </w:pPr>
          </w:p>
        </w:tc>
        <w:tc>
          <w:tcPr>
            <w:tcW w:w="4075" w:type="dxa"/>
          </w:tcPr>
          <w:p w14:paraId="69E11424" w14:textId="77777777" w:rsidR="009800BF" w:rsidRPr="00D462F0" w:rsidRDefault="009800BF" w:rsidP="00D462F0">
            <w:pPr>
              <w:jc w:val="both"/>
              <w:rPr>
                <w:rFonts w:asciiTheme="majorHAnsi" w:hAnsiTheme="majorHAnsi" w:cstheme="majorHAnsi"/>
                <w:bCs/>
                <w:sz w:val="24"/>
                <w:szCs w:val="24"/>
              </w:rPr>
            </w:pPr>
          </w:p>
        </w:tc>
      </w:tr>
      <w:tr w:rsidR="00EB19CA" w:rsidRPr="00C93770" w14:paraId="4826B6AE" w14:textId="77777777" w:rsidTr="1756A420">
        <w:tc>
          <w:tcPr>
            <w:tcW w:w="4074" w:type="dxa"/>
          </w:tcPr>
          <w:p w14:paraId="28CD6F9C" w14:textId="5EB4B622"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Art. 228.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w:t>
            </w:r>
          </w:p>
        </w:tc>
        <w:tc>
          <w:tcPr>
            <w:tcW w:w="4074" w:type="dxa"/>
          </w:tcPr>
          <w:p w14:paraId="6C3F75AE" w14:textId="1182E4AB"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228.  </w:t>
            </w:r>
            <w:r w:rsidR="00BC6F01" w:rsidRPr="00D462F0">
              <w:rPr>
                <w:rFonts w:asciiTheme="majorHAnsi" w:hAnsiTheme="majorHAnsi" w:cstheme="majorHAnsi"/>
                <w:bCs/>
                <w:sz w:val="24"/>
                <w:szCs w:val="24"/>
              </w:rPr>
              <w:t>...</w:t>
            </w:r>
          </w:p>
        </w:tc>
        <w:tc>
          <w:tcPr>
            <w:tcW w:w="4074" w:type="dxa"/>
          </w:tcPr>
          <w:p w14:paraId="59929563" w14:textId="5DB7A333"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6779D67F" w14:textId="479A2349" w:rsidR="00EB19CA" w:rsidRPr="00D462F0" w:rsidRDefault="00EB19CA" w:rsidP="00D462F0">
            <w:pPr>
              <w:jc w:val="both"/>
              <w:rPr>
                <w:rFonts w:asciiTheme="majorHAnsi" w:hAnsiTheme="majorHAnsi" w:cstheme="majorHAnsi"/>
                <w:bCs/>
                <w:sz w:val="24"/>
                <w:szCs w:val="24"/>
              </w:rPr>
            </w:pPr>
          </w:p>
        </w:tc>
      </w:tr>
      <w:tr w:rsidR="00AC6660" w:rsidRPr="00C93770" w14:paraId="2149E5E8" w14:textId="77777777" w:rsidTr="1756A420">
        <w:tc>
          <w:tcPr>
            <w:tcW w:w="4074" w:type="dxa"/>
          </w:tcPr>
          <w:p w14:paraId="0D727EA0" w14:textId="068E1A06" w:rsidR="00AC6660" w:rsidRPr="00D462F0" w:rsidRDefault="00AC6660" w:rsidP="004E06F1">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C7070C0" w14:textId="0522BD64" w:rsidR="00AC6660" w:rsidRPr="00D462F0" w:rsidRDefault="00AC6660" w:rsidP="004E06F1">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00A27189" w14:textId="77777777" w:rsidR="00AC6660" w:rsidRPr="00D462F0" w:rsidRDefault="00AC6660" w:rsidP="00D462F0">
            <w:pPr>
              <w:jc w:val="both"/>
              <w:rPr>
                <w:rFonts w:asciiTheme="majorHAnsi" w:hAnsiTheme="majorHAnsi" w:cstheme="majorHAnsi"/>
                <w:sz w:val="24"/>
                <w:szCs w:val="24"/>
              </w:rPr>
            </w:pPr>
          </w:p>
        </w:tc>
        <w:tc>
          <w:tcPr>
            <w:tcW w:w="4075" w:type="dxa"/>
          </w:tcPr>
          <w:p w14:paraId="72EA4AF1" w14:textId="77777777" w:rsidR="00AC6660" w:rsidRPr="00D462F0" w:rsidRDefault="00AC6660" w:rsidP="00D462F0">
            <w:pPr>
              <w:jc w:val="both"/>
              <w:rPr>
                <w:rFonts w:asciiTheme="majorHAnsi" w:hAnsiTheme="majorHAnsi" w:cstheme="majorHAnsi"/>
                <w:bCs/>
                <w:sz w:val="24"/>
                <w:szCs w:val="24"/>
              </w:rPr>
            </w:pPr>
          </w:p>
        </w:tc>
      </w:tr>
      <w:tr w:rsidR="00EB19CA" w:rsidRPr="00C93770" w14:paraId="4579C7FA" w14:textId="77777777" w:rsidTr="1756A420">
        <w:tc>
          <w:tcPr>
            <w:tcW w:w="4074" w:type="dxa"/>
          </w:tcPr>
          <w:p w14:paraId="635FF935" w14:textId="2959B4AA"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3E84496" w14:textId="62B72446"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3</w:t>
            </w:r>
            <w:proofErr w:type="gramStart"/>
            <w:r w:rsidRPr="00D462F0">
              <w:rPr>
                <w:rFonts w:asciiTheme="majorHAnsi" w:hAnsiTheme="majorHAnsi" w:cstheme="majorHAnsi"/>
                <w:bCs/>
                <w:color w:val="0000FF"/>
                <w:sz w:val="24"/>
                <w:szCs w:val="24"/>
              </w:rPr>
              <w:t>º  A</w:t>
            </w:r>
            <w:proofErr w:type="gramEnd"/>
            <w:r w:rsidRPr="00D462F0">
              <w:rPr>
                <w:rFonts w:asciiTheme="majorHAnsi" w:hAnsiTheme="majorHAnsi" w:cstheme="majorHAnsi"/>
                <w:bCs/>
                <w:color w:val="0000FF"/>
                <w:sz w:val="24"/>
                <w:szCs w:val="24"/>
              </w:rPr>
              <w:t xml:space="preserve"> elaboração do programa anual de fiscalização compreende o processo de planejamento das ações institucionais, que relaciona os planos de benefícios e as EFPC selecionadas para serem objeto de procedimento de fiscalização e de monitoramento no exercício subsequente, segundo critérios previamente definidos.</w:t>
            </w:r>
          </w:p>
        </w:tc>
        <w:tc>
          <w:tcPr>
            <w:tcW w:w="4074" w:type="dxa"/>
          </w:tcPr>
          <w:p w14:paraId="313FA9E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Em virtude da revogação da Portaria Previc nº 496, de 2021, inclui-se a replicação do </w:t>
            </w:r>
            <w:r w:rsidRPr="00D462F0">
              <w:rPr>
                <w:rFonts w:asciiTheme="majorHAnsi" w:hAnsiTheme="majorHAnsi" w:cstheme="majorHAnsi"/>
                <w:i/>
                <w:sz w:val="24"/>
                <w:szCs w:val="24"/>
              </w:rPr>
              <w:t>caput</w:t>
            </w:r>
            <w:r w:rsidRPr="00D462F0">
              <w:rPr>
                <w:rFonts w:asciiTheme="majorHAnsi" w:hAnsiTheme="majorHAnsi" w:cstheme="majorHAnsi"/>
                <w:sz w:val="24"/>
                <w:szCs w:val="24"/>
              </w:rPr>
              <w:t xml:space="preserve"> do art. 2º desta Portaria, por conter definição do que é o PAF.</w:t>
            </w:r>
          </w:p>
          <w:p w14:paraId="1A38E1AC"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br/>
            </w:r>
          </w:p>
          <w:p w14:paraId="309C22A2" w14:textId="3E9FF9A4" w:rsidR="00EB19CA" w:rsidRPr="00D462F0" w:rsidRDefault="00EB19CA" w:rsidP="00D462F0">
            <w:pPr>
              <w:jc w:val="both"/>
              <w:rPr>
                <w:rFonts w:asciiTheme="majorHAnsi" w:hAnsiTheme="majorHAnsi" w:cstheme="majorHAnsi"/>
                <w:sz w:val="24"/>
                <w:szCs w:val="24"/>
              </w:rPr>
            </w:pPr>
          </w:p>
        </w:tc>
        <w:tc>
          <w:tcPr>
            <w:tcW w:w="4075" w:type="dxa"/>
          </w:tcPr>
          <w:p w14:paraId="35B9F75A"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3A53100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em questão estabelece fluxo operacional realização do programa anual de fiscalização. </w:t>
            </w:r>
          </w:p>
          <w:p w14:paraId="1F9B0908"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por se tratar de artigo de natureza administrativa, com efeitos diretos à Previc, o caso se enquadra em não aplicabilidade para a realização de AIR. </w:t>
            </w:r>
          </w:p>
          <w:p w14:paraId="70E9694E" w14:textId="77777777" w:rsidR="00EB19CA" w:rsidRPr="00D462F0" w:rsidRDefault="00EB19CA" w:rsidP="00D462F0">
            <w:pPr>
              <w:jc w:val="both"/>
              <w:rPr>
                <w:rFonts w:asciiTheme="majorHAnsi" w:hAnsiTheme="majorHAnsi" w:cstheme="majorHAnsi"/>
                <w:bCs/>
                <w:sz w:val="24"/>
                <w:szCs w:val="24"/>
              </w:rPr>
            </w:pPr>
          </w:p>
        </w:tc>
      </w:tr>
      <w:tr w:rsidR="00EB19CA" w:rsidRPr="00C93770" w14:paraId="638087DB" w14:textId="77777777" w:rsidTr="1756A420">
        <w:tc>
          <w:tcPr>
            <w:tcW w:w="4074" w:type="dxa"/>
          </w:tcPr>
          <w:p w14:paraId="01549B7F" w14:textId="4475099E"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25DE1794" w14:textId="0CE16F09"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4</w:t>
            </w:r>
            <w:proofErr w:type="gramStart"/>
            <w:r w:rsidRPr="00D462F0">
              <w:rPr>
                <w:rFonts w:asciiTheme="majorHAnsi" w:hAnsiTheme="majorHAnsi" w:cstheme="majorHAnsi"/>
                <w:bCs/>
                <w:color w:val="0000FF"/>
                <w:sz w:val="24"/>
                <w:szCs w:val="24"/>
              </w:rPr>
              <w:t>º  O</w:t>
            </w:r>
            <w:proofErr w:type="gramEnd"/>
            <w:r w:rsidRPr="00D462F0">
              <w:rPr>
                <w:rFonts w:asciiTheme="majorHAnsi" w:hAnsiTheme="majorHAnsi" w:cstheme="majorHAnsi"/>
                <w:bCs/>
                <w:color w:val="0000FF"/>
                <w:sz w:val="24"/>
                <w:szCs w:val="24"/>
              </w:rPr>
              <w:t xml:space="preserve"> relatório anual de execução do programa anual de fiscalização </w:t>
            </w:r>
            <w:r w:rsidR="0073509E">
              <w:rPr>
                <w:rFonts w:asciiTheme="majorHAnsi" w:hAnsiTheme="majorHAnsi" w:cstheme="majorHAnsi"/>
                <w:bCs/>
                <w:color w:val="0000FF"/>
                <w:sz w:val="24"/>
                <w:szCs w:val="24"/>
              </w:rPr>
              <w:t>deve ser</w:t>
            </w:r>
            <w:r w:rsidR="0073509E"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produzido até o dia 28 de fevereiro e publicado em sítio eletrônico da Previc, após aprovação pela Diretoria Colegiada.</w:t>
            </w:r>
          </w:p>
        </w:tc>
        <w:tc>
          <w:tcPr>
            <w:tcW w:w="4074" w:type="dxa"/>
          </w:tcPr>
          <w:p w14:paraId="2D6CD9C0"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da definição do prazo para apresentação do relatório anual de execução do programa anual de fiscalização</w:t>
            </w:r>
          </w:p>
          <w:p w14:paraId="543B4455" w14:textId="77777777" w:rsidR="00EB19CA" w:rsidRPr="00D462F0" w:rsidRDefault="00EB19CA" w:rsidP="00D462F0">
            <w:pPr>
              <w:jc w:val="both"/>
              <w:rPr>
                <w:rFonts w:asciiTheme="majorHAnsi" w:hAnsiTheme="majorHAnsi" w:cstheme="majorHAnsi"/>
                <w:sz w:val="24"/>
                <w:szCs w:val="24"/>
              </w:rPr>
            </w:pPr>
          </w:p>
        </w:tc>
        <w:tc>
          <w:tcPr>
            <w:tcW w:w="4075" w:type="dxa"/>
          </w:tcPr>
          <w:p w14:paraId="00B965BC" w14:textId="77777777" w:rsidR="00EB19CA" w:rsidRPr="00D462F0" w:rsidRDefault="00EB19CA" w:rsidP="00D462F0">
            <w:pPr>
              <w:jc w:val="both"/>
              <w:rPr>
                <w:rFonts w:asciiTheme="majorHAnsi" w:hAnsiTheme="majorHAnsi" w:cstheme="majorHAnsi"/>
                <w:bCs/>
                <w:sz w:val="24"/>
                <w:szCs w:val="24"/>
              </w:rPr>
            </w:pPr>
          </w:p>
        </w:tc>
      </w:tr>
      <w:tr w:rsidR="008C252E" w:rsidRPr="00C93770" w14:paraId="5D535DC8" w14:textId="77777777" w:rsidTr="1756A420">
        <w:tc>
          <w:tcPr>
            <w:tcW w:w="4074" w:type="dxa"/>
          </w:tcPr>
          <w:p w14:paraId="6145F4E7" w14:textId="67393267" w:rsidR="008C252E" w:rsidRPr="00D462F0" w:rsidRDefault="008C252E"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3D13C0D" w14:textId="6B98A472" w:rsidR="008C252E" w:rsidRPr="00D462F0" w:rsidRDefault="008C252E"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1CF99B69" w14:textId="77777777" w:rsidR="008C252E" w:rsidRPr="00D462F0" w:rsidRDefault="008C252E" w:rsidP="00D462F0">
            <w:pPr>
              <w:jc w:val="both"/>
              <w:rPr>
                <w:rFonts w:asciiTheme="majorHAnsi" w:hAnsiTheme="majorHAnsi" w:cstheme="majorHAnsi"/>
                <w:sz w:val="24"/>
                <w:szCs w:val="24"/>
              </w:rPr>
            </w:pPr>
          </w:p>
        </w:tc>
        <w:tc>
          <w:tcPr>
            <w:tcW w:w="4075" w:type="dxa"/>
          </w:tcPr>
          <w:p w14:paraId="2ECBD912" w14:textId="77777777" w:rsidR="008C252E" w:rsidRPr="00D462F0" w:rsidRDefault="008C252E" w:rsidP="00D462F0">
            <w:pPr>
              <w:jc w:val="both"/>
              <w:rPr>
                <w:rFonts w:asciiTheme="majorHAnsi" w:hAnsiTheme="majorHAnsi" w:cstheme="majorHAnsi"/>
                <w:bCs/>
                <w:sz w:val="24"/>
                <w:szCs w:val="24"/>
              </w:rPr>
            </w:pPr>
          </w:p>
        </w:tc>
      </w:tr>
      <w:tr w:rsidR="00EB19CA" w:rsidRPr="00C93770" w14:paraId="4E5BE5CC" w14:textId="77777777" w:rsidTr="1756A420">
        <w:tc>
          <w:tcPr>
            <w:tcW w:w="4074" w:type="dxa"/>
          </w:tcPr>
          <w:p w14:paraId="659F2A4B" w14:textId="7CA46A31"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240.  Os procedimentos de fiscalização elencados no art. 231, inciso I, com exceção das alíneas “f” e “g”, serão iniciados com ofício emitido pela Chefia do Escritório de </w:t>
            </w:r>
            <w:r w:rsidRPr="00D462F0">
              <w:rPr>
                <w:rFonts w:asciiTheme="majorHAnsi" w:hAnsiTheme="majorHAnsi" w:cstheme="majorHAnsi"/>
                <w:color w:val="000000"/>
                <w:sz w:val="24"/>
                <w:szCs w:val="24"/>
              </w:rPr>
              <w:lastRenderedPageBreak/>
              <w:t xml:space="preserve">Representação da Previc dirigido ao dirigente máximo da EFPC contendo, no mínimo, o seguinte: </w:t>
            </w:r>
          </w:p>
          <w:p w14:paraId="6D8ED819" w14:textId="0280B17C"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 </w:t>
            </w:r>
          </w:p>
        </w:tc>
        <w:tc>
          <w:tcPr>
            <w:tcW w:w="4074" w:type="dxa"/>
          </w:tcPr>
          <w:p w14:paraId="1C053676" w14:textId="4BA30DD6"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lastRenderedPageBreak/>
              <w:t xml:space="preserve">Art. 240.  Os procedimentos de fiscalização elencados no art. 231, inciso I, com exceção das alíneas “f” e “g”, serão iniciados com ofício </w:t>
            </w:r>
            <w:proofErr w:type="gramStart"/>
            <w:r w:rsidRPr="00D462F0">
              <w:rPr>
                <w:rFonts w:asciiTheme="majorHAnsi" w:hAnsiTheme="majorHAnsi" w:cstheme="majorHAnsi"/>
                <w:bCs/>
                <w:color w:val="000000"/>
                <w:sz w:val="24"/>
                <w:szCs w:val="24"/>
              </w:rPr>
              <w:t>emitido  pela</w:t>
            </w:r>
            <w:proofErr w:type="gramEnd"/>
            <w:r w:rsidRPr="00D462F0">
              <w:rPr>
                <w:rFonts w:asciiTheme="majorHAnsi" w:hAnsiTheme="majorHAnsi" w:cstheme="majorHAnsi"/>
                <w:bCs/>
                <w:color w:val="000000"/>
                <w:sz w:val="24"/>
                <w:szCs w:val="24"/>
              </w:rPr>
              <w:t xml:space="preserve"> </w:t>
            </w:r>
            <w:r w:rsidRPr="00D462F0">
              <w:rPr>
                <w:rFonts w:asciiTheme="majorHAnsi" w:hAnsiTheme="majorHAnsi" w:cstheme="majorHAnsi"/>
                <w:strike/>
                <w:color w:val="EE0000"/>
                <w:sz w:val="24"/>
                <w:szCs w:val="24"/>
              </w:rPr>
              <w:t xml:space="preserve">Chefia do Escritório de </w:t>
            </w:r>
            <w:r w:rsidRPr="00D462F0">
              <w:rPr>
                <w:rFonts w:asciiTheme="majorHAnsi" w:hAnsiTheme="majorHAnsi" w:cstheme="majorHAnsi"/>
                <w:strike/>
                <w:color w:val="EE0000"/>
                <w:sz w:val="24"/>
                <w:szCs w:val="24"/>
              </w:rPr>
              <w:lastRenderedPageBreak/>
              <w:t>Representação da Previc</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Coordenação-Geral de Fiscalização Direta</w:t>
            </w:r>
            <w:r w:rsidRPr="00D462F0">
              <w:rPr>
                <w:rFonts w:asciiTheme="majorHAnsi" w:hAnsiTheme="majorHAnsi" w:cstheme="majorHAnsi"/>
                <w:bCs/>
                <w:color w:val="000000"/>
                <w:sz w:val="24"/>
                <w:szCs w:val="24"/>
              </w:rPr>
              <w:t xml:space="preserve"> e dirigido ao dirigente máximo da EFPC contendo, no mínimo, o seguinte: </w:t>
            </w:r>
          </w:p>
        </w:tc>
        <w:tc>
          <w:tcPr>
            <w:tcW w:w="4074" w:type="dxa"/>
          </w:tcPr>
          <w:p w14:paraId="48FE2855"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O ajuste redacional sugerido pela DIFIS visa centralizar a iniciação por ofício dos procedimentos de fiscalização na Coordenação-Geral de Fiscalização Direta e suporte.</w:t>
            </w:r>
          </w:p>
          <w:p w14:paraId="5A9CD14D" w14:textId="4EE52D0D" w:rsidR="00EB19CA" w:rsidRPr="00D462F0" w:rsidRDefault="00EB19CA" w:rsidP="00D462F0">
            <w:pPr>
              <w:jc w:val="both"/>
              <w:rPr>
                <w:rFonts w:asciiTheme="majorHAnsi" w:hAnsiTheme="majorHAnsi" w:cstheme="majorHAnsi"/>
                <w:sz w:val="24"/>
                <w:szCs w:val="24"/>
              </w:rPr>
            </w:pPr>
          </w:p>
          <w:p w14:paraId="0F071E9E" w14:textId="77777777" w:rsidR="00EB19CA" w:rsidRPr="00D462F0" w:rsidRDefault="00EB19CA" w:rsidP="00D462F0">
            <w:pPr>
              <w:jc w:val="both"/>
              <w:rPr>
                <w:rFonts w:asciiTheme="majorHAnsi" w:hAnsiTheme="majorHAnsi" w:cstheme="majorHAnsi"/>
                <w:sz w:val="24"/>
                <w:szCs w:val="24"/>
              </w:rPr>
            </w:pPr>
          </w:p>
        </w:tc>
        <w:tc>
          <w:tcPr>
            <w:tcW w:w="4075" w:type="dxa"/>
          </w:tcPr>
          <w:p w14:paraId="1333A66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Decreto nº 10.411, de 2020, art. 3º, § 2º, inciso I.</w:t>
            </w:r>
          </w:p>
          <w:p w14:paraId="3F828A1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em questão visa estabelecer instâncias hierárquicas </w:t>
            </w:r>
            <w:r w:rsidRPr="00D462F0">
              <w:rPr>
                <w:rFonts w:asciiTheme="majorHAnsi" w:hAnsiTheme="majorHAnsi" w:cstheme="majorHAnsi"/>
                <w:bCs/>
                <w:sz w:val="24"/>
                <w:szCs w:val="24"/>
              </w:rPr>
              <w:lastRenderedPageBreak/>
              <w:t xml:space="preserve">internas de tramitação de processos e designação de atribuições. </w:t>
            </w:r>
          </w:p>
          <w:p w14:paraId="0DF9613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por se tratar de artigo de natureza administrativa, com efeitos diretos à Previc, o caso se enquadra em não aplicabilidade para a realização de AIR. </w:t>
            </w:r>
          </w:p>
          <w:p w14:paraId="1F2E4D65" w14:textId="7F486FE6" w:rsidR="00EB19CA" w:rsidRPr="00D462F0" w:rsidRDefault="00EB19CA" w:rsidP="00D462F0">
            <w:pPr>
              <w:jc w:val="both"/>
              <w:rPr>
                <w:rFonts w:asciiTheme="majorHAnsi" w:hAnsiTheme="majorHAnsi" w:cstheme="majorHAnsi"/>
                <w:bCs/>
                <w:sz w:val="24"/>
                <w:szCs w:val="24"/>
              </w:rPr>
            </w:pPr>
          </w:p>
        </w:tc>
      </w:tr>
      <w:tr w:rsidR="00EB19CA" w:rsidRPr="00C93770" w14:paraId="133D033F" w14:textId="0B63F1A0" w:rsidTr="1756A420">
        <w:tc>
          <w:tcPr>
            <w:tcW w:w="4074" w:type="dxa"/>
          </w:tcPr>
          <w:p w14:paraId="222B2FC3" w14:textId="482DEEA2"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xml:space="preserve">I - </w:t>
            </w:r>
            <w:proofErr w:type="gramStart"/>
            <w:r w:rsidRPr="00D462F0">
              <w:rPr>
                <w:rFonts w:asciiTheme="majorHAnsi" w:hAnsiTheme="majorHAnsi" w:cstheme="majorHAnsi"/>
                <w:color w:val="000000"/>
                <w:sz w:val="24"/>
                <w:szCs w:val="24"/>
              </w:rPr>
              <w:t>designação</w:t>
            </w:r>
            <w:proofErr w:type="gramEnd"/>
            <w:r w:rsidRPr="00D462F0">
              <w:rPr>
                <w:rFonts w:asciiTheme="majorHAnsi" w:hAnsiTheme="majorHAnsi" w:cstheme="majorHAnsi"/>
                <w:color w:val="000000"/>
                <w:sz w:val="24"/>
                <w:szCs w:val="24"/>
              </w:rPr>
              <w:t xml:space="preserve"> dos membros da equipe de supervisão; </w:t>
            </w:r>
          </w:p>
          <w:p w14:paraId="02587553" w14:textId="3B261BD5" w:rsidR="00EB19CA" w:rsidRPr="00D462F0" w:rsidRDefault="00EB19CA" w:rsidP="00D462F0">
            <w:pPr>
              <w:jc w:val="both"/>
              <w:rPr>
                <w:rFonts w:asciiTheme="majorHAnsi" w:hAnsiTheme="majorHAnsi" w:cstheme="majorHAnsi"/>
                <w:color w:val="000000"/>
                <w:sz w:val="24"/>
                <w:szCs w:val="24"/>
              </w:rPr>
            </w:pPr>
          </w:p>
        </w:tc>
        <w:tc>
          <w:tcPr>
            <w:tcW w:w="4074" w:type="dxa"/>
          </w:tcPr>
          <w:p w14:paraId="441E6996" w14:textId="21E78D70"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I - </w:t>
            </w:r>
            <w:proofErr w:type="gramStart"/>
            <w:r w:rsidRPr="00D462F0">
              <w:rPr>
                <w:rFonts w:asciiTheme="majorHAnsi" w:hAnsiTheme="majorHAnsi" w:cstheme="majorHAnsi"/>
                <w:bCs/>
                <w:color w:val="000000"/>
                <w:sz w:val="24"/>
                <w:szCs w:val="24"/>
              </w:rPr>
              <w:t>designação</w:t>
            </w:r>
            <w:proofErr w:type="gramEnd"/>
            <w:r w:rsidRPr="00D462F0">
              <w:rPr>
                <w:rFonts w:asciiTheme="majorHAnsi" w:hAnsiTheme="majorHAnsi" w:cstheme="majorHAnsi"/>
                <w:bCs/>
                <w:color w:val="000000"/>
                <w:sz w:val="24"/>
                <w:szCs w:val="24"/>
              </w:rPr>
              <w:t xml:space="preserve"> dos membros da </w:t>
            </w:r>
            <w:r w:rsidRPr="00D462F0">
              <w:rPr>
                <w:rFonts w:asciiTheme="majorHAnsi" w:hAnsiTheme="majorHAnsi" w:cstheme="majorHAnsi"/>
                <w:bCs/>
                <w:color w:val="0000FF"/>
                <w:sz w:val="24"/>
                <w:szCs w:val="24"/>
              </w:rPr>
              <w:t>equipe fiscal;</w:t>
            </w:r>
            <w:r w:rsidRPr="00D462F0">
              <w:rPr>
                <w:rFonts w:asciiTheme="majorHAnsi" w:hAnsiTheme="majorHAnsi" w:cstheme="majorHAnsi"/>
                <w:bCs/>
                <w:strike/>
                <w:color w:val="EE0000"/>
                <w:sz w:val="24"/>
                <w:szCs w:val="24"/>
              </w:rPr>
              <w:t xml:space="preserve"> </w:t>
            </w:r>
          </w:p>
          <w:p w14:paraId="1699A4B5" w14:textId="06EC41E7" w:rsidR="00EB19CA" w:rsidRPr="00D462F0" w:rsidRDefault="00EB19CA" w:rsidP="00D462F0">
            <w:pPr>
              <w:jc w:val="both"/>
              <w:rPr>
                <w:rFonts w:asciiTheme="majorHAnsi" w:hAnsiTheme="majorHAnsi" w:cstheme="majorHAnsi"/>
                <w:bCs/>
                <w:color w:val="000000"/>
                <w:sz w:val="24"/>
                <w:szCs w:val="24"/>
              </w:rPr>
            </w:pPr>
          </w:p>
        </w:tc>
        <w:tc>
          <w:tcPr>
            <w:tcW w:w="4074" w:type="dxa"/>
          </w:tcPr>
          <w:p w14:paraId="1F506609" w14:textId="30A8E062" w:rsidR="00EB19CA" w:rsidRPr="00D462F0" w:rsidRDefault="00EB19CA" w:rsidP="00D462F0">
            <w:pPr>
              <w:jc w:val="both"/>
              <w:rPr>
                <w:rFonts w:asciiTheme="majorHAnsi" w:hAnsiTheme="majorHAnsi" w:cstheme="majorHAnsi"/>
                <w:sz w:val="24"/>
                <w:szCs w:val="24"/>
              </w:rPr>
            </w:pPr>
          </w:p>
        </w:tc>
        <w:tc>
          <w:tcPr>
            <w:tcW w:w="4075" w:type="dxa"/>
          </w:tcPr>
          <w:p w14:paraId="6A672D2D" w14:textId="59B4E28C" w:rsidR="00EB19CA" w:rsidRPr="00D462F0" w:rsidRDefault="00EB19CA" w:rsidP="00D462F0">
            <w:pPr>
              <w:jc w:val="both"/>
              <w:rPr>
                <w:rFonts w:asciiTheme="majorHAnsi" w:hAnsiTheme="majorHAnsi" w:cstheme="majorHAnsi"/>
                <w:bCs/>
                <w:sz w:val="24"/>
                <w:szCs w:val="24"/>
              </w:rPr>
            </w:pPr>
          </w:p>
        </w:tc>
      </w:tr>
      <w:tr w:rsidR="00BC6F01" w:rsidRPr="00C93770" w:rsidDel="00BC6F01" w14:paraId="7541152C" w14:textId="77777777" w:rsidTr="1756A420">
        <w:tc>
          <w:tcPr>
            <w:tcW w:w="4074" w:type="dxa"/>
          </w:tcPr>
          <w:p w14:paraId="099CCC6E" w14:textId="49FF4169" w:rsidR="00BC6F01" w:rsidRPr="00D462F0" w:rsidDel="00BC6F01" w:rsidRDefault="00BC6F01"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F5B45AA" w14:textId="51D50F19" w:rsidR="00BC6F01" w:rsidRPr="00D462F0" w:rsidDel="00BC6F01" w:rsidRDefault="00BC6F01"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4B8C8351" w14:textId="77777777" w:rsidR="00BC6F01" w:rsidRPr="00D462F0" w:rsidDel="00BC6F01" w:rsidRDefault="00BC6F01" w:rsidP="00D462F0">
            <w:pPr>
              <w:jc w:val="both"/>
              <w:rPr>
                <w:rFonts w:asciiTheme="majorHAnsi" w:hAnsiTheme="majorHAnsi" w:cstheme="majorHAnsi"/>
                <w:sz w:val="24"/>
                <w:szCs w:val="24"/>
              </w:rPr>
            </w:pPr>
          </w:p>
        </w:tc>
        <w:tc>
          <w:tcPr>
            <w:tcW w:w="4075" w:type="dxa"/>
          </w:tcPr>
          <w:p w14:paraId="68969E3A" w14:textId="77777777" w:rsidR="00BC6F01" w:rsidRPr="00D462F0" w:rsidDel="00BC6F01" w:rsidRDefault="00BC6F01" w:rsidP="00D462F0">
            <w:pPr>
              <w:jc w:val="both"/>
              <w:rPr>
                <w:rFonts w:asciiTheme="majorHAnsi" w:hAnsiTheme="majorHAnsi" w:cstheme="majorHAnsi"/>
                <w:bCs/>
                <w:sz w:val="24"/>
                <w:szCs w:val="24"/>
              </w:rPr>
            </w:pPr>
          </w:p>
        </w:tc>
      </w:tr>
      <w:tr w:rsidR="00EB19CA" w:rsidRPr="00C93770" w14:paraId="1A9257CC" w14:textId="77777777" w:rsidTr="1756A420">
        <w:tc>
          <w:tcPr>
            <w:tcW w:w="4074" w:type="dxa"/>
          </w:tcPr>
          <w:p w14:paraId="677CAF88"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2</w:t>
            </w:r>
            <w:proofErr w:type="gramStart"/>
            <w:r w:rsidRPr="00D462F0">
              <w:rPr>
                <w:rFonts w:asciiTheme="majorHAnsi" w:hAnsiTheme="majorHAnsi" w:cstheme="majorHAnsi"/>
                <w:color w:val="000000"/>
                <w:sz w:val="24"/>
                <w:szCs w:val="24"/>
              </w:rPr>
              <w:t>º  O</w:t>
            </w:r>
            <w:proofErr w:type="gramEnd"/>
            <w:r w:rsidRPr="00D462F0">
              <w:rPr>
                <w:rFonts w:asciiTheme="majorHAnsi" w:hAnsiTheme="majorHAnsi" w:cstheme="majorHAnsi"/>
                <w:color w:val="000000"/>
                <w:sz w:val="24"/>
                <w:szCs w:val="24"/>
              </w:rPr>
              <w:t xml:space="preserve"> acompanhamento da ação fiscal será exercido pelo Escritório de Representação da Previc responsável pela equipe de supervisão, reportando ao Diretor de Fiscalização e Monitoramento quaisquer dificuldades ou embaraços opostos à ação fiscal. (Redação dada pela Resolução Previc nº 25, de 15 de outubro de 2024) </w:t>
            </w:r>
          </w:p>
          <w:p w14:paraId="2C17AAF9" w14:textId="7C607AD8" w:rsidR="00EB19CA" w:rsidRPr="00D462F0" w:rsidRDefault="00EB19CA" w:rsidP="00D462F0">
            <w:pPr>
              <w:jc w:val="both"/>
              <w:rPr>
                <w:rFonts w:asciiTheme="majorHAnsi" w:hAnsiTheme="majorHAnsi" w:cstheme="majorHAnsi"/>
                <w:color w:val="000000"/>
                <w:sz w:val="24"/>
                <w:szCs w:val="24"/>
              </w:rPr>
            </w:pPr>
          </w:p>
        </w:tc>
        <w:tc>
          <w:tcPr>
            <w:tcW w:w="4074" w:type="dxa"/>
          </w:tcPr>
          <w:p w14:paraId="696514CD" w14:textId="0578793A"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2</w:t>
            </w:r>
            <w:proofErr w:type="gramStart"/>
            <w:r w:rsidRPr="00D462F0">
              <w:rPr>
                <w:rFonts w:asciiTheme="majorHAnsi" w:hAnsiTheme="majorHAnsi" w:cstheme="majorHAnsi"/>
                <w:bCs/>
                <w:color w:val="000000"/>
                <w:sz w:val="24"/>
                <w:szCs w:val="24"/>
              </w:rPr>
              <w:t>º  O</w:t>
            </w:r>
            <w:proofErr w:type="gramEnd"/>
            <w:r w:rsidRPr="00D462F0">
              <w:rPr>
                <w:rFonts w:asciiTheme="majorHAnsi" w:hAnsiTheme="majorHAnsi" w:cstheme="majorHAnsi"/>
                <w:bCs/>
                <w:color w:val="000000"/>
                <w:sz w:val="24"/>
                <w:szCs w:val="24"/>
              </w:rPr>
              <w:t xml:space="preserve"> acompanhamento da ação fiscal será exercido </w:t>
            </w:r>
            <w:r w:rsidRPr="00D462F0">
              <w:rPr>
                <w:rFonts w:asciiTheme="majorHAnsi" w:hAnsiTheme="majorHAnsi" w:cstheme="majorHAnsi"/>
                <w:strike/>
                <w:color w:val="EE0000"/>
                <w:sz w:val="24"/>
                <w:szCs w:val="24"/>
              </w:rPr>
              <w:t>pelo Escritório de Representação da Previc</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pela Coordenação-Geral de Fiscalização Direta</w:t>
            </w:r>
            <w:r w:rsidRPr="00D462F0">
              <w:rPr>
                <w:rFonts w:asciiTheme="majorHAnsi" w:hAnsiTheme="majorHAnsi" w:cstheme="majorHAnsi"/>
                <w:bCs/>
                <w:color w:val="000000"/>
                <w:sz w:val="24"/>
                <w:szCs w:val="24"/>
              </w:rPr>
              <w:t>, reportando ao Diretor de Fiscalização e Monitoramento quaisquer dificuldades ou embaraços opostos à ação fiscal.</w:t>
            </w:r>
          </w:p>
          <w:p w14:paraId="2306D42C" w14:textId="0527A770" w:rsidR="00EB19CA" w:rsidRPr="00D462F0" w:rsidRDefault="00EB19CA" w:rsidP="00D462F0">
            <w:pPr>
              <w:jc w:val="both"/>
              <w:rPr>
                <w:rFonts w:asciiTheme="majorHAnsi" w:hAnsiTheme="majorHAnsi" w:cstheme="majorHAnsi"/>
                <w:bCs/>
                <w:color w:val="000000"/>
                <w:sz w:val="24"/>
                <w:szCs w:val="24"/>
              </w:rPr>
            </w:pPr>
          </w:p>
        </w:tc>
        <w:tc>
          <w:tcPr>
            <w:tcW w:w="4074" w:type="dxa"/>
          </w:tcPr>
          <w:p w14:paraId="58065AEC" w14:textId="77777777" w:rsidR="00EB19CA" w:rsidRPr="00D462F0" w:rsidRDefault="00EB19CA" w:rsidP="00D462F0">
            <w:pPr>
              <w:jc w:val="both"/>
              <w:rPr>
                <w:rFonts w:asciiTheme="majorHAnsi" w:hAnsiTheme="majorHAnsi" w:cstheme="majorHAnsi"/>
                <w:sz w:val="24"/>
                <w:szCs w:val="24"/>
              </w:rPr>
            </w:pPr>
          </w:p>
        </w:tc>
        <w:tc>
          <w:tcPr>
            <w:tcW w:w="4075" w:type="dxa"/>
          </w:tcPr>
          <w:p w14:paraId="06DAFFC2" w14:textId="77777777" w:rsidR="00EB19CA" w:rsidRPr="00D462F0" w:rsidRDefault="00EB19CA" w:rsidP="00D462F0">
            <w:pPr>
              <w:jc w:val="both"/>
              <w:rPr>
                <w:rFonts w:asciiTheme="majorHAnsi" w:hAnsiTheme="majorHAnsi" w:cstheme="majorHAnsi"/>
                <w:bCs/>
                <w:sz w:val="24"/>
                <w:szCs w:val="24"/>
              </w:rPr>
            </w:pPr>
          </w:p>
        </w:tc>
      </w:tr>
      <w:tr w:rsidR="00EB19CA" w:rsidRPr="00C93770" w14:paraId="58BCB61D" w14:textId="77777777" w:rsidTr="1756A420">
        <w:tc>
          <w:tcPr>
            <w:tcW w:w="4074" w:type="dxa"/>
          </w:tcPr>
          <w:p w14:paraId="1C0BEF76" w14:textId="1C5598FF"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3</w:t>
            </w:r>
            <w:proofErr w:type="gramStart"/>
            <w:r w:rsidRPr="00D462F0">
              <w:rPr>
                <w:rFonts w:asciiTheme="majorHAnsi" w:hAnsiTheme="majorHAnsi" w:cstheme="majorHAnsi"/>
                <w:color w:val="000000"/>
                <w:sz w:val="24"/>
                <w:szCs w:val="24"/>
              </w:rPr>
              <w:t>º  Caso</w:t>
            </w:r>
            <w:proofErr w:type="gramEnd"/>
            <w:r w:rsidRPr="00D462F0">
              <w:rPr>
                <w:rFonts w:asciiTheme="majorHAnsi" w:hAnsiTheme="majorHAnsi" w:cstheme="majorHAnsi"/>
                <w:color w:val="000000"/>
                <w:sz w:val="24"/>
                <w:szCs w:val="24"/>
              </w:rPr>
              <w:t xml:space="preserve">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tc>
        <w:tc>
          <w:tcPr>
            <w:tcW w:w="4074" w:type="dxa"/>
          </w:tcPr>
          <w:p w14:paraId="10EE3545" w14:textId="6DBE160A"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3</w:t>
            </w:r>
            <w:proofErr w:type="gramStart"/>
            <w:r w:rsidRPr="00D462F0">
              <w:rPr>
                <w:rFonts w:asciiTheme="majorHAnsi" w:hAnsiTheme="majorHAnsi" w:cstheme="majorHAnsi"/>
                <w:bCs/>
                <w:color w:val="000000"/>
                <w:sz w:val="24"/>
                <w:szCs w:val="24"/>
              </w:rPr>
              <w:t>º  Caso</w:t>
            </w:r>
            <w:proofErr w:type="gramEnd"/>
            <w:r w:rsidRPr="00D462F0">
              <w:rPr>
                <w:rFonts w:asciiTheme="majorHAnsi" w:hAnsiTheme="majorHAnsi" w:cstheme="majorHAnsi"/>
                <w:bCs/>
                <w:color w:val="000000"/>
                <w:sz w:val="24"/>
                <w:szCs w:val="24"/>
              </w:rPr>
              <w:t xml:space="preserve"> seja verificada a impossibilidade de encerrar a ação fiscal no prazo previsto, a equipe </w:t>
            </w:r>
            <w:r w:rsidRPr="00D462F0">
              <w:rPr>
                <w:rFonts w:asciiTheme="majorHAnsi" w:hAnsiTheme="majorHAnsi" w:cstheme="majorHAnsi"/>
                <w:bCs/>
                <w:strike/>
                <w:color w:val="EE0000"/>
                <w:sz w:val="24"/>
                <w:szCs w:val="24"/>
              </w:rPr>
              <w:t>de fiscalização</w:t>
            </w:r>
            <w:r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FF"/>
                <w:sz w:val="24"/>
                <w:szCs w:val="24"/>
              </w:rPr>
              <w:t>fiscal</w:t>
            </w:r>
            <w:r w:rsidRPr="00D462F0">
              <w:rPr>
                <w:rFonts w:asciiTheme="majorHAnsi" w:hAnsiTheme="majorHAnsi" w:cstheme="majorHAnsi"/>
                <w:bCs/>
                <w:color w:val="000000"/>
                <w:sz w:val="24"/>
                <w:szCs w:val="24"/>
              </w:rPr>
              <w:t xml:space="preserve"> deverá encaminhar a sua chefia pedido de prorrogação fundamentado, com antecedência mínima de cinco dias úteis do termo fixado para o término dos trabalhos, indicando o novo prazo necessário para a sua conclusão.</w:t>
            </w:r>
          </w:p>
        </w:tc>
        <w:tc>
          <w:tcPr>
            <w:tcW w:w="4074" w:type="dxa"/>
          </w:tcPr>
          <w:p w14:paraId="1D7E62C6" w14:textId="77777777" w:rsidR="00EB19CA" w:rsidRPr="00D462F0" w:rsidRDefault="00EB19CA" w:rsidP="00D462F0">
            <w:pPr>
              <w:jc w:val="both"/>
              <w:rPr>
                <w:rFonts w:asciiTheme="majorHAnsi" w:hAnsiTheme="majorHAnsi" w:cstheme="majorHAnsi"/>
                <w:sz w:val="24"/>
                <w:szCs w:val="24"/>
              </w:rPr>
            </w:pPr>
          </w:p>
        </w:tc>
        <w:tc>
          <w:tcPr>
            <w:tcW w:w="4075" w:type="dxa"/>
          </w:tcPr>
          <w:p w14:paraId="149FFD14" w14:textId="77777777" w:rsidR="00EB19CA" w:rsidRPr="00D462F0" w:rsidRDefault="00EB19CA" w:rsidP="00D462F0">
            <w:pPr>
              <w:jc w:val="both"/>
              <w:rPr>
                <w:rFonts w:asciiTheme="majorHAnsi" w:hAnsiTheme="majorHAnsi" w:cstheme="majorHAnsi"/>
                <w:bCs/>
                <w:sz w:val="24"/>
                <w:szCs w:val="24"/>
              </w:rPr>
            </w:pPr>
          </w:p>
        </w:tc>
      </w:tr>
      <w:tr w:rsidR="00EB19CA" w:rsidRPr="00C93770" w14:paraId="099EBD25" w14:textId="77777777" w:rsidTr="1756A420">
        <w:tc>
          <w:tcPr>
            <w:tcW w:w="4074" w:type="dxa"/>
          </w:tcPr>
          <w:p w14:paraId="775B418E" w14:textId="1538533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4</w:t>
            </w:r>
            <w:proofErr w:type="gramStart"/>
            <w:r w:rsidRPr="00D462F0">
              <w:rPr>
                <w:rFonts w:asciiTheme="majorHAnsi" w:hAnsiTheme="majorHAnsi" w:cstheme="majorHAnsi"/>
                <w:color w:val="000000"/>
                <w:sz w:val="24"/>
                <w:szCs w:val="24"/>
              </w:rPr>
              <w:t>º  A</w:t>
            </w:r>
            <w:proofErr w:type="gramEnd"/>
            <w:r w:rsidRPr="00D462F0">
              <w:rPr>
                <w:rFonts w:asciiTheme="majorHAnsi" w:hAnsiTheme="majorHAnsi" w:cstheme="majorHAnsi"/>
                <w:color w:val="000000"/>
                <w:sz w:val="24"/>
                <w:szCs w:val="24"/>
              </w:rPr>
              <w:t xml:space="preserve"> Chefia do Escritório de Representação deverá encaminhar à Coordenação-Geral de Fiscalização Direta - CGFD cópia do ofício de início do procedimento fiscal e suas eventuais </w:t>
            </w:r>
            <w:r w:rsidRPr="00D462F0">
              <w:rPr>
                <w:rFonts w:asciiTheme="majorHAnsi" w:hAnsiTheme="majorHAnsi" w:cstheme="majorHAnsi"/>
                <w:color w:val="000000"/>
                <w:sz w:val="24"/>
                <w:szCs w:val="24"/>
              </w:rPr>
              <w:lastRenderedPageBreak/>
              <w:t>alterações posteriores, no prazo de até cinco dias úteis.</w:t>
            </w:r>
          </w:p>
        </w:tc>
        <w:tc>
          <w:tcPr>
            <w:tcW w:w="4074" w:type="dxa"/>
          </w:tcPr>
          <w:p w14:paraId="02EEE218" w14:textId="4182BA0B"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EE0000"/>
                <w:sz w:val="24"/>
                <w:szCs w:val="24"/>
              </w:rPr>
              <w:lastRenderedPageBreak/>
              <w:t>Revogar</w:t>
            </w:r>
          </w:p>
        </w:tc>
        <w:tc>
          <w:tcPr>
            <w:tcW w:w="4074" w:type="dxa"/>
          </w:tcPr>
          <w:p w14:paraId="21646FCA" w14:textId="3B7E35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Necessário diante dos ajustes nas competências da Coordenação-Geral de Fiscalização Direta nos procedimentos detalhados no art. 240.</w:t>
            </w:r>
          </w:p>
        </w:tc>
        <w:tc>
          <w:tcPr>
            <w:tcW w:w="4075" w:type="dxa"/>
          </w:tcPr>
          <w:p w14:paraId="02C40CD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362D816D" w14:textId="36A8DC4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ocorre em consequência do estabelecimento de instâncias hierárquicas internas de tramitação de processos e designação </w:t>
            </w:r>
            <w:r w:rsidRPr="00D462F0">
              <w:rPr>
                <w:rFonts w:asciiTheme="majorHAnsi" w:hAnsiTheme="majorHAnsi" w:cstheme="majorHAnsi"/>
                <w:bCs/>
                <w:sz w:val="24"/>
                <w:szCs w:val="24"/>
              </w:rPr>
              <w:lastRenderedPageBreak/>
              <w:t xml:space="preserve">de atribuições, tratados no texto da atualização da referida norma. </w:t>
            </w:r>
          </w:p>
          <w:p w14:paraId="25214D49" w14:textId="427BA5A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por se tratar de artigo de natureza administrativa, com efeitos diretos à Previc, o caso se enquadra em não aplicabilidade para a realização de AIR. </w:t>
            </w:r>
          </w:p>
        </w:tc>
      </w:tr>
      <w:tr w:rsidR="000A1A4B" w:rsidRPr="00C93770" w14:paraId="2EEC7542" w14:textId="77777777" w:rsidTr="1756A420">
        <w:tc>
          <w:tcPr>
            <w:tcW w:w="4074" w:type="dxa"/>
          </w:tcPr>
          <w:p w14:paraId="1FDC7667" w14:textId="57C4A507" w:rsidR="000A1A4B" w:rsidRPr="00D462F0" w:rsidRDefault="000A1A4B"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67B71772" w14:textId="23A49EF5" w:rsidR="000A1A4B" w:rsidRPr="00D462F0" w:rsidRDefault="000A1A4B"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760B5BEF" w14:textId="77777777" w:rsidR="000A1A4B" w:rsidRPr="00D462F0" w:rsidRDefault="000A1A4B" w:rsidP="00D462F0">
            <w:pPr>
              <w:jc w:val="both"/>
              <w:rPr>
                <w:rFonts w:asciiTheme="majorHAnsi" w:hAnsiTheme="majorHAnsi" w:cstheme="majorHAnsi"/>
                <w:sz w:val="24"/>
                <w:szCs w:val="24"/>
              </w:rPr>
            </w:pPr>
          </w:p>
        </w:tc>
        <w:tc>
          <w:tcPr>
            <w:tcW w:w="4075" w:type="dxa"/>
          </w:tcPr>
          <w:p w14:paraId="2CD2D2C4" w14:textId="77777777" w:rsidR="000A1A4B" w:rsidRPr="00D462F0" w:rsidRDefault="000A1A4B" w:rsidP="00D462F0">
            <w:pPr>
              <w:jc w:val="both"/>
              <w:rPr>
                <w:rFonts w:asciiTheme="majorHAnsi" w:hAnsiTheme="majorHAnsi" w:cstheme="majorHAnsi"/>
                <w:bCs/>
                <w:sz w:val="24"/>
                <w:szCs w:val="24"/>
              </w:rPr>
            </w:pPr>
          </w:p>
        </w:tc>
      </w:tr>
      <w:tr w:rsidR="00EB19CA" w:rsidRPr="00C93770" w14:paraId="6D9F7458" w14:textId="77777777" w:rsidTr="1756A420">
        <w:tc>
          <w:tcPr>
            <w:tcW w:w="4074" w:type="dxa"/>
          </w:tcPr>
          <w:p w14:paraId="082EAFF2" w14:textId="64F95E7D"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242.  Os procedimentos de fiscalização elencados no art. 231, inciso I, com exceção das alíneas “f” e “g”, serão encerrados com a entrega de Relatório de Fiscalização, que deverá apresentar pelo menos uma das conclusões abaixo indicadas: </w:t>
            </w:r>
          </w:p>
        </w:tc>
        <w:tc>
          <w:tcPr>
            <w:tcW w:w="4074" w:type="dxa"/>
          </w:tcPr>
          <w:p w14:paraId="02208F7D" w14:textId="51D70F9C"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242.  </w:t>
            </w:r>
            <w:r w:rsidR="00BC6F01" w:rsidRPr="00D462F0">
              <w:rPr>
                <w:rFonts w:asciiTheme="majorHAnsi" w:hAnsiTheme="majorHAnsi" w:cstheme="majorHAnsi"/>
                <w:bCs/>
                <w:color w:val="000000"/>
                <w:sz w:val="24"/>
                <w:szCs w:val="24"/>
              </w:rPr>
              <w:t>...</w:t>
            </w:r>
          </w:p>
        </w:tc>
        <w:tc>
          <w:tcPr>
            <w:tcW w:w="4074" w:type="dxa"/>
          </w:tcPr>
          <w:p w14:paraId="362D6735" w14:textId="41DA1C97" w:rsidR="00EB19CA" w:rsidRPr="00D462F0" w:rsidRDefault="00BC6F0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06DD29F6" w14:textId="3ED0A9A9" w:rsidR="00EB19CA" w:rsidRPr="00D462F0" w:rsidRDefault="00EB19CA" w:rsidP="00D462F0">
            <w:pPr>
              <w:jc w:val="both"/>
              <w:rPr>
                <w:rFonts w:asciiTheme="majorHAnsi" w:hAnsiTheme="majorHAnsi" w:cstheme="majorHAnsi"/>
                <w:bCs/>
                <w:sz w:val="24"/>
                <w:szCs w:val="24"/>
              </w:rPr>
            </w:pPr>
          </w:p>
        </w:tc>
      </w:tr>
      <w:tr w:rsidR="000A1A4B" w:rsidRPr="00C93770" w14:paraId="7E098EE4" w14:textId="77777777" w:rsidTr="1756A420">
        <w:tc>
          <w:tcPr>
            <w:tcW w:w="4074" w:type="dxa"/>
          </w:tcPr>
          <w:p w14:paraId="47C350EE" w14:textId="337EA3A0" w:rsidR="000A1A4B" w:rsidRPr="00D462F0" w:rsidRDefault="000A1A4B" w:rsidP="004E06F1">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B04A23D" w14:textId="04B632F9" w:rsidR="000A1A4B" w:rsidRPr="00D462F0" w:rsidRDefault="000A1A4B" w:rsidP="004E06F1">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6BD0C796" w14:textId="77777777" w:rsidR="000A1A4B" w:rsidRPr="00D462F0" w:rsidRDefault="000A1A4B" w:rsidP="00D462F0">
            <w:pPr>
              <w:jc w:val="both"/>
              <w:rPr>
                <w:rFonts w:asciiTheme="majorHAnsi" w:hAnsiTheme="majorHAnsi" w:cstheme="majorHAnsi"/>
                <w:sz w:val="24"/>
                <w:szCs w:val="24"/>
              </w:rPr>
            </w:pPr>
          </w:p>
        </w:tc>
        <w:tc>
          <w:tcPr>
            <w:tcW w:w="4075" w:type="dxa"/>
          </w:tcPr>
          <w:p w14:paraId="4385C5FF" w14:textId="77777777" w:rsidR="000A1A4B" w:rsidRPr="00D462F0" w:rsidRDefault="000A1A4B" w:rsidP="00D462F0">
            <w:pPr>
              <w:jc w:val="both"/>
              <w:rPr>
                <w:rFonts w:asciiTheme="majorHAnsi" w:hAnsiTheme="majorHAnsi" w:cstheme="majorHAnsi"/>
                <w:bCs/>
                <w:sz w:val="24"/>
                <w:szCs w:val="24"/>
              </w:rPr>
            </w:pPr>
          </w:p>
        </w:tc>
      </w:tr>
      <w:tr w:rsidR="00EB19CA" w:rsidRPr="00C93770" w14:paraId="4C69B248" w14:textId="77777777" w:rsidTr="1756A420">
        <w:tc>
          <w:tcPr>
            <w:tcW w:w="4074" w:type="dxa"/>
          </w:tcPr>
          <w:p w14:paraId="3CD995BF" w14:textId="2B1F63FD"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IX - </w:t>
            </w:r>
            <w:proofErr w:type="gramStart"/>
            <w:r w:rsidRPr="00D462F0">
              <w:rPr>
                <w:rFonts w:asciiTheme="majorHAnsi" w:hAnsiTheme="majorHAnsi" w:cstheme="majorHAnsi"/>
                <w:bCs/>
                <w:color w:val="000000"/>
                <w:sz w:val="24"/>
                <w:szCs w:val="24"/>
              </w:rPr>
              <w:t>emissão</w:t>
            </w:r>
            <w:proofErr w:type="gramEnd"/>
            <w:r w:rsidRPr="00D462F0">
              <w:rPr>
                <w:rFonts w:asciiTheme="majorHAnsi" w:hAnsiTheme="majorHAnsi" w:cstheme="majorHAnsi"/>
                <w:bCs/>
                <w:color w:val="000000"/>
                <w:sz w:val="24"/>
                <w:szCs w:val="24"/>
              </w:rPr>
              <w:t xml:space="preserve"> de</w:t>
            </w:r>
            <w:r w:rsidRPr="00D462F0">
              <w:rPr>
                <w:rFonts w:asciiTheme="majorHAnsi" w:hAnsiTheme="majorHAnsi" w:cstheme="majorHAnsi"/>
                <w:color w:val="000000"/>
                <w:sz w:val="24"/>
                <w:szCs w:val="24"/>
              </w:rPr>
              <w:t xml:space="preserve"> auto de infração.</w:t>
            </w:r>
          </w:p>
          <w:p w14:paraId="514B29B3" w14:textId="57D95575" w:rsidR="00EB19CA" w:rsidRPr="00D462F0" w:rsidRDefault="00EB19CA" w:rsidP="00D462F0">
            <w:pPr>
              <w:jc w:val="both"/>
              <w:rPr>
                <w:rFonts w:asciiTheme="majorHAnsi" w:hAnsiTheme="majorHAnsi" w:cstheme="majorHAnsi"/>
                <w:color w:val="000000"/>
                <w:sz w:val="24"/>
                <w:szCs w:val="24"/>
              </w:rPr>
            </w:pPr>
          </w:p>
        </w:tc>
        <w:tc>
          <w:tcPr>
            <w:tcW w:w="4074" w:type="dxa"/>
          </w:tcPr>
          <w:p w14:paraId="0839EFDF" w14:textId="718863C9"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IX – </w:t>
            </w:r>
            <w:proofErr w:type="gramStart"/>
            <w:r w:rsidRPr="00D462F0">
              <w:rPr>
                <w:rFonts w:asciiTheme="majorHAnsi" w:hAnsiTheme="majorHAnsi" w:cstheme="majorHAnsi"/>
                <w:bCs/>
                <w:strike/>
                <w:color w:val="EE0000"/>
                <w:sz w:val="24"/>
                <w:szCs w:val="24"/>
              </w:rPr>
              <w:t>emissão</w:t>
            </w:r>
            <w:proofErr w:type="gramEnd"/>
            <w:r w:rsidRPr="00D462F0">
              <w:rPr>
                <w:rFonts w:asciiTheme="majorHAnsi" w:hAnsiTheme="majorHAnsi" w:cstheme="majorHAnsi"/>
                <w:bCs/>
                <w:strike/>
                <w:color w:val="EE0000"/>
                <w:sz w:val="24"/>
                <w:szCs w:val="24"/>
              </w:rPr>
              <w:t xml:space="preserve"> de</w:t>
            </w:r>
            <w:r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FF"/>
                <w:sz w:val="24"/>
                <w:szCs w:val="24"/>
              </w:rPr>
              <w:t>proposta de lavratura</w:t>
            </w:r>
            <w:r w:rsidRPr="00D462F0">
              <w:rPr>
                <w:rFonts w:asciiTheme="majorHAnsi" w:hAnsiTheme="majorHAnsi" w:cstheme="majorHAnsi"/>
                <w:bCs/>
                <w:color w:val="000000"/>
                <w:sz w:val="24"/>
                <w:szCs w:val="24"/>
              </w:rPr>
              <w:t xml:space="preserve"> de auto de infração.</w:t>
            </w:r>
          </w:p>
          <w:p w14:paraId="4B8B8AF9" w14:textId="77777777" w:rsidR="00EB19CA" w:rsidRPr="00D462F0" w:rsidRDefault="00EB19CA" w:rsidP="00D462F0">
            <w:pPr>
              <w:jc w:val="both"/>
              <w:rPr>
                <w:rFonts w:asciiTheme="majorHAnsi" w:hAnsiTheme="majorHAnsi" w:cstheme="majorHAnsi"/>
                <w:bCs/>
                <w:color w:val="000000"/>
                <w:sz w:val="24"/>
                <w:szCs w:val="24"/>
              </w:rPr>
            </w:pPr>
          </w:p>
        </w:tc>
        <w:tc>
          <w:tcPr>
            <w:tcW w:w="4074" w:type="dxa"/>
          </w:tcPr>
          <w:p w14:paraId="7ED470E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Ajustes redacionais.</w:t>
            </w:r>
          </w:p>
          <w:p w14:paraId="36FC21C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Esclarecimento que o conhecimento do teor do Relatório de Fiscalização é prévio.</w:t>
            </w:r>
          </w:p>
          <w:p w14:paraId="435F4F38" w14:textId="77777777" w:rsidR="00EB19CA" w:rsidRPr="00D462F0" w:rsidRDefault="00EB19CA" w:rsidP="00D462F0">
            <w:pPr>
              <w:jc w:val="both"/>
              <w:rPr>
                <w:rFonts w:asciiTheme="majorHAnsi" w:hAnsiTheme="majorHAnsi" w:cstheme="majorHAnsi"/>
                <w:sz w:val="24"/>
                <w:szCs w:val="24"/>
              </w:rPr>
            </w:pPr>
          </w:p>
        </w:tc>
        <w:tc>
          <w:tcPr>
            <w:tcW w:w="4075" w:type="dxa"/>
          </w:tcPr>
          <w:p w14:paraId="28E9C6D0"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ocorre em consequência do estabelecimento de instâncias hierárquicas internas de tramitação de processos e designação de atribuições, tratados no texto da atualização da referida norma. </w:t>
            </w:r>
          </w:p>
          <w:p w14:paraId="2B7CEC10"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por se tratar de artigo de natureza administrativa, com efeitos diretos à Previc, o caso se enquadra em não aplicabilidade para a realização de AIR. </w:t>
            </w:r>
          </w:p>
          <w:p w14:paraId="3A6EEC3D" w14:textId="77777777" w:rsidR="00EB19CA" w:rsidRPr="00D462F0" w:rsidRDefault="00EB19CA" w:rsidP="00D462F0">
            <w:pPr>
              <w:jc w:val="both"/>
              <w:rPr>
                <w:rFonts w:asciiTheme="majorHAnsi" w:hAnsiTheme="majorHAnsi" w:cstheme="majorHAnsi"/>
                <w:bCs/>
                <w:sz w:val="24"/>
                <w:szCs w:val="24"/>
              </w:rPr>
            </w:pPr>
          </w:p>
        </w:tc>
      </w:tr>
      <w:tr w:rsidR="00EB19CA" w:rsidRPr="00C93770" w14:paraId="4B11393E" w14:textId="77777777" w:rsidTr="1756A420">
        <w:tc>
          <w:tcPr>
            <w:tcW w:w="4074" w:type="dxa"/>
          </w:tcPr>
          <w:p w14:paraId="27AA0CE3" w14:textId="38E0AB02"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1</w:t>
            </w:r>
            <w:proofErr w:type="gramStart"/>
            <w:r w:rsidRPr="00D462F0">
              <w:rPr>
                <w:rFonts w:asciiTheme="majorHAnsi" w:hAnsiTheme="majorHAnsi" w:cstheme="majorHAnsi"/>
                <w:color w:val="000000"/>
                <w:sz w:val="24"/>
                <w:szCs w:val="24"/>
              </w:rPr>
              <w:t>º  A</w:t>
            </w:r>
            <w:proofErr w:type="gramEnd"/>
            <w:r w:rsidRPr="00D462F0">
              <w:rPr>
                <w:rFonts w:asciiTheme="majorHAnsi" w:hAnsiTheme="majorHAnsi" w:cstheme="majorHAnsi"/>
                <w:color w:val="000000"/>
                <w:sz w:val="24"/>
                <w:szCs w:val="24"/>
              </w:rPr>
              <w:t xml:space="preserve"> Coordenação-Geral de Fiscalização Direta e o Diretor de Fiscalização e Monitoramento deverão ter conhecimento do teor do Relatório de Fiscalização.</w:t>
            </w:r>
          </w:p>
        </w:tc>
        <w:tc>
          <w:tcPr>
            <w:tcW w:w="4074" w:type="dxa"/>
          </w:tcPr>
          <w:p w14:paraId="41BD3822" w14:textId="660B8267"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1</w:t>
            </w:r>
            <w:proofErr w:type="gramStart"/>
            <w:r w:rsidRPr="00D462F0">
              <w:rPr>
                <w:rFonts w:asciiTheme="majorHAnsi" w:hAnsiTheme="majorHAnsi" w:cstheme="majorHAnsi"/>
                <w:bCs/>
                <w:color w:val="000000"/>
                <w:sz w:val="24"/>
                <w:szCs w:val="24"/>
              </w:rPr>
              <w:t>º  A</w:t>
            </w:r>
            <w:proofErr w:type="gramEnd"/>
            <w:r w:rsidRPr="00D462F0">
              <w:rPr>
                <w:rFonts w:asciiTheme="majorHAnsi" w:hAnsiTheme="majorHAnsi" w:cstheme="majorHAnsi"/>
                <w:bCs/>
                <w:color w:val="000000"/>
                <w:sz w:val="24"/>
                <w:szCs w:val="24"/>
              </w:rPr>
              <w:t xml:space="preserve"> Coordenação-Geral de Fiscalização Direta e o Diretor de Fiscalização e Monitoramento deverão ter conhecimento </w:t>
            </w:r>
            <w:r w:rsidRPr="00D462F0">
              <w:rPr>
                <w:rFonts w:asciiTheme="majorHAnsi" w:hAnsiTheme="majorHAnsi" w:cstheme="majorHAnsi"/>
                <w:bCs/>
                <w:color w:val="0000FF"/>
                <w:sz w:val="24"/>
                <w:szCs w:val="24"/>
              </w:rPr>
              <w:t>prévio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do teor do Relatório de Fiscalização.</w:t>
            </w:r>
          </w:p>
        </w:tc>
        <w:tc>
          <w:tcPr>
            <w:tcW w:w="4074" w:type="dxa"/>
          </w:tcPr>
          <w:p w14:paraId="131F37C3" w14:textId="77777777" w:rsidR="00EB19CA" w:rsidRPr="00D462F0" w:rsidRDefault="00EB19CA" w:rsidP="00D462F0">
            <w:pPr>
              <w:jc w:val="both"/>
              <w:rPr>
                <w:rFonts w:asciiTheme="majorHAnsi" w:hAnsiTheme="majorHAnsi" w:cstheme="majorHAnsi"/>
                <w:sz w:val="24"/>
                <w:szCs w:val="24"/>
              </w:rPr>
            </w:pPr>
          </w:p>
        </w:tc>
        <w:tc>
          <w:tcPr>
            <w:tcW w:w="4075" w:type="dxa"/>
          </w:tcPr>
          <w:p w14:paraId="60FC658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2FAAEB4A" w14:textId="77777777" w:rsidR="00EB19CA" w:rsidRPr="00D462F0" w:rsidRDefault="00EB19CA" w:rsidP="00D462F0">
            <w:pPr>
              <w:jc w:val="both"/>
              <w:rPr>
                <w:rFonts w:asciiTheme="majorHAnsi" w:hAnsiTheme="majorHAnsi" w:cstheme="majorHAnsi"/>
                <w:bCs/>
                <w:sz w:val="24"/>
                <w:szCs w:val="24"/>
              </w:rPr>
            </w:pPr>
          </w:p>
        </w:tc>
      </w:tr>
      <w:tr w:rsidR="000A1A4B" w:rsidRPr="00C93770" w14:paraId="17EE4EAB" w14:textId="77777777" w:rsidTr="1756A420">
        <w:tc>
          <w:tcPr>
            <w:tcW w:w="4074" w:type="dxa"/>
          </w:tcPr>
          <w:p w14:paraId="1AEAF8FF" w14:textId="6C4341A8" w:rsidR="000A1A4B" w:rsidRPr="00D462F0" w:rsidRDefault="000A1A4B"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435F1FDC" w14:textId="1B74D619" w:rsidR="000A1A4B" w:rsidRPr="00D462F0" w:rsidRDefault="000A1A4B"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335610DE" w14:textId="77777777" w:rsidR="000A1A4B" w:rsidRPr="00D462F0" w:rsidRDefault="000A1A4B" w:rsidP="00D462F0">
            <w:pPr>
              <w:jc w:val="both"/>
              <w:rPr>
                <w:rFonts w:asciiTheme="majorHAnsi" w:hAnsiTheme="majorHAnsi" w:cstheme="majorHAnsi"/>
                <w:sz w:val="24"/>
                <w:szCs w:val="24"/>
              </w:rPr>
            </w:pPr>
          </w:p>
        </w:tc>
        <w:tc>
          <w:tcPr>
            <w:tcW w:w="4075" w:type="dxa"/>
          </w:tcPr>
          <w:p w14:paraId="07D1D53E" w14:textId="77777777" w:rsidR="000A1A4B" w:rsidRPr="00D462F0" w:rsidRDefault="000A1A4B" w:rsidP="00D462F0">
            <w:pPr>
              <w:jc w:val="both"/>
              <w:rPr>
                <w:rFonts w:asciiTheme="majorHAnsi" w:hAnsiTheme="majorHAnsi" w:cstheme="majorHAnsi"/>
                <w:bCs/>
                <w:sz w:val="24"/>
                <w:szCs w:val="24"/>
              </w:rPr>
            </w:pPr>
          </w:p>
        </w:tc>
      </w:tr>
      <w:tr w:rsidR="00EB19CA" w:rsidRPr="00C93770" w14:paraId="362E7F7C" w14:textId="77777777" w:rsidTr="1756A420">
        <w:tc>
          <w:tcPr>
            <w:tcW w:w="4074" w:type="dxa"/>
          </w:tcPr>
          <w:p w14:paraId="43F21440" w14:textId="4219C7FB"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246. </w:t>
            </w:r>
            <w:r w:rsidR="00E4154A"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A equipe de fiscalização deverá, sempre que possível, diligenciar no sentido de obter </w:t>
            </w:r>
            <w:r w:rsidRPr="00D462F0">
              <w:rPr>
                <w:rFonts w:asciiTheme="majorHAnsi" w:hAnsiTheme="majorHAnsi" w:cstheme="majorHAnsi"/>
                <w:bCs/>
                <w:color w:val="000000"/>
                <w:sz w:val="24"/>
                <w:szCs w:val="24"/>
              </w:rPr>
              <w:t xml:space="preserve">diretamente do </w:t>
            </w:r>
            <w:r w:rsidRPr="00D462F0">
              <w:rPr>
                <w:rFonts w:asciiTheme="majorHAnsi" w:hAnsiTheme="majorHAnsi" w:cstheme="majorHAnsi"/>
                <w:bCs/>
                <w:color w:val="000000"/>
                <w:sz w:val="24"/>
                <w:szCs w:val="24"/>
              </w:rPr>
              <w:lastRenderedPageBreak/>
              <w:t>investigado esclarecimento</w:t>
            </w:r>
            <w:r w:rsidRPr="00D462F0">
              <w:rPr>
                <w:rFonts w:asciiTheme="majorHAnsi" w:hAnsiTheme="majorHAnsi" w:cstheme="majorHAnsi"/>
                <w:color w:val="000000"/>
                <w:sz w:val="24"/>
                <w:szCs w:val="24"/>
              </w:rPr>
              <w:t xml:space="preserve"> sobre os fatos que podem ser a ele imputados.</w:t>
            </w:r>
          </w:p>
        </w:tc>
        <w:tc>
          <w:tcPr>
            <w:tcW w:w="4074" w:type="dxa"/>
          </w:tcPr>
          <w:p w14:paraId="38FFB5FD" w14:textId="6603B72B"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lastRenderedPageBreak/>
              <w:t xml:space="preserve">Art. 246. </w:t>
            </w:r>
            <w:r w:rsidR="00E4154A"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 xml:space="preserve">A equipe de fiscalização deverá, sempre que possível, diligenciar no sentido de obter </w:t>
            </w:r>
            <w:r w:rsidRPr="00D462F0">
              <w:rPr>
                <w:rFonts w:asciiTheme="majorHAnsi" w:hAnsiTheme="majorHAnsi" w:cstheme="majorHAnsi"/>
                <w:bCs/>
                <w:strike/>
                <w:color w:val="EE0000"/>
                <w:sz w:val="24"/>
                <w:szCs w:val="24"/>
              </w:rPr>
              <w:t>diretamente do investigado esclarecimento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lastRenderedPageBreak/>
              <w:t xml:space="preserve">esclarecimentos diretamente do responsável pelos </w:t>
            </w:r>
            <w:r w:rsidRPr="00D462F0">
              <w:rPr>
                <w:rFonts w:asciiTheme="majorHAnsi" w:hAnsiTheme="majorHAnsi" w:cstheme="majorHAnsi"/>
                <w:bCs/>
                <w:color w:val="000000"/>
                <w:sz w:val="24"/>
                <w:szCs w:val="24"/>
              </w:rPr>
              <w:t>fatos que podem ser a ele imputados.</w:t>
            </w:r>
          </w:p>
        </w:tc>
        <w:tc>
          <w:tcPr>
            <w:tcW w:w="4074" w:type="dxa"/>
          </w:tcPr>
          <w:p w14:paraId="573A6B2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Clareza textual</w:t>
            </w:r>
          </w:p>
          <w:p w14:paraId="44F5837A" w14:textId="3AB89BB6" w:rsidR="00EB19CA" w:rsidRPr="00D462F0" w:rsidRDefault="00EB19CA" w:rsidP="00D462F0">
            <w:pPr>
              <w:jc w:val="both"/>
              <w:rPr>
                <w:rFonts w:asciiTheme="majorHAnsi" w:hAnsiTheme="majorHAnsi" w:cstheme="majorHAnsi"/>
                <w:sz w:val="24"/>
                <w:szCs w:val="24"/>
              </w:rPr>
            </w:pPr>
          </w:p>
        </w:tc>
        <w:tc>
          <w:tcPr>
            <w:tcW w:w="4075" w:type="dxa"/>
          </w:tcPr>
          <w:p w14:paraId="11E790D2" w14:textId="4C8F416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4FF3D271" w14:textId="572BA14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atualização do artigo ocorre em consequência do estabelecimento de </w:t>
            </w:r>
            <w:r w:rsidRPr="00D462F0">
              <w:rPr>
                <w:rFonts w:asciiTheme="majorHAnsi" w:hAnsiTheme="majorHAnsi" w:cstheme="majorHAnsi"/>
                <w:bCs/>
                <w:sz w:val="24"/>
                <w:szCs w:val="24"/>
              </w:rPr>
              <w:lastRenderedPageBreak/>
              <w:t xml:space="preserve">instâncias hierárquicas internas de tramitação de processos e designação de atribuições, tratados no texto da atualização da referida norma. </w:t>
            </w:r>
          </w:p>
          <w:p w14:paraId="19C1AD9F" w14:textId="57DD11C4"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r w:rsidR="00E4154A" w:rsidRPr="00C93770" w14:paraId="5CCDF108" w14:textId="77777777" w:rsidTr="1756A420">
        <w:tc>
          <w:tcPr>
            <w:tcW w:w="4074" w:type="dxa"/>
          </w:tcPr>
          <w:p w14:paraId="26C4850A" w14:textId="29779A5A" w:rsidR="00E4154A" w:rsidRPr="00D462F0" w:rsidRDefault="00E4154A"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5C309C16" w14:textId="3A5A60D5" w:rsidR="00E4154A" w:rsidRPr="00D462F0" w:rsidRDefault="00E4154A" w:rsidP="0028717C">
            <w:pPr>
              <w:jc w:val="center"/>
              <w:rPr>
                <w:rFonts w:asciiTheme="majorHAnsi" w:hAnsiTheme="majorHAnsi" w:cstheme="majorHAnsi"/>
                <w:color w:val="EE0000"/>
                <w:sz w:val="24"/>
                <w:szCs w:val="24"/>
              </w:rPr>
            </w:pPr>
            <w:r w:rsidRPr="00D462F0">
              <w:rPr>
                <w:rFonts w:asciiTheme="majorHAnsi" w:hAnsiTheme="majorHAnsi" w:cstheme="majorHAnsi"/>
                <w:sz w:val="24"/>
                <w:szCs w:val="24"/>
              </w:rPr>
              <w:t>...</w:t>
            </w:r>
          </w:p>
        </w:tc>
        <w:tc>
          <w:tcPr>
            <w:tcW w:w="4074" w:type="dxa"/>
          </w:tcPr>
          <w:p w14:paraId="4FE0CE75" w14:textId="77777777" w:rsidR="00E4154A" w:rsidRPr="00D462F0" w:rsidRDefault="00E4154A" w:rsidP="00D462F0">
            <w:pPr>
              <w:jc w:val="both"/>
              <w:rPr>
                <w:rFonts w:asciiTheme="majorHAnsi" w:hAnsiTheme="majorHAnsi" w:cstheme="majorHAnsi"/>
                <w:sz w:val="24"/>
                <w:szCs w:val="24"/>
              </w:rPr>
            </w:pPr>
          </w:p>
        </w:tc>
        <w:tc>
          <w:tcPr>
            <w:tcW w:w="4075" w:type="dxa"/>
          </w:tcPr>
          <w:p w14:paraId="7E5D4FDE" w14:textId="77777777" w:rsidR="00E4154A" w:rsidRPr="00D462F0" w:rsidRDefault="00E4154A" w:rsidP="00D462F0">
            <w:pPr>
              <w:jc w:val="both"/>
              <w:rPr>
                <w:rFonts w:asciiTheme="majorHAnsi" w:hAnsiTheme="majorHAnsi" w:cstheme="majorHAnsi"/>
                <w:bCs/>
                <w:sz w:val="24"/>
                <w:szCs w:val="24"/>
              </w:rPr>
            </w:pPr>
          </w:p>
        </w:tc>
      </w:tr>
      <w:tr w:rsidR="00E4154A" w:rsidRPr="00C93770" w14:paraId="05DFDE56" w14:textId="77777777" w:rsidTr="1756A420">
        <w:tc>
          <w:tcPr>
            <w:tcW w:w="4074" w:type="dxa"/>
          </w:tcPr>
          <w:p w14:paraId="4832A0A8" w14:textId="77777777" w:rsidR="00E4154A" w:rsidRPr="00D462F0" w:rsidRDefault="00E4154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w:t>
            </w:r>
          </w:p>
          <w:p w14:paraId="18DD7237" w14:textId="4423617F" w:rsidR="00E4154A" w:rsidRPr="00D462F0" w:rsidRDefault="00E4154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Termo de Ajustamento de Conduta</w:t>
            </w:r>
          </w:p>
        </w:tc>
        <w:tc>
          <w:tcPr>
            <w:tcW w:w="4074" w:type="dxa"/>
          </w:tcPr>
          <w:p w14:paraId="264C6149" w14:textId="77777777" w:rsidR="00E4154A" w:rsidRPr="00D462F0" w:rsidRDefault="00E4154A" w:rsidP="0028717C">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w:t>
            </w:r>
          </w:p>
          <w:p w14:paraId="0273668D" w14:textId="5B3D05B5" w:rsidR="00E4154A" w:rsidRPr="00D462F0" w:rsidRDefault="00E4154A" w:rsidP="0028717C">
            <w:pPr>
              <w:jc w:val="center"/>
              <w:rPr>
                <w:rFonts w:asciiTheme="majorHAnsi" w:hAnsiTheme="majorHAnsi" w:cstheme="majorHAnsi"/>
                <w:b/>
                <w:strike/>
                <w:color w:val="EE0000"/>
                <w:sz w:val="24"/>
                <w:szCs w:val="24"/>
              </w:rPr>
            </w:pPr>
            <w:r w:rsidRPr="00D462F0">
              <w:rPr>
                <w:rFonts w:asciiTheme="majorHAnsi" w:hAnsiTheme="majorHAnsi" w:cstheme="majorHAnsi"/>
                <w:b/>
                <w:color w:val="000000"/>
                <w:sz w:val="24"/>
                <w:szCs w:val="24"/>
              </w:rPr>
              <w:t>Termo de Ajustamento de Conduta</w:t>
            </w:r>
          </w:p>
        </w:tc>
        <w:tc>
          <w:tcPr>
            <w:tcW w:w="4074" w:type="dxa"/>
          </w:tcPr>
          <w:p w14:paraId="2031ED0A" w14:textId="77777777" w:rsidR="00E4154A" w:rsidRPr="00D462F0" w:rsidRDefault="00E4154A" w:rsidP="00D462F0">
            <w:pPr>
              <w:jc w:val="both"/>
              <w:rPr>
                <w:rFonts w:asciiTheme="majorHAnsi" w:hAnsiTheme="majorHAnsi" w:cstheme="majorHAnsi"/>
                <w:sz w:val="24"/>
                <w:szCs w:val="24"/>
              </w:rPr>
            </w:pPr>
          </w:p>
        </w:tc>
        <w:tc>
          <w:tcPr>
            <w:tcW w:w="4075" w:type="dxa"/>
          </w:tcPr>
          <w:p w14:paraId="365F6CDB" w14:textId="77777777" w:rsidR="00E4154A" w:rsidRPr="00D462F0" w:rsidRDefault="00E4154A" w:rsidP="00D462F0">
            <w:pPr>
              <w:jc w:val="both"/>
              <w:rPr>
                <w:rFonts w:asciiTheme="majorHAnsi" w:hAnsiTheme="majorHAnsi" w:cstheme="majorHAnsi"/>
                <w:bCs/>
                <w:sz w:val="24"/>
                <w:szCs w:val="24"/>
              </w:rPr>
            </w:pPr>
          </w:p>
        </w:tc>
      </w:tr>
      <w:tr w:rsidR="00CC77CB" w:rsidRPr="00C93770" w14:paraId="6C9EA93F" w14:textId="77777777" w:rsidTr="1756A420">
        <w:tc>
          <w:tcPr>
            <w:tcW w:w="4074" w:type="dxa"/>
          </w:tcPr>
          <w:p w14:paraId="1A2CC421" w14:textId="2A5FA873" w:rsidR="00CC77CB" w:rsidRPr="00D462F0" w:rsidRDefault="00CC77CB"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426CE7A0" w14:textId="713568C9" w:rsidR="00CC77CB" w:rsidRPr="00D462F0" w:rsidRDefault="00CC77CB" w:rsidP="0028717C">
            <w:pPr>
              <w:jc w:val="center"/>
              <w:rPr>
                <w:rFonts w:asciiTheme="majorHAnsi" w:hAnsiTheme="majorHAnsi" w:cstheme="majorHAnsi"/>
                <w:color w:val="EE0000"/>
                <w:sz w:val="24"/>
                <w:szCs w:val="24"/>
              </w:rPr>
            </w:pPr>
            <w:r w:rsidRPr="00D462F0">
              <w:rPr>
                <w:rFonts w:asciiTheme="majorHAnsi" w:hAnsiTheme="majorHAnsi" w:cstheme="majorHAnsi"/>
                <w:sz w:val="24"/>
                <w:szCs w:val="24"/>
              </w:rPr>
              <w:t>...</w:t>
            </w:r>
          </w:p>
        </w:tc>
        <w:tc>
          <w:tcPr>
            <w:tcW w:w="4074" w:type="dxa"/>
          </w:tcPr>
          <w:p w14:paraId="66FEC375" w14:textId="77777777" w:rsidR="00CC77CB" w:rsidRPr="00D462F0" w:rsidRDefault="00CC77CB" w:rsidP="00D462F0">
            <w:pPr>
              <w:jc w:val="both"/>
              <w:rPr>
                <w:rFonts w:asciiTheme="majorHAnsi" w:hAnsiTheme="majorHAnsi" w:cstheme="majorHAnsi"/>
                <w:sz w:val="24"/>
                <w:szCs w:val="24"/>
              </w:rPr>
            </w:pPr>
          </w:p>
        </w:tc>
        <w:tc>
          <w:tcPr>
            <w:tcW w:w="4075" w:type="dxa"/>
          </w:tcPr>
          <w:p w14:paraId="569D53A4" w14:textId="77777777" w:rsidR="00CC77CB" w:rsidRPr="00D462F0" w:rsidRDefault="00CC77CB" w:rsidP="00D462F0">
            <w:pPr>
              <w:jc w:val="both"/>
              <w:rPr>
                <w:rFonts w:asciiTheme="majorHAnsi" w:hAnsiTheme="majorHAnsi" w:cstheme="majorHAnsi"/>
                <w:bCs/>
                <w:sz w:val="24"/>
                <w:szCs w:val="24"/>
              </w:rPr>
            </w:pPr>
          </w:p>
        </w:tc>
      </w:tr>
      <w:tr w:rsidR="00EB19CA" w:rsidRPr="00C93770" w14:paraId="7A4E9CB4" w14:textId="77777777" w:rsidTr="1756A420">
        <w:tc>
          <w:tcPr>
            <w:tcW w:w="4074" w:type="dxa"/>
          </w:tcPr>
          <w:p w14:paraId="6A00D576" w14:textId="2CDB2CC0"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252. </w:t>
            </w:r>
            <w:r w:rsidRPr="00D462F0">
              <w:rPr>
                <w:rFonts w:asciiTheme="majorHAnsi" w:hAnsiTheme="majorHAnsi" w:cstheme="majorHAnsi"/>
                <w:bCs/>
                <w:color w:val="000000"/>
                <w:sz w:val="24"/>
                <w:szCs w:val="24"/>
              </w:rPr>
              <w:t>A propositura do Termo de Ajustamento de Conduta é prerrogativa do interessado em corrigir determinada conduta passível de autuação pela Previc</w:t>
            </w:r>
            <w:r w:rsidRPr="00D462F0">
              <w:rPr>
                <w:rFonts w:asciiTheme="majorHAnsi" w:hAnsiTheme="majorHAnsi" w:cstheme="majorHAnsi"/>
                <w:color w:val="000000"/>
                <w:sz w:val="24"/>
                <w:szCs w:val="24"/>
              </w:rPr>
              <w:t xml:space="preserve"> e constitui título executivo extrajudicial, nos 75 termos do § 6º do art. 5º da Lei nº 7.347, de 24 de julho de 1985, e do inciso IV do art. 784 do Código de Processo Civil.</w:t>
            </w:r>
          </w:p>
        </w:tc>
        <w:tc>
          <w:tcPr>
            <w:tcW w:w="4074" w:type="dxa"/>
          </w:tcPr>
          <w:p w14:paraId="38026A9D" w14:textId="7D94B3E9" w:rsidR="00EB19CA" w:rsidRPr="00D462F0" w:rsidRDefault="00EB19CA" w:rsidP="00D462F0">
            <w:pPr>
              <w:jc w:val="both"/>
              <w:rPr>
                <w:rFonts w:asciiTheme="majorHAnsi" w:hAnsiTheme="majorHAnsi" w:cstheme="majorHAnsi"/>
                <w:bCs/>
                <w:color w:val="EE0000"/>
                <w:sz w:val="24"/>
                <w:szCs w:val="24"/>
              </w:rPr>
            </w:pPr>
            <w:r w:rsidRPr="00D462F0">
              <w:rPr>
                <w:rFonts w:asciiTheme="majorHAnsi" w:hAnsiTheme="majorHAnsi" w:cstheme="majorHAnsi"/>
                <w:color w:val="EE0000"/>
                <w:sz w:val="24"/>
                <w:szCs w:val="24"/>
              </w:rPr>
              <w:t xml:space="preserve">Art. 252. </w:t>
            </w:r>
            <w:r w:rsidRPr="00D462F0">
              <w:rPr>
                <w:rFonts w:asciiTheme="majorHAnsi" w:hAnsiTheme="majorHAnsi" w:cstheme="majorHAnsi"/>
                <w:bCs/>
                <w:strike/>
                <w:color w:val="EE0000"/>
                <w:sz w:val="24"/>
                <w:szCs w:val="24"/>
              </w:rPr>
              <w:t xml:space="preserve">A propositura </w:t>
            </w:r>
            <w:proofErr w:type="spellStart"/>
            <w:r w:rsidRPr="004E06F1">
              <w:rPr>
                <w:rFonts w:asciiTheme="majorHAnsi" w:hAnsiTheme="majorHAnsi" w:cstheme="majorHAnsi"/>
                <w:bCs/>
                <w:strike/>
                <w:color w:val="FF0000"/>
                <w:sz w:val="24"/>
                <w:szCs w:val="24"/>
              </w:rPr>
              <w:t>do</w:t>
            </w:r>
            <w:r w:rsidR="00873D21" w:rsidRPr="00D462F0">
              <w:rPr>
                <w:rFonts w:asciiTheme="majorHAnsi" w:hAnsiTheme="majorHAnsi" w:cstheme="majorHAnsi"/>
                <w:bCs/>
                <w:color w:val="000000" w:themeColor="text1"/>
                <w:sz w:val="24"/>
                <w:szCs w:val="24"/>
              </w:rPr>
              <w:t>O</w:t>
            </w:r>
            <w:proofErr w:type="spellEnd"/>
            <w:r w:rsidR="00E82944">
              <w:rPr>
                <w:rFonts w:asciiTheme="majorHAnsi" w:hAnsiTheme="majorHAnsi" w:cstheme="majorHAnsi"/>
                <w:bCs/>
                <w:color w:val="000000" w:themeColor="text1"/>
                <w:sz w:val="24"/>
                <w:szCs w:val="24"/>
              </w:rPr>
              <w:t xml:space="preserve"> </w:t>
            </w:r>
            <w:r w:rsidRPr="00D462F0">
              <w:rPr>
                <w:rFonts w:asciiTheme="majorHAnsi" w:hAnsiTheme="majorHAnsi" w:cstheme="majorHAnsi"/>
                <w:bCs/>
                <w:color w:val="000000" w:themeColor="text1"/>
                <w:sz w:val="24"/>
                <w:szCs w:val="24"/>
              </w:rPr>
              <w:t>Termo de Ajustamento de Conduta</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trike/>
                <w:color w:val="EE0000"/>
                <w:sz w:val="24"/>
                <w:szCs w:val="24"/>
              </w:rPr>
              <w:t>é prerrogativa do interessado em corrigir determinada conduta passível de autuação</w:t>
            </w:r>
            <w:r w:rsidRPr="00D462F0">
              <w:rPr>
                <w:rFonts w:asciiTheme="majorHAnsi" w:hAnsiTheme="majorHAnsi" w:cstheme="majorHAnsi"/>
                <w:bCs/>
                <w:color w:val="EE0000"/>
                <w:sz w:val="24"/>
                <w:szCs w:val="24"/>
              </w:rPr>
              <w:t xml:space="preserve"> </w:t>
            </w:r>
            <w:r w:rsidR="00E82944">
              <w:rPr>
                <w:rFonts w:asciiTheme="majorHAnsi" w:hAnsiTheme="majorHAnsi" w:cstheme="majorHAnsi"/>
                <w:bCs/>
                <w:color w:val="EE0000"/>
                <w:sz w:val="24"/>
                <w:szCs w:val="24"/>
              </w:rPr>
              <w:t xml:space="preserve">– TAC </w:t>
            </w:r>
            <w:r w:rsidR="00873D21" w:rsidRPr="00D462F0">
              <w:rPr>
                <w:rFonts w:asciiTheme="majorHAnsi" w:hAnsiTheme="majorHAnsi" w:cstheme="majorHAnsi"/>
                <w:bCs/>
                <w:color w:val="0000FF"/>
                <w:sz w:val="24"/>
                <w:szCs w:val="24"/>
              </w:rPr>
              <w:t xml:space="preserve">pode ser proposto de ofício </w:t>
            </w:r>
            <w:r w:rsidRPr="00D462F0">
              <w:rPr>
                <w:rFonts w:asciiTheme="majorHAnsi" w:hAnsiTheme="majorHAnsi" w:cstheme="majorHAnsi"/>
                <w:bCs/>
                <w:color w:val="000000" w:themeColor="text1"/>
                <w:sz w:val="24"/>
                <w:szCs w:val="24"/>
              </w:rPr>
              <w:t>pela Previc</w:t>
            </w:r>
            <w:r w:rsidR="00873D21" w:rsidRPr="00D462F0">
              <w:rPr>
                <w:rFonts w:asciiTheme="majorHAnsi" w:hAnsiTheme="majorHAnsi" w:cstheme="majorHAnsi"/>
                <w:bCs/>
                <w:color w:val="000000" w:themeColor="text1"/>
                <w:sz w:val="24"/>
                <w:szCs w:val="24"/>
              </w:rPr>
              <w:t xml:space="preserve"> </w:t>
            </w:r>
            <w:r w:rsidR="00873D21" w:rsidRPr="00D462F0">
              <w:rPr>
                <w:rFonts w:asciiTheme="majorHAnsi" w:hAnsiTheme="majorHAnsi" w:cstheme="majorHAnsi"/>
                <w:bCs/>
                <w:color w:val="0000FF"/>
                <w:sz w:val="24"/>
                <w:szCs w:val="24"/>
              </w:rPr>
              <w:t>ou mediante requerimento do interessado</w:t>
            </w:r>
            <w:r w:rsidRPr="00D462F0">
              <w:rPr>
                <w:rFonts w:asciiTheme="majorHAnsi" w:hAnsiTheme="majorHAnsi" w:cstheme="majorHAnsi"/>
                <w:color w:val="0000FF"/>
                <w:sz w:val="24"/>
                <w:szCs w:val="24"/>
              </w:rPr>
              <w:t xml:space="preserve"> </w:t>
            </w:r>
            <w:r w:rsidRPr="00D462F0">
              <w:rPr>
                <w:rFonts w:asciiTheme="majorHAnsi" w:hAnsiTheme="majorHAnsi" w:cstheme="majorHAnsi"/>
                <w:sz w:val="24"/>
                <w:szCs w:val="24"/>
              </w:rPr>
              <w:t>e</w:t>
            </w:r>
            <w:r w:rsidR="00873D21" w:rsidRPr="00D462F0">
              <w:rPr>
                <w:rFonts w:asciiTheme="majorHAnsi" w:hAnsiTheme="majorHAnsi" w:cstheme="majorHAnsi"/>
                <w:color w:val="EE0000"/>
                <w:sz w:val="24"/>
                <w:szCs w:val="24"/>
              </w:rPr>
              <w:t xml:space="preserve">, </w:t>
            </w:r>
            <w:r w:rsidR="00873D21" w:rsidRPr="00D462F0">
              <w:rPr>
                <w:rFonts w:asciiTheme="majorHAnsi" w:hAnsiTheme="majorHAnsi" w:cstheme="majorHAnsi"/>
                <w:color w:val="0000FF"/>
                <w:sz w:val="24"/>
                <w:szCs w:val="24"/>
              </w:rPr>
              <w:t>uma vez celebrado,</w:t>
            </w:r>
            <w:r w:rsidRPr="00D462F0">
              <w:rPr>
                <w:rFonts w:asciiTheme="majorHAnsi" w:hAnsiTheme="majorHAnsi" w:cstheme="majorHAnsi"/>
                <w:color w:val="0000FF"/>
                <w:sz w:val="24"/>
                <w:szCs w:val="24"/>
              </w:rPr>
              <w:t xml:space="preserve"> </w:t>
            </w:r>
            <w:r w:rsidRPr="00D462F0">
              <w:rPr>
                <w:rFonts w:asciiTheme="majorHAnsi" w:hAnsiTheme="majorHAnsi" w:cstheme="majorHAnsi"/>
                <w:color w:val="000000" w:themeColor="text1"/>
                <w:sz w:val="24"/>
                <w:szCs w:val="24"/>
              </w:rPr>
              <w:t>constitui título executivo extrajudicial, nos 75 termos do § 6º do art. 5º da Lei nº 7.347, de 24 de julho de 1985, e do inciso IV do art. 784 do Código de Processo Civil.</w:t>
            </w:r>
          </w:p>
          <w:p w14:paraId="3D09FE9D" w14:textId="78CDCF5D" w:rsidR="00EB19CA" w:rsidRPr="00D462F0" w:rsidRDefault="00EB19CA" w:rsidP="00D462F0">
            <w:pPr>
              <w:jc w:val="both"/>
              <w:rPr>
                <w:rFonts w:asciiTheme="majorHAnsi" w:hAnsiTheme="majorHAnsi" w:cstheme="majorHAnsi"/>
                <w:bCs/>
                <w:color w:val="000000"/>
                <w:sz w:val="24"/>
                <w:szCs w:val="24"/>
              </w:rPr>
            </w:pPr>
          </w:p>
        </w:tc>
        <w:tc>
          <w:tcPr>
            <w:tcW w:w="4074" w:type="dxa"/>
          </w:tcPr>
          <w:p w14:paraId="6E16AA1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Alteração para indicar que o TAC não é um direito do interessado, mas apenas uma possibilidade, e uma prerrogativa da Previc.</w:t>
            </w:r>
          </w:p>
          <w:p w14:paraId="43799258" w14:textId="5BEB5487" w:rsidR="00EB19CA" w:rsidRPr="00D462F0" w:rsidRDefault="00EB19CA" w:rsidP="00D462F0">
            <w:pPr>
              <w:jc w:val="both"/>
              <w:rPr>
                <w:rFonts w:asciiTheme="majorHAnsi" w:hAnsiTheme="majorHAnsi" w:cstheme="majorHAnsi"/>
                <w:sz w:val="24"/>
                <w:szCs w:val="24"/>
              </w:rPr>
            </w:pPr>
          </w:p>
        </w:tc>
        <w:tc>
          <w:tcPr>
            <w:tcW w:w="4075" w:type="dxa"/>
          </w:tcPr>
          <w:p w14:paraId="17608B73"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6DD269FB" w14:textId="1942A71A"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atualização pretende destacar o TAC como uma possibilidade ao interessado, e como uma prerrogativa da Previc para assegurar maior higidez tanto no âmbito da EFPC quanto do sistema de previdência complementar fechada. Considerando como componente da higidez o pilar da preservação da conformidade regulatória, o TAC oportuniza à EFPC a possibilidade de restaurar seu alinhamento com as normas da Previc, do CNPC e da legislação aplicável, e na governança e controles internos da entidade; funcionando como gatilho para o fortalecimento de práticas internas que sustentam a higidez. </w:t>
            </w:r>
          </w:p>
          <w:p w14:paraId="3C38ACA8"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29F0147C" w14:textId="6544873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Por isso, o artigo em questão se enquadra na dispensa de análise de impacto regulatório, por visar preservar </w:t>
            </w:r>
            <w:r w:rsidRPr="00D462F0">
              <w:rPr>
                <w:rFonts w:asciiTheme="majorHAnsi" w:hAnsiTheme="majorHAnsi" w:cstheme="majorHAnsi"/>
                <w:bCs/>
                <w:sz w:val="24"/>
                <w:szCs w:val="24"/>
              </w:rPr>
              <w:lastRenderedPageBreak/>
              <w:t>a liquidez, solvência ou higidez, conforme art. 4º, inciso V, alínea “a”, do Decreto nº 10.411, de 2020.</w:t>
            </w:r>
          </w:p>
        </w:tc>
      </w:tr>
      <w:tr w:rsidR="00CC77CB" w:rsidRPr="00C93770" w14:paraId="045E6306" w14:textId="77777777" w:rsidTr="1756A420">
        <w:tc>
          <w:tcPr>
            <w:tcW w:w="4074" w:type="dxa"/>
          </w:tcPr>
          <w:p w14:paraId="4E8C2A17" w14:textId="559A68A8" w:rsidR="00CC77CB" w:rsidRPr="00D462F0" w:rsidRDefault="00CC77CB" w:rsidP="0028717C">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72378294" w14:textId="22257AC1" w:rsidR="00CC77CB" w:rsidRPr="00D462F0" w:rsidRDefault="00CC77CB" w:rsidP="0028717C">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569959E1" w14:textId="77777777" w:rsidR="00CC77CB" w:rsidRPr="00D462F0" w:rsidRDefault="00CC77CB" w:rsidP="00D462F0">
            <w:pPr>
              <w:jc w:val="both"/>
              <w:rPr>
                <w:rFonts w:asciiTheme="majorHAnsi" w:hAnsiTheme="majorHAnsi" w:cstheme="majorHAnsi"/>
                <w:sz w:val="24"/>
                <w:szCs w:val="24"/>
              </w:rPr>
            </w:pPr>
          </w:p>
        </w:tc>
        <w:tc>
          <w:tcPr>
            <w:tcW w:w="4075" w:type="dxa"/>
          </w:tcPr>
          <w:p w14:paraId="5419FF27" w14:textId="77777777" w:rsidR="00CC77CB" w:rsidRPr="00D462F0" w:rsidRDefault="00CC77CB" w:rsidP="00D462F0">
            <w:pPr>
              <w:jc w:val="both"/>
              <w:rPr>
                <w:rFonts w:asciiTheme="majorHAnsi" w:hAnsiTheme="majorHAnsi" w:cstheme="majorHAnsi"/>
                <w:bCs/>
                <w:sz w:val="24"/>
                <w:szCs w:val="24"/>
              </w:rPr>
            </w:pPr>
          </w:p>
        </w:tc>
      </w:tr>
      <w:tr w:rsidR="00EB19CA" w:rsidRPr="00C93770" w14:paraId="1DF1F41B" w14:textId="77777777" w:rsidTr="1756A420">
        <w:tc>
          <w:tcPr>
            <w:tcW w:w="4074" w:type="dxa"/>
          </w:tcPr>
          <w:p w14:paraId="690D0257" w14:textId="0FC73FEC"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255. </w:t>
            </w:r>
            <w:r w:rsidR="00BC6F01"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O interessado pode manifestar sua intenção de celebrar o Termo de Ajustamento de Conduta até a decisão de primeira instância do julgamento do auto de infração.</w:t>
            </w:r>
          </w:p>
          <w:p w14:paraId="6D3B8954" w14:textId="2D4EDADA" w:rsidR="00EB19CA" w:rsidRPr="00D462F0" w:rsidRDefault="00EB19CA" w:rsidP="00D462F0">
            <w:pPr>
              <w:jc w:val="both"/>
              <w:rPr>
                <w:rFonts w:asciiTheme="majorHAnsi" w:hAnsiTheme="majorHAnsi" w:cstheme="majorHAnsi"/>
                <w:color w:val="000000"/>
                <w:sz w:val="24"/>
                <w:szCs w:val="24"/>
              </w:rPr>
            </w:pPr>
          </w:p>
        </w:tc>
        <w:tc>
          <w:tcPr>
            <w:tcW w:w="4074" w:type="dxa"/>
          </w:tcPr>
          <w:p w14:paraId="60D9197B" w14:textId="04EC08D3"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255. </w:t>
            </w:r>
            <w:r w:rsidR="00BC6F01" w:rsidRPr="00D462F0">
              <w:rPr>
                <w:rFonts w:asciiTheme="majorHAnsi" w:hAnsiTheme="majorHAnsi" w:cstheme="majorHAnsi"/>
                <w:bCs/>
                <w:color w:val="000000"/>
                <w:sz w:val="24"/>
                <w:szCs w:val="24"/>
              </w:rPr>
              <w:t xml:space="preserve"> ...</w:t>
            </w:r>
          </w:p>
          <w:p w14:paraId="20105161" w14:textId="77777777" w:rsidR="00EB19CA" w:rsidRPr="00D462F0" w:rsidRDefault="00EB19CA" w:rsidP="00D462F0">
            <w:pPr>
              <w:jc w:val="both"/>
              <w:rPr>
                <w:rFonts w:asciiTheme="majorHAnsi" w:hAnsiTheme="majorHAnsi" w:cstheme="majorHAnsi"/>
                <w:bCs/>
                <w:color w:val="000000"/>
                <w:sz w:val="24"/>
                <w:szCs w:val="24"/>
              </w:rPr>
            </w:pPr>
          </w:p>
        </w:tc>
        <w:tc>
          <w:tcPr>
            <w:tcW w:w="4074" w:type="dxa"/>
          </w:tcPr>
          <w:p w14:paraId="2D0EC570" w14:textId="77777777" w:rsidR="00EB19CA" w:rsidRPr="00D462F0" w:rsidRDefault="00EB19CA" w:rsidP="00D462F0">
            <w:pPr>
              <w:jc w:val="both"/>
              <w:rPr>
                <w:rFonts w:asciiTheme="majorHAnsi" w:hAnsiTheme="majorHAnsi" w:cstheme="majorHAnsi"/>
                <w:sz w:val="24"/>
                <w:szCs w:val="24"/>
              </w:rPr>
            </w:pPr>
          </w:p>
        </w:tc>
        <w:tc>
          <w:tcPr>
            <w:tcW w:w="4075" w:type="dxa"/>
          </w:tcPr>
          <w:p w14:paraId="2AB9334E" w14:textId="593CB22D" w:rsidR="00EB19CA" w:rsidRPr="00D462F0" w:rsidRDefault="00EB19CA" w:rsidP="00D462F0">
            <w:pPr>
              <w:jc w:val="both"/>
              <w:rPr>
                <w:rFonts w:asciiTheme="majorHAnsi" w:hAnsiTheme="majorHAnsi" w:cstheme="majorHAnsi"/>
                <w:bCs/>
                <w:sz w:val="24"/>
                <w:szCs w:val="24"/>
              </w:rPr>
            </w:pPr>
          </w:p>
        </w:tc>
      </w:tr>
      <w:tr w:rsidR="00873D21" w:rsidRPr="00C93770" w14:paraId="6D9C70D2" w14:textId="77777777" w:rsidTr="1756A420">
        <w:tc>
          <w:tcPr>
            <w:tcW w:w="4074" w:type="dxa"/>
          </w:tcPr>
          <w:p w14:paraId="452EAE58" w14:textId="36314ECD" w:rsidR="00873D21" w:rsidRPr="00D462F0" w:rsidRDefault="00873D21"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1º A proposta de Termo de Ajustamento de Conduta deve ser apresentada pelo interessado, protocolada eletronicamente na Previc e dirigida à Diretoria de Fiscalização e Monitoramento, que decidirá ou não pelo seu cabimento, conveniência e oportunidade.</w:t>
            </w:r>
          </w:p>
          <w:p w14:paraId="0F09DEFC" w14:textId="7CAF92B4" w:rsidR="00873D21" w:rsidRPr="00D462F0" w:rsidRDefault="00873D21" w:rsidP="00D462F0">
            <w:pPr>
              <w:jc w:val="both"/>
              <w:rPr>
                <w:rFonts w:asciiTheme="majorHAnsi" w:hAnsiTheme="majorHAnsi" w:cstheme="majorHAnsi"/>
                <w:color w:val="000000"/>
                <w:sz w:val="24"/>
                <w:szCs w:val="24"/>
              </w:rPr>
            </w:pPr>
          </w:p>
        </w:tc>
        <w:tc>
          <w:tcPr>
            <w:tcW w:w="4074" w:type="dxa"/>
          </w:tcPr>
          <w:p w14:paraId="36FAF2AF" w14:textId="68AE251E" w:rsidR="00873D21" w:rsidRPr="00D462F0" w:rsidRDefault="00873D21" w:rsidP="00D462F0">
            <w:pPr>
              <w:jc w:val="both"/>
              <w:rPr>
                <w:rFonts w:asciiTheme="majorHAnsi" w:hAnsiTheme="majorHAnsi" w:cstheme="majorHAnsi"/>
                <w:color w:val="EE0000"/>
                <w:sz w:val="24"/>
                <w:szCs w:val="24"/>
              </w:rPr>
            </w:pPr>
            <w:r w:rsidRPr="00D462F0">
              <w:rPr>
                <w:rFonts w:asciiTheme="majorHAnsi" w:hAnsiTheme="majorHAnsi" w:cstheme="majorHAnsi"/>
                <w:color w:val="EE0000"/>
                <w:sz w:val="24"/>
                <w:szCs w:val="24"/>
              </w:rPr>
              <w:t xml:space="preserve">§ 1º </w:t>
            </w:r>
            <w:r w:rsidRPr="00D462F0">
              <w:rPr>
                <w:rFonts w:asciiTheme="majorHAnsi" w:hAnsiTheme="majorHAnsi" w:cstheme="majorHAnsi"/>
                <w:strike/>
                <w:color w:val="EE0000"/>
                <w:sz w:val="24"/>
                <w:szCs w:val="24"/>
              </w:rPr>
              <w:t>A proposta de</w:t>
            </w:r>
            <w:r w:rsidRPr="00D462F0">
              <w:rPr>
                <w:rFonts w:asciiTheme="majorHAnsi" w:hAnsiTheme="majorHAnsi" w:cstheme="majorHAnsi"/>
                <w:color w:val="EE0000"/>
                <w:sz w:val="24"/>
                <w:szCs w:val="24"/>
              </w:rPr>
              <w:t xml:space="preserve"> </w:t>
            </w:r>
            <w:r w:rsidR="00701360" w:rsidRPr="00D462F0">
              <w:rPr>
                <w:rFonts w:asciiTheme="majorHAnsi" w:hAnsiTheme="majorHAnsi" w:cstheme="majorHAnsi"/>
                <w:color w:val="0000FF"/>
                <w:sz w:val="24"/>
                <w:szCs w:val="24"/>
              </w:rPr>
              <w:t xml:space="preserve">O pedido de celebração de </w:t>
            </w:r>
            <w:r w:rsidR="00E82944">
              <w:rPr>
                <w:rFonts w:asciiTheme="majorHAnsi" w:hAnsiTheme="majorHAnsi" w:cstheme="majorHAnsi"/>
                <w:sz w:val="24"/>
                <w:szCs w:val="24"/>
              </w:rPr>
              <w:t>TAC</w:t>
            </w:r>
            <w:r w:rsidRPr="00D462F0">
              <w:rPr>
                <w:rFonts w:asciiTheme="majorHAnsi" w:hAnsiTheme="majorHAnsi" w:cstheme="majorHAnsi"/>
                <w:sz w:val="24"/>
                <w:szCs w:val="24"/>
              </w:rPr>
              <w:t xml:space="preserve"> </w:t>
            </w:r>
            <w:r w:rsidRPr="00D462F0">
              <w:rPr>
                <w:rFonts w:asciiTheme="majorHAnsi" w:hAnsiTheme="majorHAnsi" w:cstheme="majorHAnsi"/>
                <w:strike/>
                <w:color w:val="EE0000"/>
                <w:sz w:val="24"/>
                <w:szCs w:val="24"/>
              </w:rPr>
              <w:t>deve ser apresentada</w:t>
            </w:r>
            <w:r w:rsidRPr="00D462F0">
              <w:rPr>
                <w:rFonts w:asciiTheme="majorHAnsi" w:hAnsiTheme="majorHAnsi" w:cstheme="majorHAnsi"/>
                <w:color w:val="EE0000"/>
                <w:sz w:val="24"/>
                <w:szCs w:val="24"/>
              </w:rPr>
              <w:t xml:space="preserve"> </w:t>
            </w:r>
            <w:r w:rsidR="00701360" w:rsidRPr="00D462F0">
              <w:rPr>
                <w:rFonts w:asciiTheme="majorHAnsi" w:hAnsiTheme="majorHAnsi" w:cstheme="majorHAnsi"/>
                <w:color w:val="0000FF"/>
                <w:sz w:val="24"/>
                <w:szCs w:val="24"/>
              </w:rPr>
              <w:t xml:space="preserve">apresentado </w:t>
            </w:r>
            <w:r w:rsidRPr="00D462F0">
              <w:rPr>
                <w:rFonts w:asciiTheme="majorHAnsi" w:hAnsiTheme="majorHAnsi" w:cstheme="majorHAnsi"/>
                <w:sz w:val="24"/>
                <w:szCs w:val="24"/>
              </w:rPr>
              <w:t>pelo interessado</w:t>
            </w:r>
            <w:r w:rsidR="00701360" w:rsidRPr="00D462F0">
              <w:rPr>
                <w:rFonts w:asciiTheme="majorHAnsi" w:hAnsiTheme="majorHAnsi" w:cstheme="majorHAnsi"/>
                <w:sz w:val="24"/>
                <w:szCs w:val="24"/>
              </w:rPr>
              <w:t xml:space="preserve"> </w:t>
            </w:r>
            <w:r w:rsidR="00701360" w:rsidRPr="00D462F0">
              <w:rPr>
                <w:rFonts w:asciiTheme="majorHAnsi" w:hAnsiTheme="majorHAnsi" w:cstheme="majorHAnsi"/>
                <w:color w:val="0000FF"/>
                <w:sz w:val="24"/>
                <w:szCs w:val="24"/>
              </w:rPr>
              <w:t xml:space="preserve">deve </w:t>
            </w:r>
            <w:proofErr w:type="gramStart"/>
            <w:r w:rsidR="00701360" w:rsidRPr="00D462F0">
              <w:rPr>
                <w:rFonts w:asciiTheme="majorHAnsi" w:hAnsiTheme="majorHAnsi" w:cstheme="majorHAnsi"/>
                <w:color w:val="0000FF"/>
                <w:sz w:val="24"/>
                <w:szCs w:val="24"/>
              </w:rPr>
              <w:t>ser</w:t>
            </w:r>
            <w:r w:rsidRPr="00D462F0">
              <w:rPr>
                <w:rFonts w:asciiTheme="majorHAnsi" w:hAnsiTheme="majorHAnsi" w:cstheme="majorHAnsi"/>
                <w:strike/>
                <w:color w:val="EE0000"/>
                <w:sz w:val="24"/>
                <w:szCs w:val="24"/>
              </w:rPr>
              <w:t>, protocolada</w:t>
            </w:r>
            <w:proofErr w:type="gramEnd"/>
            <w:r w:rsidRPr="00D462F0">
              <w:rPr>
                <w:rFonts w:asciiTheme="majorHAnsi" w:hAnsiTheme="majorHAnsi" w:cstheme="majorHAnsi"/>
                <w:color w:val="EE0000"/>
                <w:sz w:val="24"/>
                <w:szCs w:val="24"/>
              </w:rPr>
              <w:t xml:space="preserve"> </w:t>
            </w:r>
            <w:r w:rsidR="00701360" w:rsidRPr="00D462F0">
              <w:rPr>
                <w:rFonts w:asciiTheme="majorHAnsi" w:hAnsiTheme="majorHAnsi" w:cstheme="majorHAnsi"/>
                <w:color w:val="0000FF"/>
                <w:sz w:val="24"/>
                <w:szCs w:val="24"/>
              </w:rPr>
              <w:t xml:space="preserve">protocolado </w:t>
            </w:r>
            <w:r w:rsidRPr="00D462F0">
              <w:rPr>
                <w:rFonts w:asciiTheme="majorHAnsi" w:hAnsiTheme="majorHAnsi" w:cstheme="majorHAnsi"/>
                <w:sz w:val="24"/>
                <w:szCs w:val="24"/>
              </w:rPr>
              <w:t xml:space="preserve">eletronicamente na Previc e </w:t>
            </w:r>
            <w:r w:rsidRPr="00D462F0">
              <w:rPr>
                <w:rFonts w:asciiTheme="majorHAnsi" w:hAnsiTheme="majorHAnsi" w:cstheme="majorHAnsi"/>
                <w:strike/>
                <w:color w:val="EE0000"/>
                <w:sz w:val="24"/>
                <w:szCs w:val="24"/>
              </w:rPr>
              <w:t>dirigida</w:t>
            </w:r>
            <w:r w:rsidR="00701360" w:rsidRPr="00D462F0">
              <w:rPr>
                <w:rFonts w:asciiTheme="majorHAnsi" w:hAnsiTheme="majorHAnsi" w:cstheme="majorHAnsi"/>
                <w:color w:val="EE0000"/>
                <w:sz w:val="24"/>
                <w:szCs w:val="24"/>
              </w:rPr>
              <w:t xml:space="preserve"> </w:t>
            </w:r>
            <w:r w:rsidR="00701360" w:rsidRPr="00D462F0">
              <w:rPr>
                <w:rFonts w:asciiTheme="majorHAnsi" w:hAnsiTheme="majorHAnsi" w:cstheme="majorHAnsi"/>
                <w:color w:val="0000FF"/>
                <w:sz w:val="24"/>
                <w:szCs w:val="24"/>
              </w:rPr>
              <w:t>dirigido</w:t>
            </w:r>
            <w:r w:rsidRPr="00D462F0">
              <w:rPr>
                <w:rFonts w:asciiTheme="majorHAnsi" w:hAnsiTheme="majorHAnsi" w:cstheme="majorHAnsi"/>
                <w:color w:val="0000FF"/>
                <w:sz w:val="24"/>
                <w:szCs w:val="24"/>
              </w:rPr>
              <w:t xml:space="preserve"> </w:t>
            </w:r>
            <w:r w:rsidRPr="00D462F0">
              <w:rPr>
                <w:rFonts w:asciiTheme="majorHAnsi" w:hAnsiTheme="majorHAnsi" w:cstheme="majorHAnsi"/>
                <w:sz w:val="24"/>
                <w:szCs w:val="24"/>
              </w:rPr>
              <w:t xml:space="preserve">à Diretoria de Fiscalização e Monitoramento, que decidirá </w:t>
            </w:r>
            <w:r w:rsidRPr="00D462F0">
              <w:rPr>
                <w:rFonts w:asciiTheme="majorHAnsi" w:hAnsiTheme="majorHAnsi" w:cstheme="majorHAnsi"/>
                <w:strike/>
                <w:color w:val="EE0000"/>
                <w:sz w:val="24"/>
                <w:szCs w:val="24"/>
              </w:rPr>
              <w:t xml:space="preserve">ou não pelo </w:t>
            </w:r>
            <w:r w:rsidR="00701360" w:rsidRPr="00D462F0">
              <w:rPr>
                <w:rFonts w:asciiTheme="majorHAnsi" w:hAnsiTheme="majorHAnsi" w:cstheme="majorHAnsi"/>
                <w:color w:val="0000FF"/>
                <w:sz w:val="24"/>
                <w:szCs w:val="24"/>
              </w:rPr>
              <w:t>acerca do</w:t>
            </w:r>
            <w:r w:rsidR="00701360" w:rsidRPr="00D462F0">
              <w:rPr>
                <w:rFonts w:asciiTheme="majorHAnsi" w:hAnsiTheme="majorHAnsi" w:cstheme="majorHAnsi"/>
                <w:strike/>
                <w:color w:val="0000FF"/>
                <w:sz w:val="24"/>
                <w:szCs w:val="24"/>
              </w:rPr>
              <w:t xml:space="preserve"> </w:t>
            </w:r>
            <w:r w:rsidRPr="00D462F0">
              <w:rPr>
                <w:rFonts w:asciiTheme="majorHAnsi" w:hAnsiTheme="majorHAnsi" w:cstheme="majorHAnsi"/>
                <w:sz w:val="24"/>
                <w:szCs w:val="24"/>
              </w:rPr>
              <w:t>seu cabimento</w:t>
            </w:r>
            <w:r w:rsidR="00701360" w:rsidRPr="00D462F0">
              <w:rPr>
                <w:rFonts w:asciiTheme="majorHAnsi" w:hAnsiTheme="majorHAnsi" w:cstheme="majorHAnsi"/>
                <w:sz w:val="24"/>
                <w:szCs w:val="24"/>
              </w:rPr>
              <w:t xml:space="preserve"> </w:t>
            </w:r>
            <w:r w:rsidR="00701360" w:rsidRPr="00D462F0">
              <w:rPr>
                <w:rFonts w:asciiTheme="majorHAnsi" w:hAnsiTheme="majorHAnsi" w:cstheme="majorHAnsi"/>
                <w:color w:val="0000FF"/>
                <w:sz w:val="24"/>
                <w:szCs w:val="24"/>
              </w:rPr>
              <w:t>e</w:t>
            </w:r>
            <w:r w:rsidRPr="00D462F0">
              <w:rPr>
                <w:rFonts w:asciiTheme="majorHAnsi" w:hAnsiTheme="majorHAnsi" w:cstheme="majorHAnsi"/>
                <w:color w:val="0000FF"/>
                <w:sz w:val="24"/>
                <w:szCs w:val="24"/>
              </w:rPr>
              <w:t>,</w:t>
            </w:r>
            <w:r w:rsidR="00701360" w:rsidRPr="00D462F0">
              <w:rPr>
                <w:rFonts w:asciiTheme="majorHAnsi" w:hAnsiTheme="majorHAnsi" w:cstheme="majorHAnsi"/>
                <w:color w:val="0000FF"/>
                <w:sz w:val="24"/>
                <w:szCs w:val="24"/>
              </w:rPr>
              <w:t xml:space="preserve"> em juízo preliminar, quanto a sua</w:t>
            </w:r>
            <w:r w:rsidRPr="00D462F0">
              <w:rPr>
                <w:rFonts w:asciiTheme="majorHAnsi" w:hAnsiTheme="majorHAnsi" w:cstheme="majorHAnsi"/>
                <w:color w:val="0000FF"/>
                <w:sz w:val="24"/>
                <w:szCs w:val="24"/>
              </w:rPr>
              <w:t xml:space="preserve"> </w:t>
            </w:r>
            <w:r w:rsidRPr="00D462F0">
              <w:rPr>
                <w:rFonts w:asciiTheme="majorHAnsi" w:hAnsiTheme="majorHAnsi" w:cstheme="majorHAnsi"/>
                <w:sz w:val="24"/>
                <w:szCs w:val="24"/>
              </w:rPr>
              <w:t>conveniência e oportunidade.</w:t>
            </w:r>
          </w:p>
          <w:p w14:paraId="08BC2229" w14:textId="77777777" w:rsidR="00873D21" w:rsidRPr="00D462F0" w:rsidRDefault="00873D21" w:rsidP="00D462F0">
            <w:pPr>
              <w:jc w:val="both"/>
              <w:rPr>
                <w:rFonts w:asciiTheme="majorHAnsi" w:hAnsiTheme="majorHAnsi" w:cstheme="majorHAnsi"/>
                <w:strike/>
                <w:color w:val="EE0000"/>
                <w:sz w:val="24"/>
                <w:szCs w:val="24"/>
              </w:rPr>
            </w:pPr>
          </w:p>
        </w:tc>
        <w:tc>
          <w:tcPr>
            <w:tcW w:w="4074" w:type="dxa"/>
          </w:tcPr>
          <w:p w14:paraId="5518954C" w14:textId="77777777" w:rsidR="00873D21" w:rsidRPr="00D462F0" w:rsidRDefault="00873D21" w:rsidP="00D462F0">
            <w:pPr>
              <w:jc w:val="both"/>
              <w:rPr>
                <w:rFonts w:asciiTheme="majorHAnsi" w:hAnsiTheme="majorHAnsi" w:cstheme="majorHAnsi"/>
                <w:b/>
                <w:sz w:val="24"/>
                <w:szCs w:val="24"/>
              </w:rPr>
            </w:pPr>
            <w:r w:rsidRPr="00D462F0">
              <w:rPr>
                <w:rFonts w:asciiTheme="majorHAnsi" w:hAnsiTheme="majorHAnsi" w:cstheme="majorHAnsi"/>
                <w:sz w:val="24"/>
                <w:szCs w:val="24"/>
              </w:rPr>
              <w:t>Ajuste de redação, transformando a proposta em pedido, observando ser um “juízo preliminar” porque o art. 257 fala em “decisão discricionária final” pela DICOL</w:t>
            </w:r>
            <w:r w:rsidRPr="00D462F0">
              <w:rPr>
                <w:rFonts w:asciiTheme="majorHAnsi" w:hAnsiTheme="majorHAnsi" w:cstheme="majorHAnsi"/>
                <w:b/>
                <w:sz w:val="24"/>
                <w:szCs w:val="24"/>
              </w:rPr>
              <w:t>.</w:t>
            </w:r>
          </w:p>
          <w:p w14:paraId="3477337F" w14:textId="77777777" w:rsidR="00873D21" w:rsidRPr="00D462F0" w:rsidRDefault="00873D21" w:rsidP="00D462F0">
            <w:pPr>
              <w:jc w:val="both"/>
              <w:rPr>
                <w:rFonts w:asciiTheme="majorHAnsi" w:hAnsiTheme="majorHAnsi" w:cstheme="majorHAnsi"/>
                <w:sz w:val="24"/>
                <w:szCs w:val="24"/>
              </w:rPr>
            </w:pPr>
          </w:p>
        </w:tc>
        <w:tc>
          <w:tcPr>
            <w:tcW w:w="4075" w:type="dxa"/>
          </w:tcPr>
          <w:p w14:paraId="2E732600" w14:textId="77777777" w:rsidR="00873D21" w:rsidRPr="00D462F0" w:rsidRDefault="00873D2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1285A0CD" w14:textId="77777777" w:rsidR="00873D21" w:rsidRPr="00D462F0" w:rsidRDefault="00873D2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atualização pretende destacar que o TAC como é uma possibilidade ao interessado, e como uma prerrogativa da Previc para assegurar maior higidez tanto no âmbito da EFPC quanto do sistema de previdência complementar fechada. Considerando como componente da higidez o pilar da preservação da conformidade regulatória, o TAC oportuniza à EFPC a possibilidade de restaurar seu alinhamento com as normas da Previc, do CNPC e da legislação aplicável, e na governança e controles internos da entidade; funcionando como gatilho para o fortalecimento de práticas internas que sustentam a higidez. </w:t>
            </w:r>
          </w:p>
          <w:p w14:paraId="2B7680EF" w14:textId="77777777" w:rsidR="00873D21" w:rsidRPr="00D462F0" w:rsidRDefault="00873D2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7C3D2DF5" w14:textId="77777777" w:rsidR="00873D21" w:rsidRPr="00D462F0" w:rsidRDefault="00873D2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p w14:paraId="5BFF563E" w14:textId="77777777" w:rsidR="00873D21" w:rsidRPr="00D462F0" w:rsidRDefault="00873D21" w:rsidP="00D462F0">
            <w:pPr>
              <w:jc w:val="both"/>
              <w:rPr>
                <w:rFonts w:asciiTheme="majorHAnsi" w:hAnsiTheme="majorHAnsi" w:cstheme="majorHAnsi"/>
                <w:bCs/>
                <w:sz w:val="24"/>
                <w:szCs w:val="24"/>
              </w:rPr>
            </w:pPr>
          </w:p>
        </w:tc>
      </w:tr>
      <w:tr w:rsidR="00EB19CA" w:rsidRPr="00C93770" w14:paraId="02DA02CF" w14:textId="77777777" w:rsidTr="1756A420">
        <w:tc>
          <w:tcPr>
            <w:tcW w:w="4074" w:type="dxa"/>
          </w:tcPr>
          <w:p w14:paraId="71E23B65"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xml:space="preserve">§ 2º Em caso positivo, </w:t>
            </w:r>
            <w:r w:rsidRPr="00D462F0">
              <w:rPr>
                <w:rFonts w:asciiTheme="majorHAnsi" w:hAnsiTheme="majorHAnsi" w:cstheme="majorHAnsi"/>
                <w:bCs/>
                <w:color w:val="000000"/>
                <w:sz w:val="24"/>
                <w:szCs w:val="24"/>
              </w:rPr>
              <w:t>a proposta será submetida a comitê</w:t>
            </w:r>
            <w:r w:rsidRPr="00D462F0">
              <w:rPr>
                <w:rFonts w:asciiTheme="majorHAnsi" w:hAnsiTheme="majorHAnsi" w:cstheme="majorHAnsi"/>
                <w:color w:val="000000"/>
                <w:sz w:val="24"/>
                <w:szCs w:val="24"/>
              </w:rPr>
              <w:t xml:space="preserve"> composto por três servidores indicados pela Diretoria de Fiscalização e Monitoramento, pela Diretoria de Licenciamento e pela Diretoria de Normas.</w:t>
            </w:r>
          </w:p>
          <w:p w14:paraId="5663A2CF" w14:textId="77777777" w:rsidR="00EB19CA" w:rsidRPr="00D462F0" w:rsidRDefault="00EB19CA" w:rsidP="00D462F0">
            <w:pPr>
              <w:jc w:val="both"/>
              <w:rPr>
                <w:rFonts w:asciiTheme="majorHAnsi" w:hAnsiTheme="majorHAnsi" w:cstheme="majorHAnsi"/>
                <w:color w:val="000000"/>
                <w:sz w:val="24"/>
                <w:szCs w:val="24"/>
              </w:rPr>
            </w:pPr>
          </w:p>
        </w:tc>
        <w:tc>
          <w:tcPr>
            <w:tcW w:w="4074" w:type="dxa"/>
          </w:tcPr>
          <w:p w14:paraId="4131B30D" w14:textId="46EFD89F"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 2º Em caso positivo, </w:t>
            </w:r>
            <w:r w:rsidRPr="00D462F0">
              <w:rPr>
                <w:rFonts w:asciiTheme="majorHAnsi" w:hAnsiTheme="majorHAnsi" w:cstheme="majorHAnsi"/>
                <w:bCs/>
                <w:strike/>
                <w:color w:val="EE0000"/>
                <w:sz w:val="24"/>
                <w:szCs w:val="24"/>
              </w:rPr>
              <w:t>a proposta será submetida a comitê</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o pedido será submetido ao Comitê</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composto por três servidores indicados pela Diretoria de Fiscalização e Monitoramento, pela Diretoria de Licenciamento e pela Diretoria de Normas.</w:t>
            </w:r>
          </w:p>
          <w:p w14:paraId="4769D463" w14:textId="77777777" w:rsidR="00EB19CA" w:rsidRPr="00D462F0" w:rsidRDefault="00EB19CA" w:rsidP="00D462F0">
            <w:pPr>
              <w:jc w:val="both"/>
              <w:rPr>
                <w:rFonts w:asciiTheme="majorHAnsi" w:hAnsiTheme="majorHAnsi" w:cstheme="majorHAnsi"/>
                <w:strike/>
                <w:color w:val="EE0000"/>
                <w:sz w:val="24"/>
                <w:szCs w:val="24"/>
              </w:rPr>
            </w:pPr>
          </w:p>
        </w:tc>
        <w:tc>
          <w:tcPr>
            <w:tcW w:w="4074" w:type="dxa"/>
          </w:tcPr>
          <w:p w14:paraId="4205B71A" w14:textId="77777777" w:rsidR="00EB19CA" w:rsidRPr="00D462F0" w:rsidRDefault="00EB19CA" w:rsidP="00D462F0">
            <w:pPr>
              <w:jc w:val="both"/>
              <w:rPr>
                <w:rFonts w:asciiTheme="majorHAnsi" w:hAnsiTheme="majorHAnsi" w:cstheme="majorHAnsi"/>
                <w:sz w:val="24"/>
                <w:szCs w:val="24"/>
              </w:rPr>
            </w:pPr>
          </w:p>
        </w:tc>
        <w:tc>
          <w:tcPr>
            <w:tcW w:w="4075" w:type="dxa"/>
          </w:tcPr>
          <w:p w14:paraId="704E31D1" w14:textId="77777777" w:rsidR="00EB19CA" w:rsidRPr="00D462F0" w:rsidRDefault="00EB19CA" w:rsidP="00D462F0">
            <w:pPr>
              <w:jc w:val="both"/>
              <w:rPr>
                <w:rFonts w:asciiTheme="majorHAnsi" w:hAnsiTheme="majorHAnsi" w:cstheme="majorHAnsi"/>
                <w:bCs/>
                <w:sz w:val="24"/>
                <w:szCs w:val="24"/>
              </w:rPr>
            </w:pPr>
          </w:p>
        </w:tc>
      </w:tr>
      <w:tr w:rsidR="00EB19CA" w:rsidRPr="00C93770" w14:paraId="00439CBB" w14:textId="77777777" w:rsidTr="1756A420">
        <w:tc>
          <w:tcPr>
            <w:tcW w:w="4074" w:type="dxa"/>
          </w:tcPr>
          <w:p w14:paraId="769BEDB6" w14:textId="7777777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 3º Em caso negativo, a Diretoria de Fiscalização e Monitoramento comunicará ao interessado o indeferimento </w:t>
            </w:r>
            <w:r w:rsidRPr="00D462F0">
              <w:rPr>
                <w:rFonts w:asciiTheme="majorHAnsi" w:hAnsiTheme="majorHAnsi" w:cstheme="majorHAnsi"/>
                <w:bCs/>
                <w:color w:val="000000"/>
                <w:sz w:val="24"/>
                <w:szCs w:val="24"/>
              </w:rPr>
              <w:t>da proposta</w:t>
            </w:r>
            <w:r w:rsidRPr="00D462F0">
              <w:rPr>
                <w:rFonts w:asciiTheme="majorHAnsi" w:hAnsiTheme="majorHAnsi" w:cstheme="majorHAnsi"/>
                <w:color w:val="000000"/>
                <w:sz w:val="24"/>
                <w:szCs w:val="24"/>
              </w:rPr>
              <w:t xml:space="preserve"> de Termo de Ajustamento de Conduta.</w:t>
            </w:r>
          </w:p>
          <w:p w14:paraId="3D57863F" w14:textId="2E7A589D" w:rsidR="00EB19CA" w:rsidRPr="00D462F0" w:rsidRDefault="00EB19CA" w:rsidP="00D462F0">
            <w:pPr>
              <w:jc w:val="both"/>
              <w:rPr>
                <w:rFonts w:asciiTheme="majorHAnsi" w:hAnsiTheme="majorHAnsi" w:cstheme="majorHAnsi"/>
                <w:color w:val="000000"/>
                <w:sz w:val="24"/>
                <w:szCs w:val="24"/>
              </w:rPr>
            </w:pPr>
          </w:p>
        </w:tc>
        <w:tc>
          <w:tcPr>
            <w:tcW w:w="4074" w:type="dxa"/>
          </w:tcPr>
          <w:p w14:paraId="64B0D5EF" w14:textId="426C5E76"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 3º Em caso negativo, a Diretoria de Fiscalização e Monitoramento comunicará ao interessado o indeferimento </w:t>
            </w:r>
            <w:r w:rsidRPr="00D462F0">
              <w:rPr>
                <w:rFonts w:asciiTheme="majorHAnsi" w:hAnsiTheme="majorHAnsi" w:cstheme="majorHAnsi"/>
                <w:bCs/>
                <w:strike/>
                <w:color w:val="EE0000"/>
                <w:sz w:val="24"/>
                <w:szCs w:val="24"/>
              </w:rPr>
              <w:t>da proposta</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do pedido</w:t>
            </w:r>
            <w:r w:rsidRPr="00D462F0">
              <w:rPr>
                <w:rFonts w:asciiTheme="majorHAnsi" w:hAnsiTheme="majorHAnsi" w:cstheme="majorHAnsi"/>
                <w:bCs/>
                <w:color w:val="000000"/>
                <w:sz w:val="24"/>
                <w:szCs w:val="24"/>
              </w:rPr>
              <w:t xml:space="preserve"> de </w:t>
            </w:r>
            <w:r w:rsidR="00E82944">
              <w:rPr>
                <w:rFonts w:asciiTheme="majorHAnsi" w:hAnsiTheme="majorHAnsi" w:cstheme="majorHAnsi"/>
                <w:bCs/>
                <w:color w:val="000000"/>
                <w:sz w:val="24"/>
                <w:szCs w:val="24"/>
              </w:rPr>
              <w:t>TAC</w:t>
            </w:r>
            <w:r w:rsidRPr="00D462F0">
              <w:rPr>
                <w:rFonts w:asciiTheme="majorHAnsi" w:hAnsiTheme="majorHAnsi" w:cstheme="majorHAnsi"/>
                <w:bCs/>
                <w:color w:val="000000"/>
                <w:sz w:val="24"/>
                <w:szCs w:val="24"/>
              </w:rPr>
              <w:t>.</w:t>
            </w:r>
          </w:p>
          <w:p w14:paraId="61C600AB" w14:textId="77777777" w:rsidR="00EB19CA" w:rsidRPr="00D462F0" w:rsidRDefault="00EB19CA" w:rsidP="00D462F0">
            <w:pPr>
              <w:jc w:val="both"/>
              <w:rPr>
                <w:rFonts w:asciiTheme="majorHAnsi" w:hAnsiTheme="majorHAnsi" w:cstheme="majorHAnsi"/>
                <w:strike/>
                <w:color w:val="EE0000"/>
                <w:sz w:val="24"/>
                <w:szCs w:val="24"/>
              </w:rPr>
            </w:pPr>
          </w:p>
        </w:tc>
        <w:tc>
          <w:tcPr>
            <w:tcW w:w="4074" w:type="dxa"/>
          </w:tcPr>
          <w:p w14:paraId="04147B8A" w14:textId="77777777" w:rsidR="00EB19CA" w:rsidRPr="00D462F0" w:rsidRDefault="00EB19CA" w:rsidP="00D462F0">
            <w:pPr>
              <w:jc w:val="both"/>
              <w:rPr>
                <w:rFonts w:asciiTheme="majorHAnsi" w:hAnsiTheme="majorHAnsi" w:cstheme="majorHAnsi"/>
                <w:sz w:val="24"/>
                <w:szCs w:val="24"/>
              </w:rPr>
            </w:pPr>
          </w:p>
        </w:tc>
        <w:tc>
          <w:tcPr>
            <w:tcW w:w="4075" w:type="dxa"/>
          </w:tcPr>
          <w:p w14:paraId="20D40153" w14:textId="77777777" w:rsidR="00EB19CA" w:rsidRPr="00D462F0" w:rsidRDefault="00EB19CA" w:rsidP="00D462F0">
            <w:pPr>
              <w:jc w:val="both"/>
              <w:rPr>
                <w:rFonts w:asciiTheme="majorHAnsi" w:hAnsiTheme="majorHAnsi" w:cstheme="majorHAnsi"/>
                <w:bCs/>
                <w:sz w:val="24"/>
                <w:szCs w:val="24"/>
              </w:rPr>
            </w:pPr>
          </w:p>
        </w:tc>
      </w:tr>
      <w:tr w:rsidR="00B41846" w:rsidRPr="00C93770" w14:paraId="5512467B" w14:textId="77777777" w:rsidTr="1756A420">
        <w:tc>
          <w:tcPr>
            <w:tcW w:w="4074" w:type="dxa"/>
          </w:tcPr>
          <w:p w14:paraId="62F421E0" w14:textId="6BE02E0E" w:rsidR="00B41846" w:rsidRPr="00D462F0" w:rsidRDefault="00B41846"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4AC46BCF" w14:textId="34BD2245" w:rsidR="00B41846" w:rsidRPr="00D462F0" w:rsidRDefault="00B41846" w:rsidP="00D462F0">
            <w:pPr>
              <w:jc w:val="both"/>
              <w:rPr>
                <w:rFonts w:asciiTheme="majorHAnsi" w:hAnsiTheme="majorHAnsi" w:cstheme="majorHAnsi"/>
                <w:color w:val="EE0000"/>
                <w:sz w:val="24"/>
                <w:szCs w:val="24"/>
              </w:rPr>
            </w:pPr>
            <w:r w:rsidRPr="00D462F0">
              <w:rPr>
                <w:rFonts w:asciiTheme="majorHAnsi" w:hAnsiTheme="majorHAnsi" w:cstheme="majorHAnsi"/>
                <w:sz w:val="24"/>
                <w:szCs w:val="24"/>
              </w:rPr>
              <w:t>...</w:t>
            </w:r>
          </w:p>
        </w:tc>
        <w:tc>
          <w:tcPr>
            <w:tcW w:w="4074" w:type="dxa"/>
          </w:tcPr>
          <w:p w14:paraId="6C68D171" w14:textId="77777777" w:rsidR="00B41846" w:rsidRPr="00D462F0" w:rsidRDefault="00B41846" w:rsidP="00D462F0">
            <w:pPr>
              <w:jc w:val="both"/>
              <w:rPr>
                <w:rFonts w:asciiTheme="majorHAnsi" w:hAnsiTheme="majorHAnsi" w:cstheme="majorHAnsi"/>
                <w:sz w:val="24"/>
                <w:szCs w:val="24"/>
              </w:rPr>
            </w:pPr>
          </w:p>
        </w:tc>
        <w:tc>
          <w:tcPr>
            <w:tcW w:w="4075" w:type="dxa"/>
          </w:tcPr>
          <w:p w14:paraId="0C37D5D0" w14:textId="77777777" w:rsidR="00B41846" w:rsidRPr="00D462F0" w:rsidRDefault="00B41846" w:rsidP="00D462F0">
            <w:pPr>
              <w:jc w:val="both"/>
              <w:rPr>
                <w:rFonts w:asciiTheme="majorHAnsi" w:hAnsiTheme="majorHAnsi" w:cstheme="majorHAnsi"/>
                <w:bCs/>
                <w:sz w:val="24"/>
                <w:szCs w:val="24"/>
              </w:rPr>
            </w:pPr>
          </w:p>
        </w:tc>
      </w:tr>
      <w:tr w:rsidR="00EB19CA" w:rsidRPr="00C93770" w14:paraId="52108730" w14:textId="77777777" w:rsidTr="1756A420">
        <w:tc>
          <w:tcPr>
            <w:tcW w:w="4074" w:type="dxa"/>
          </w:tcPr>
          <w:p w14:paraId="39AB7FF7" w14:textId="2D82079D"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256. </w:t>
            </w:r>
            <w:r w:rsidR="003A62EF"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O comitê poderá, antes da elaboração do seu parecer, negociar com o proponente as condições da proposta que lhe pareçam mais adequadas.</w:t>
            </w:r>
          </w:p>
        </w:tc>
        <w:tc>
          <w:tcPr>
            <w:tcW w:w="4074" w:type="dxa"/>
          </w:tcPr>
          <w:p w14:paraId="6C3BC295" w14:textId="047281F4" w:rsidR="00EB19CA" w:rsidRPr="00D462F0" w:rsidRDefault="00EB19CA" w:rsidP="00D462F0">
            <w:pPr>
              <w:jc w:val="both"/>
              <w:rPr>
                <w:rFonts w:asciiTheme="majorHAnsi" w:hAnsiTheme="majorHAnsi" w:cstheme="majorHAnsi"/>
                <w:strike/>
                <w:color w:val="EE0000"/>
                <w:sz w:val="24"/>
                <w:szCs w:val="24"/>
              </w:rPr>
            </w:pPr>
            <w:r w:rsidRPr="00D462F0">
              <w:rPr>
                <w:rFonts w:asciiTheme="majorHAnsi" w:hAnsiTheme="majorHAnsi" w:cstheme="majorHAnsi"/>
                <w:strike/>
                <w:color w:val="EE0000"/>
                <w:sz w:val="24"/>
                <w:szCs w:val="24"/>
              </w:rPr>
              <w:t>Art. 256. O comitê poderá, antes da elaboração do seu parecer, negociar com o proponente as condições da proposta que lhe pareçam mais adequadas.</w:t>
            </w:r>
          </w:p>
          <w:p w14:paraId="58D056FB" w14:textId="77777777" w:rsidR="00B570A5" w:rsidRPr="00D462F0" w:rsidRDefault="00B570A5" w:rsidP="00D462F0">
            <w:pPr>
              <w:jc w:val="both"/>
              <w:rPr>
                <w:rFonts w:asciiTheme="majorHAnsi" w:hAnsiTheme="majorHAnsi" w:cstheme="majorHAnsi"/>
                <w:bCs/>
                <w:strike/>
                <w:color w:val="EE0000"/>
                <w:sz w:val="24"/>
                <w:szCs w:val="24"/>
              </w:rPr>
            </w:pPr>
          </w:p>
          <w:p w14:paraId="035909B7" w14:textId="14787561"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Art. 256.  Compete ao Comitê a análise técnica do pedido formulado, bem como a negociação dos termos do TAC, indicando as condições para sua formalização.</w:t>
            </w:r>
          </w:p>
        </w:tc>
        <w:tc>
          <w:tcPr>
            <w:tcW w:w="4074" w:type="dxa"/>
          </w:tcPr>
          <w:p w14:paraId="229A2C60"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Compete à Previc harmonizar as atividades das EFPC com as normas e políticas estabelecidas para o segmento. Assim, primando pelo princípio da eficiência, cabe-lhe indicar expressamente as medidas a serem implementadas pelo interessado.</w:t>
            </w:r>
          </w:p>
          <w:p w14:paraId="09D662F0" w14:textId="073BF7B2" w:rsidR="00EB19CA" w:rsidRPr="00D462F0" w:rsidRDefault="00EB19CA" w:rsidP="00D462F0">
            <w:pPr>
              <w:jc w:val="both"/>
              <w:rPr>
                <w:rFonts w:asciiTheme="majorHAnsi" w:hAnsiTheme="majorHAnsi" w:cstheme="majorHAnsi"/>
                <w:sz w:val="24"/>
                <w:szCs w:val="24"/>
              </w:rPr>
            </w:pPr>
          </w:p>
        </w:tc>
        <w:tc>
          <w:tcPr>
            <w:tcW w:w="4075" w:type="dxa"/>
          </w:tcPr>
          <w:p w14:paraId="5BCFDD6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506CAE1A"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atualização pretende destacar o TAC uma possibilidade ao interessado, e uma prerrogativa da Previc para assegurar maior higidez tanto no âmbito da EFPC quanto do sistema de previdência complementar fechada. Considerando como componente da higidez o pilar da preservação da conformidade regulatória, o TAC oportuniza à EFPC a possibilidade de restaurar seu alinhamento com as normas da Previc, do CNPC e da legislação aplicável, e na governança e controles internos da entidade; funcionando como gatilho para o fortalecimento de práticas internas que sustentam a higidez. </w:t>
            </w:r>
          </w:p>
          <w:p w14:paraId="745FE97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009E402C" w14:textId="1E8B97A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Por isso, o artigo em questão se enquadra na dispensa de análise de impacto regulatório, por visar preservar a liquidez, solvência ou higidez, conforme art. 4º, inciso V, alínea “a”, do Decreto nº 10.411, de 2020.</w:t>
            </w:r>
          </w:p>
        </w:tc>
      </w:tr>
      <w:tr w:rsidR="00EB19CA" w:rsidRPr="00C93770" w14:paraId="5698EFD5" w14:textId="77777777" w:rsidTr="1756A420">
        <w:tc>
          <w:tcPr>
            <w:tcW w:w="4074" w:type="dxa"/>
          </w:tcPr>
          <w:p w14:paraId="1722C29B" w14:textId="6F849476"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1</w:t>
            </w:r>
            <w:proofErr w:type="gramStart"/>
            <w:r w:rsidRPr="00D462F0">
              <w:rPr>
                <w:rFonts w:asciiTheme="majorHAnsi" w:hAnsiTheme="majorHAnsi" w:cstheme="majorHAnsi"/>
                <w:color w:val="000000"/>
                <w:sz w:val="24"/>
                <w:szCs w:val="24"/>
              </w:rPr>
              <w:t xml:space="preserve">º </w:t>
            </w:r>
            <w:r w:rsidR="003A62EF"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A</w:t>
            </w:r>
            <w:proofErr w:type="gramEnd"/>
            <w:r w:rsidRPr="00D462F0">
              <w:rPr>
                <w:rFonts w:asciiTheme="majorHAnsi" w:hAnsiTheme="majorHAnsi" w:cstheme="majorHAnsi"/>
                <w:color w:val="000000"/>
                <w:sz w:val="24"/>
                <w:szCs w:val="24"/>
              </w:rPr>
              <w:t xml:space="preserve"> negociação entre o comitê e o proponente deverá ser concluída no prazo máximo de 60 (sessenta) dias, sendo facultado ao proponente, ao término das negociações, aditar os termos de sua proposta inicial, no prazo assinalado pelo comitê.</w:t>
            </w:r>
          </w:p>
        </w:tc>
        <w:tc>
          <w:tcPr>
            <w:tcW w:w="4074" w:type="dxa"/>
          </w:tcPr>
          <w:p w14:paraId="2B907593" w14:textId="06F0E524"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w:t>
            </w:r>
            <w:proofErr w:type="gramStart"/>
            <w:r w:rsidRPr="00D462F0">
              <w:rPr>
                <w:rFonts w:asciiTheme="majorHAnsi" w:hAnsiTheme="majorHAnsi" w:cstheme="majorHAnsi"/>
                <w:bCs/>
                <w:color w:val="0000FF"/>
                <w:sz w:val="24"/>
                <w:szCs w:val="24"/>
              </w:rPr>
              <w:t>º  A</w:t>
            </w:r>
            <w:proofErr w:type="gramEnd"/>
            <w:r w:rsidRPr="00D462F0">
              <w:rPr>
                <w:rFonts w:asciiTheme="majorHAnsi" w:hAnsiTheme="majorHAnsi" w:cstheme="majorHAnsi"/>
                <w:bCs/>
                <w:color w:val="0000FF"/>
                <w:sz w:val="24"/>
                <w:szCs w:val="24"/>
              </w:rPr>
              <w:t xml:space="preserve"> negociação entre o </w:t>
            </w:r>
            <w:r w:rsidR="003D63E3" w:rsidRPr="00D462F0">
              <w:rPr>
                <w:rFonts w:asciiTheme="majorHAnsi" w:hAnsiTheme="majorHAnsi" w:cstheme="majorHAnsi"/>
                <w:strike/>
                <w:color w:val="EE0000"/>
                <w:sz w:val="24"/>
                <w:szCs w:val="24"/>
              </w:rPr>
              <w:t>comitê</w:t>
            </w:r>
            <w:r w:rsidR="003D63E3" w:rsidRPr="00D462F0">
              <w:rPr>
                <w:rFonts w:asciiTheme="majorHAnsi" w:hAnsiTheme="majorHAnsi" w:cstheme="majorHAnsi"/>
                <w:color w:val="EE0000"/>
                <w:sz w:val="24"/>
                <w:szCs w:val="24"/>
              </w:rPr>
              <w:t xml:space="preserve"> </w:t>
            </w:r>
            <w:proofErr w:type="spellStart"/>
            <w:r w:rsidRPr="00D462F0">
              <w:rPr>
                <w:rFonts w:asciiTheme="majorHAnsi" w:hAnsiTheme="majorHAnsi" w:cstheme="majorHAnsi"/>
                <w:bCs/>
                <w:color w:val="0000FF"/>
                <w:sz w:val="24"/>
                <w:szCs w:val="24"/>
              </w:rPr>
              <w:t>Comitê</w:t>
            </w:r>
            <w:proofErr w:type="spellEnd"/>
            <w:r w:rsidRPr="00D462F0">
              <w:rPr>
                <w:rFonts w:asciiTheme="majorHAnsi" w:hAnsiTheme="majorHAnsi" w:cstheme="majorHAnsi"/>
                <w:bCs/>
                <w:color w:val="0000FF"/>
                <w:sz w:val="24"/>
                <w:szCs w:val="24"/>
              </w:rPr>
              <w:t xml:space="preserve"> e o proponente deverá ser concluída no prazo máximo de</w:t>
            </w:r>
            <w:r w:rsidR="003D63E3" w:rsidRPr="00D462F0">
              <w:rPr>
                <w:rFonts w:asciiTheme="majorHAnsi" w:hAnsiTheme="majorHAnsi" w:cstheme="majorHAnsi"/>
                <w:bCs/>
                <w:color w:val="0000FF"/>
                <w:sz w:val="24"/>
                <w:szCs w:val="24"/>
              </w:rPr>
              <w:t xml:space="preserve"> </w:t>
            </w:r>
            <w:r w:rsidR="003D63E3" w:rsidRPr="00D462F0">
              <w:rPr>
                <w:rFonts w:asciiTheme="majorHAnsi" w:hAnsiTheme="majorHAnsi" w:cstheme="majorHAnsi"/>
                <w:bCs/>
                <w:strike/>
                <w:color w:val="EE0000"/>
                <w:sz w:val="24"/>
                <w:szCs w:val="24"/>
              </w:rPr>
              <w:t>60 (sessenta)</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sessenta dias</w:t>
            </w:r>
            <w:r w:rsidRPr="00D462F0">
              <w:rPr>
                <w:rFonts w:asciiTheme="majorHAnsi" w:hAnsiTheme="majorHAnsi" w:cstheme="majorHAnsi"/>
                <w:bCs/>
                <w:strike/>
                <w:color w:val="EE0000"/>
                <w:sz w:val="24"/>
                <w:szCs w:val="24"/>
              </w:rPr>
              <w:t xml:space="preserve">, </w:t>
            </w:r>
            <w:r w:rsidRPr="00D462F0">
              <w:rPr>
                <w:rFonts w:asciiTheme="majorHAnsi" w:hAnsiTheme="majorHAnsi" w:cstheme="majorHAnsi"/>
                <w:strike/>
                <w:color w:val="EE0000"/>
                <w:sz w:val="24"/>
                <w:szCs w:val="24"/>
              </w:rPr>
              <w:t>sendo facultado ao proponente, ao término das negociações, aditar os termos de sua proposta inicial, no prazo assinalado pelo comitê</w:t>
            </w:r>
            <w:r w:rsidRPr="00D462F0">
              <w:rPr>
                <w:rFonts w:asciiTheme="majorHAnsi" w:hAnsiTheme="majorHAnsi" w:cstheme="majorHAnsi"/>
                <w:color w:val="000000"/>
                <w:sz w:val="24"/>
                <w:szCs w:val="24"/>
              </w:rPr>
              <w:t>.</w:t>
            </w:r>
          </w:p>
        </w:tc>
        <w:tc>
          <w:tcPr>
            <w:tcW w:w="4074" w:type="dxa"/>
          </w:tcPr>
          <w:p w14:paraId="4F979AD8"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Supressão da “proposta” do interessado, já que os termos do TAC emergirão da negociação.</w:t>
            </w:r>
          </w:p>
          <w:p w14:paraId="5FFB43E5" w14:textId="0EB1A1C4" w:rsidR="00EB19CA" w:rsidRPr="00D462F0" w:rsidRDefault="00EB19CA" w:rsidP="00D462F0">
            <w:pPr>
              <w:jc w:val="both"/>
              <w:rPr>
                <w:rFonts w:asciiTheme="majorHAnsi" w:hAnsiTheme="majorHAnsi" w:cstheme="majorHAnsi"/>
                <w:sz w:val="24"/>
                <w:szCs w:val="24"/>
              </w:rPr>
            </w:pPr>
          </w:p>
        </w:tc>
        <w:tc>
          <w:tcPr>
            <w:tcW w:w="4075" w:type="dxa"/>
          </w:tcPr>
          <w:p w14:paraId="4303CC1B"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03E8A680"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Definição da análise e prazo do Comitê do TAC.</w:t>
            </w:r>
          </w:p>
          <w:p w14:paraId="0F4823D7"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Considerando como componente da higidez o pilar da preservação da conformidade regulatória, o TAC oportuniza à EFPC a possibilidade de restaurar seu alinhamento com as normas da Previc, do CNPC e da legislação aplicável, e na governança e controles internos da entidade; funcionando como gatilho para o fortalecimento de práticas internas que sustentam a higidez. </w:t>
            </w:r>
          </w:p>
          <w:p w14:paraId="5D93B07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45688A92" w14:textId="05E4C7E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698BDAD1" w14:textId="77777777" w:rsidTr="1756A420">
        <w:tc>
          <w:tcPr>
            <w:tcW w:w="4074" w:type="dxa"/>
          </w:tcPr>
          <w:p w14:paraId="1A13CCA3" w14:textId="190AA5AF" w:rsidR="00EB19CA" w:rsidRPr="0028717C" w:rsidRDefault="00EB19CA" w:rsidP="00D462F0">
            <w:pPr>
              <w:jc w:val="both"/>
              <w:rPr>
                <w:rFonts w:asciiTheme="majorHAnsi" w:hAnsiTheme="majorHAnsi" w:cstheme="majorHAnsi"/>
                <w:color w:val="000000"/>
                <w:sz w:val="24"/>
                <w:szCs w:val="24"/>
              </w:rPr>
            </w:pPr>
            <w:r w:rsidRPr="0028717C">
              <w:rPr>
                <w:rFonts w:asciiTheme="majorHAnsi" w:hAnsiTheme="majorHAnsi" w:cstheme="majorHAnsi"/>
                <w:color w:val="000000"/>
                <w:sz w:val="24"/>
                <w:szCs w:val="24"/>
              </w:rPr>
              <w:t>§ 2</w:t>
            </w:r>
            <w:proofErr w:type="gramStart"/>
            <w:r w:rsidRPr="0028717C">
              <w:rPr>
                <w:rFonts w:asciiTheme="majorHAnsi" w:hAnsiTheme="majorHAnsi" w:cstheme="majorHAnsi"/>
                <w:color w:val="000000"/>
                <w:sz w:val="24"/>
                <w:szCs w:val="24"/>
              </w:rPr>
              <w:t xml:space="preserve">º </w:t>
            </w:r>
            <w:r w:rsidR="003A62EF" w:rsidRPr="0028717C">
              <w:rPr>
                <w:rFonts w:asciiTheme="majorHAnsi" w:hAnsiTheme="majorHAnsi" w:cstheme="majorHAnsi"/>
                <w:color w:val="000000"/>
                <w:sz w:val="24"/>
                <w:szCs w:val="24"/>
              </w:rPr>
              <w:t xml:space="preserve"> </w:t>
            </w:r>
            <w:r w:rsidRPr="0028717C">
              <w:rPr>
                <w:rFonts w:asciiTheme="majorHAnsi" w:hAnsiTheme="majorHAnsi" w:cstheme="majorHAnsi"/>
                <w:color w:val="000000"/>
                <w:sz w:val="24"/>
                <w:szCs w:val="24"/>
              </w:rPr>
              <w:t>Na</w:t>
            </w:r>
            <w:proofErr w:type="gramEnd"/>
            <w:r w:rsidRPr="0028717C">
              <w:rPr>
                <w:rFonts w:asciiTheme="majorHAnsi" w:hAnsiTheme="majorHAnsi" w:cstheme="majorHAnsi"/>
                <w:color w:val="000000"/>
                <w:sz w:val="24"/>
                <w:szCs w:val="24"/>
              </w:rPr>
              <w:t xml:space="preserve"> hipótese do § 1º, o prazo para elaboração de parecer pelo comitê será contado da data em que concluída a negociação ou apresentado o aditamento à proposta inicial, conforme o caso.</w:t>
            </w:r>
          </w:p>
        </w:tc>
        <w:tc>
          <w:tcPr>
            <w:tcW w:w="4074" w:type="dxa"/>
          </w:tcPr>
          <w:p w14:paraId="1BE557A8" w14:textId="1F197171" w:rsidR="003D63E3" w:rsidRPr="00D462F0" w:rsidRDefault="00EB19CA" w:rsidP="00D462F0">
            <w:pPr>
              <w:jc w:val="both"/>
              <w:rPr>
                <w:rFonts w:asciiTheme="majorHAnsi" w:hAnsiTheme="majorHAnsi" w:cstheme="majorHAnsi"/>
                <w:strike/>
                <w:color w:val="EE0000"/>
                <w:sz w:val="24"/>
                <w:szCs w:val="24"/>
              </w:rPr>
            </w:pPr>
            <w:r w:rsidRPr="00D462F0">
              <w:rPr>
                <w:rFonts w:asciiTheme="majorHAnsi" w:hAnsiTheme="majorHAnsi" w:cstheme="majorHAnsi"/>
                <w:strike/>
                <w:color w:val="EE0000"/>
                <w:sz w:val="24"/>
                <w:szCs w:val="24"/>
              </w:rPr>
              <w:t>§ 2º Na hipótese do § 1º, o prazo para elaboração de parecer pelo comitê será contado da data em que concluída a negociação ou apresentado o aditamento à proposta inicial, conforme o caso.</w:t>
            </w:r>
          </w:p>
          <w:p w14:paraId="049E514D" w14:textId="66BCED77"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º  Concluídas</w:t>
            </w:r>
            <w:proofErr w:type="gramEnd"/>
            <w:r w:rsidRPr="00D462F0">
              <w:rPr>
                <w:rFonts w:asciiTheme="majorHAnsi" w:hAnsiTheme="majorHAnsi" w:cstheme="majorHAnsi"/>
                <w:bCs/>
                <w:color w:val="0000FF"/>
                <w:sz w:val="24"/>
                <w:szCs w:val="24"/>
              </w:rPr>
              <w:t xml:space="preserve"> as negociações, no prazo de quinze dias o Comitê elaborará </w:t>
            </w:r>
            <w:r w:rsidRPr="00D462F0">
              <w:rPr>
                <w:rFonts w:asciiTheme="majorHAnsi" w:hAnsiTheme="majorHAnsi" w:cstheme="majorHAnsi"/>
                <w:bCs/>
                <w:color w:val="0000FF"/>
                <w:sz w:val="24"/>
                <w:szCs w:val="24"/>
              </w:rPr>
              <w:lastRenderedPageBreak/>
              <w:t>a minuta do TAC e emitirá parecer sobre a viabilidade técnica, operacional e financeira do ajuste.</w:t>
            </w:r>
          </w:p>
        </w:tc>
        <w:tc>
          <w:tcPr>
            <w:tcW w:w="4074" w:type="dxa"/>
          </w:tcPr>
          <w:p w14:paraId="32703BF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A elaboração da minuta do TAC pela Previc propicia maior padronização das cláusulas, bem como potencializa o poder de polícia da Autarquia, para impor os atos que reputar necessários.</w:t>
            </w:r>
          </w:p>
          <w:p w14:paraId="48A1A068" w14:textId="77777777" w:rsidR="00EB19CA" w:rsidRPr="00D462F0" w:rsidRDefault="00EB19CA" w:rsidP="00D462F0">
            <w:pPr>
              <w:jc w:val="both"/>
              <w:rPr>
                <w:rFonts w:asciiTheme="majorHAnsi" w:hAnsiTheme="majorHAnsi" w:cstheme="majorHAnsi"/>
                <w:sz w:val="24"/>
                <w:szCs w:val="24"/>
              </w:rPr>
            </w:pPr>
          </w:p>
        </w:tc>
        <w:tc>
          <w:tcPr>
            <w:tcW w:w="4075" w:type="dxa"/>
          </w:tcPr>
          <w:p w14:paraId="42CF5F8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10473BB7"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Definição da análise e prazo do Comitê do TAC.</w:t>
            </w:r>
          </w:p>
          <w:p w14:paraId="2890E9B5" w14:textId="0532FE0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Considerando como componente da higidez o pilar da preservação da conformidade regulatória, o TAC oportuniza à EFPC a possibilidade de </w:t>
            </w:r>
            <w:r w:rsidRPr="00D462F0">
              <w:rPr>
                <w:rFonts w:asciiTheme="majorHAnsi" w:hAnsiTheme="majorHAnsi" w:cstheme="majorHAnsi"/>
                <w:bCs/>
                <w:sz w:val="24"/>
                <w:szCs w:val="24"/>
              </w:rPr>
              <w:lastRenderedPageBreak/>
              <w:t xml:space="preserve">restaurar seu alinhamento com as normas da Previc, do CNPC e da legislação aplicável, e na governança e controles internos da entidade; funcionando como gatilho para o fortalecimento de práticas internas que sustentam a higidez. </w:t>
            </w:r>
          </w:p>
          <w:p w14:paraId="5A62948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Possibilitar à Previc papel ativo na proposição de TAC, reforça a dimensão preventiva e educativa da regulação.  </w:t>
            </w:r>
          </w:p>
          <w:p w14:paraId="7B93A0C7" w14:textId="12E9D03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3A62EF" w:rsidRPr="00C93770" w14:paraId="0BD1DAFD" w14:textId="77777777" w:rsidTr="1756A420">
        <w:tc>
          <w:tcPr>
            <w:tcW w:w="4074" w:type="dxa"/>
          </w:tcPr>
          <w:p w14:paraId="38410602" w14:textId="2F2BCB8D" w:rsidR="003A62EF" w:rsidRPr="00D462F0" w:rsidRDefault="003A62EF" w:rsidP="000E01B8">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31904309" w14:textId="2E6D234A" w:rsidR="003A62EF" w:rsidRPr="00D462F0" w:rsidRDefault="003A62EF" w:rsidP="000E01B8">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06686E9D" w14:textId="77777777" w:rsidR="003A62EF" w:rsidRPr="00D462F0" w:rsidRDefault="003A62EF" w:rsidP="00D462F0">
            <w:pPr>
              <w:jc w:val="both"/>
              <w:rPr>
                <w:rFonts w:asciiTheme="majorHAnsi" w:hAnsiTheme="majorHAnsi" w:cstheme="majorHAnsi"/>
                <w:sz w:val="24"/>
                <w:szCs w:val="24"/>
              </w:rPr>
            </w:pPr>
          </w:p>
        </w:tc>
        <w:tc>
          <w:tcPr>
            <w:tcW w:w="4075" w:type="dxa"/>
          </w:tcPr>
          <w:p w14:paraId="6F68354E" w14:textId="77777777" w:rsidR="003A62EF" w:rsidRPr="00D462F0" w:rsidRDefault="003A62EF" w:rsidP="00D462F0">
            <w:pPr>
              <w:jc w:val="both"/>
              <w:rPr>
                <w:rFonts w:asciiTheme="majorHAnsi" w:hAnsiTheme="majorHAnsi" w:cstheme="majorHAnsi"/>
                <w:bCs/>
                <w:sz w:val="24"/>
                <w:szCs w:val="24"/>
              </w:rPr>
            </w:pPr>
          </w:p>
        </w:tc>
      </w:tr>
      <w:tr w:rsidR="00EB19CA" w:rsidRPr="00C93770" w14:paraId="3630A442" w14:textId="77777777" w:rsidTr="1756A420">
        <w:tc>
          <w:tcPr>
            <w:tcW w:w="4074" w:type="dxa"/>
          </w:tcPr>
          <w:p w14:paraId="13B8F984" w14:textId="6992BD06"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Art. 257.</w:t>
            </w:r>
            <w:r w:rsidR="002701A9"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 A proposta de celebração de TAC, acompanhada de parecer do comitê e da Procuradoria Federal, será submetida à deliberação da Diretoria Colegiada, para decisão discricionária final, por maioria simples. </w:t>
            </w:r>
          </w:p>
        </w:tc>
        <w:tc>
          <w:tcPr>
            <w:tcW w:w="4074" w:type="dxa"/>
          </w:tcPr>
          <w:p w14:paraId="3A48F8BF" w14:textId="6D2777FF"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257. </w:t>
            </w:r>
            <w:r w:rsidR="002701A9" w:rsidRPr="00D462F0">
              <w:rPr>
                <w:rFonts w:asciiTheme="majorHAnsi" w:hAnsiTheme="majorHAnsi" w:cstheme="majorHAnsi"/>
                <w:bCs/>
                <w:color w:val="000000"/>
                <w:sz w:val="24"/>
                <w:szCs w:val="24"/>
              </w:rPr>
              <w:t xml:space="preserve"> ...</w:t>
            </w:r>
          </w:p>
        </w:tc>
        <w:tc>
          <w:tcPr>
            <w:tcW w:w="4074" w:type="dxa"/>
          </w:tcPr>
          <w:p w14:paraId="1C7B8F48" w14:textId="6E4BC95B" w:rsidR="00EB19CA" w:rsidRPr="00D462F0" w:rsidRDefault="002701A9"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B34731B" w14:textId="7843D8D4" w:rsidR="00EB19CA" w:rsidRPr="00D462F0" w:rsidRDefault="00EB19CA" w:rsidP="00D462F0">
            <w:pPr>
              <w:jc w:val="both"/>
              <w:rPr>
                <w:rFonts w:asciiTheme="majorHAnsi" w:hAnsiTheme="majorHAnsi" w:cstheme="majorHAnsi"/>
                <w:bCs/>
                <w:sz w:val="24"/>
                <w:szCs w:val="24"/>
              </w:rPr>
            </w:pPr>
          </w:p>
        </w:tc>
      </w:tr>
      <w:tr w:rsidR="000F15E0" w:rsidRPr="00C93770" w14:paraId="45205686" w14:textId="77777777" w:rsidTr="1756A420">
        <w:tc>
          <w:tcPr>
            <w:tcW w:w="4074" w:type="dxa"/>
          </w:tcPr>
          <w:p w14:paraId="308E12CA" w14:textId="0571D909" w:rsidR="000F15E0" w:rsidRPr="00D462F0" w:rsidRDefault="000F15E0"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5739943" w14:textId="7B59DC1F" w:rsidR="000F15E0" w:rsidRPr="00D462F0" w:rsidRDefault="000F15E0"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4ECB7CED" w14:textId="77777777" w:rsidR="000F15E0" w:rsidRPr="00D462F0" w:rsidRDefault="000F15E0" w:rsidP="00D462F0">
            <w:pPr>
              <w:jc w:val="both"/>
              <w:rPr>
                <w:rFonts w:asciiTheme="majorHAnsi" w:hAnsiTheme="majorHAnsi" w:cstheme="majorHAnsi"/>
                <w:sz w:val="24"/>
                <w:szCs w:val="24"/>
              </w:rPr>
            </w:pPr>
          </w:p>
        </w:tc>
        <w:tc>
          <w:tcPr>
            <w:tcW w:w="4075" w:type="dxa"/>
          </w:tcPr>
          <w:p w14:paraId="6F8464EA" w14:textId="77777777" w:rsidR="000F15E0" w:rsidRPr="00D462F0" w:rsidRDefault="000F15E0" w:rsidP="00D462F0">
            <w:pPr>
              <w:jc w:val="both"/>
              <w:rPr>
                <w:rFonts w:asciiTheme="majorHAnsi" w:hAnsiTheme="majorHAnsi" w:cstheme="majorHAnsi"/>
                <w:bCs/>
                <w:sz w:val="24"/>
                <w:szCs w:val="24"/>
              </w:rPr>
            </w:pPr>
          </w:p>
        </w:tc>
      </w:tr>
      <w:tr w:rsidR="00EB19CA" w:rsidRPr="00C93770" w14:paraId="41D207AB" w14:textId="77777777" w:rsidTr="1756A420">
        <w:tc>
          <w:tcPr>
            <w:tcW w:w="4074" w:type="dxa"/>
          </w:tcPr>
          <w:p w14:paraId="3666B37A" w14:textId="3C408B1F"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3</w:t>
            </w:r>
            <w:proofErr w:type="gramStart"/>
            <w:r w:rsidRPr="00D462F0">
              <w:rPr>
                <w:rFonts w:asciiTheme="majorHAnsi" w:hAnsiTheme="majorHAnsi" w:cstheme="majorHAnsi"/>
                <w:color w:val="000000"/>
                <w:sz w:val="24"/>
                <w:szCs w:val="24"/>
              </w:rPr>
              <w:t>º</w:t>
            </w:r>
            <w:r w:rsidR="002701A9"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 O</w:t>
            </w:r>
            <w:proofErr w:type="gramEnd"/>
            <w:r w:rsidRPr="00D462F0">
              <w:rPr>
                <w:rFonts w:asciiTheme="majorHAnsi" w:hAnsiTheme="majorHAnsi" w:cstheme="majorHAnsi"/>
                <w:color w:val="000000"/>
                <w:sz w:val="24"/>
                <w:szCs w:val="24"/>
              </w:rPr>
              <w:t xml:space="preserve"> controle e o acompanhamento da execução do TAC devem ser efetuados pela unidade regional.</w:t>
            </w:r>
          </w:p>
        </w:tc>
        <w:tc>
          <w:tcPr>
            <w:tcW w:w="4074" w:type="dxa"/>
          </w:tcPr>
          <w:p w14:paraId="1D002591" w14:textId="2671F235"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3</w:t>
            </w:r>
            <w:proofErr w:type="gramStart"/>
            <w:r w:rsidRPr="00D462F0">
              <w:rPr>
                <w:rFonts w:asciiTheme="majorHAnsi" w:hAnsiTheme="majorHAnsi" w:cstheme="majorHAnsi"/>
                <w:bCs/>
                <w:color w:val="000000"/>
                <w:sz w:val="24"/>
                <w:szCs w:val="24"/>
              </w:rPr>
              <w:t xml:space="preserve">º </w:t>
            </w:r>
            <w:r w:rsidR="002701A9"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00"/>
                <w:sz w:val="24"/>
                <w:szCs w:val="24"/>
              </w:rPr>
              <w:t>O</w:t>
            </w:r>
            <w:proofErr w:type="gramEnd"/>
            <w:r w:rsidRPr="00D462F0">
              <w:rPr>
                <w:rFonts w:asciiTheme="majorHAnsi" w:hAnsiTheme="majorHAnsi" w:cstheme="majorHAnsi"/>
                <w:bCs/>
                <w:color w:val="000000"/>
                <w:sz w:val="24"/>
                <w:szCs w:val="24"/>
              </w:rPr>
              <w:t xml:space="preserve"> controle e o acompanhamento da execução do TAC devem ser efetuados pela </w:t>
            </w:r>
            <w:r w:rsidRPr="00D462F0">
              <w:rPr>
                <w:rFonts w:asciiTheme="majorHAnsi" w:hAnsiTheme="majorHAnsi" w:cstheme="majorHAnsi"/>
                <w:bCs/>
                <w:strike/>
                <w:color w:val="EE0000"/>
                <w:sz w:val="24"/>
                <w:szCs w:val="24"/>
              </w:rPr>
              <w:t>unidade regional</w:t>
            </w:r>
            <w:r w:rsidRPr="00D462F0">
              <w:rPr>
                <w:rFonts w:asciiTheme="majorHAnsi" w:hAnsiTheme="majorHAnsi" w:cstheme="majorHAnsi"/>
                <w:color w:val="EE0000"/>
                <w:sz w:val="24"/>
                <w:szCs w:val="24"/>
              </w:rPr>
              <w:t xml:space="preserve"> </w:t>
            </w:r>
            <w:r w:rsidRPr="00D462F0">
              <w:rPr>
                <w:rFonts w:asciiTheme="majorHAnsi" w:hAnsiTheme="majorHAnsi" w:cstheme="majorHAnsi"/>
                <w:bCs/>
                <w:color w:val="0000FF"/>
                <w:sz w:val="24"/>
                <w:szCs w:val="24"/>
              </w:rPr>
              <w:t>Coordenação-Geral de Fiscalização Direta.</w:t>
            </w:r>
          </w:p>
        </w:tc>
        <w:tc>
          <w:tcPr>
            <w:tcW w:w="4074" w:type="dxa"/>
          </w:tcPr>
          <w:p w14:paraId="6CF5CD2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do nome adequado da unidade competente.</w:t>
            </w:r>
          </w:p>
          <w:p w14:paraId="29ADE1C7" w14:textId="77777777" w:rsidR="00EB19CA" w:rsidRPr="00D462F0" w:rsidRDefault="00EB19CA" w:rsidP="00D462F0">
            <w:pPr>
              <w:jc w:val="both"/>
              <w:rPr>
                <w:rFonts w:asciiTheme="majorHAnsi" w:hAnsiTheme="majorHAnsi" w:cstheme="majorHAnsi"/>
                <w:sz w:val="24"/>
                <w:szCs w:val="24"/>
              </w:rPr>
            </w:pPr>
          </w:p>
        </w:tc>
        <w:tc>
          <w:tcPr>
            <w:tcW w:w="4075" w:type="dxa"/>
          </w:tcPr>
          <w:p w14:paraId="2CCD23EC"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54E7CFDA"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pois atualiza a unidade responsável.</w:t>
            </w:r>
          </w:p>
          <w:p w14:paraId="0EBB4851" w14:textId="5C1DC41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r w:rsidR="002773EE" w:rsidRPr="00C93770" w14:paraId="17D90436" w14:textId="77777777" w:rsidTr="1756A420">
        <w:tc>
          <w:tcPr>
            <w:tcW w:w="4074" w:type="dxa"/>
          </w:tcPr>
          <w:p w14:paraId="72CFF7BD" w14:textId="44EEE6C3" w:rsidR="002773EE" w:rsidRPr="00D462F0" w:rsidRDefault="002773EE"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F600878" w14:textId="1E597964" w:rsidR="002773EE" w:rsidRPr="00D462F0" w:rsidRDefault="002773EE"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1231B259" w14:textId="77777777" w:rsidR="002773EE" w:rsidRPr="00D462F0" w:rsidRDefault="002773EE" w:rsidP="00D462F0">
            <w:pPr>
              <w:jc w:val="both"/>
              <w:rPr>
                <w:rFonts w:asciiTheme="majorHAnsi" w:hAnsiTheme="majorHAnsi" w:cstheme="majorHAnsi"/>
                <w:sz w:val="24"/>
                <w:szCs w:val="24"/>
              </w:rPr>
            </w:pPr>
          </w:p>
        </w:tc>
        <w:tc>
          <w:tcPr>
            <w:tcW w:w="4075" w:type="dxa"/>
          </w:tcPr>
          <w:p w14:paraId="1793B024" w14:textId="77777777" w:rsidR="002773EE" w:rsidRPr="00D462F0" w:rsidRDefault="002773EE" w:rsidP="00D462F0">
            <w:pPr>
              <w:jc w:val="both"/>
              <w:rPr>
                <w:rFonts w:asciiTheme="majorHAnsi" w:hAnsiTheme="majorHAnsi" w:cstheme="majorHAnsi"/>
                <w:bCs/>
                <w:sz w:val="24"/>
                <w:szCs w:val="24"/>
              </w:rPr>
            </w:pPr>
          </w:p>
        </w:tc>
      </w:tr>
      <w:tr w:rsidR="00EB19CA" w:rsidRPr="00C93770" w14:paraId="0A7FF8C4" w14:textId="77777777" w:rsidTr="1756A420">
        <w:tc>
          <w:tcPr>
            <w:tcW w:w="4074" w:type="dxa"/>
          </w:tcPr>
          <w:p w14:paraId="1CBEE576" w14:textId="196DAC55"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261. </w:t>
            </w:r>
            <w:r w:rsidR="002701A9"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O procedimento ou processo administrativo em curso que tiver por objeto apurar a conduta abrangida pelo </w:t>
            </w:r>
            <w:r w:rsidRPr="00D462F0">
              <w:rPr>
                <w:rFonts w:asciiTheme="majorHAnsi" w:hAnsiTheme="majorHAnsi" w:cstheme="majorHAnsi"/>
                <w:color w:val="000000"/>
                <w:sz w:val="24"/>
                <w:szCs w:val="24"/>
              </w:rPr>
              <w:lastRenderedPageBreak/>
              <w:t>Termo de Ajustamento de Conduta deve ser suspenso durante a sua vigência.</w:t>
            </w:r>
          </w:p>
        </w:tc>
        <w:tc>
          <w:tcPr>
            <w:tcW w:w="4074" w:type="dxa"/>
          </w:tcPr>
          <w:p w14:paraId="398D5201" w14:textId="77777777" w:rsidR="003D63E3" w:rsidRPr="00D462F0" w:rsidRDefault="003D63E3" w:rsidP="00D462F0">
            <w:pPr>
              <w:jc w:val="both"/>
              <w:rPr>
                <w:rFonts w:asciiTheme="majorHAnsi" w:hAnsiTheme="majorHAnsi" w:cstheme="majorHAnsi"/>
                <w:strike/>
                <w:color w:val="EE0000"/>
                <w:sz w:val="24"/>
                <w:szCs w:val="24"/>
              </w:rPr>
            </w:pPr>
            <w:r w:rsidRPr="00D462F0">
              <w:rPr>
                <w:rFonts w:asciiTheme="majorHAnsi" w:hAnsiTheme="majorHAnsi" w:cstheme="majorHAnsi"/>
                <w:strike/>
                <w:color w:val="EE0000"/>
                <w:sz w:val="24"/>
                <w:szCs w:val="24"/>
              </w:rPr>
              <w:lastRenderedPageBreak/>
              <w:t xml:space="preserve">Art. 261.  O procedimento ou processo administrativo em curso que tiver por objeto apurar a conduta abrangida pelo </w:t>
            </w:r>
            <w:r w:rsidRPr="00D462F0">
              <w:rPr>
                <w:rFonts w:asciiTheme="majorHAnsi" w:hAnsiTheme="majorHAnsi" w:cstheme="majorHAnsi"/>
                <w:strike/>
                <w:color w:val="EE0000"/>
                <w:sz w:val="24"/>
                <w:szCs w:val="24"/>
              </w:rPr>
              <w:lastRenderedPageBreak/>
              <w:t>Termo de Ajustamento de Conduta deve ser suspenso durante a sua vigência.</w:t>
            </w:r>
          </w:p>
          <w:p w14:paraId="1E2B58D7" w14:textId="77777777" w:rsidR="003D63E3" w:rsidRPr="00D462F0" w:rsidRDefault="003D63E3" w:rsidP="00D462F0">
            <w:pPr>
              <w:jc w:val="both"/>
              <w:rPr>
                <w:rFonts w:asciiTheme="majorHAnsi" w:hAnsiTheme="majorHAnsi" w:cstheme="majorHAnsi"/>
                <w:color w:val="000000"/>
                <w:sz w:val="24"/>
                <w:szCs w:val="24"/>
              </w:rPr>
            </w:pPr>
          </w:p>
          <w:p w14:paraId="6275AF97" w14:textId="4D2DA62F"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261.  </w:t>
            </w:r>
            <w:r w:rsidRPr="00D462F0">
              <w:rPr>
                <w:rFonts w:asciiTheme="majorHAnsi" w:hAnsiTheme="majorHAnsi" w:cstheme="majorHAnsi"/>
                <w:bCs/>
                <w:color w:val="0000FF"/>
                <w:sz w:val="24"/>
                <w:szCs w:val="24"/>
              </w:rPr>
              <w:t>Com a admissão do pedido d</w:t>
            </w:r>
            <w:r w:rsidR="003D63E3" w:rsidRPr="00D462F0">
              <w:rPr>
                <w:rFonts w:asciiTheme="majorHAnsi" w:hAnsiTheme="majorHAnsi" w:cstheme="majorHAnsi"/>
                <w:bCs/>
                <w:color w:val="0000FF"/>
                <w:sz w:val="24"/>
                <w:szCs w:val="24"/>
              </w:rPr>
              <w:t>o Termo de Ajustamento de Conduta</w:t>
            </w:r>
            <w:r w:rsidRPr="00D462F0">
              <w:rPr>
                <w:rFonts w:asciiTheme="majorHAnsi" w:hAnsiTheme="majorHAnsi" w:cstheme="majorHAnsi"/>
                <w:bCs/>
                <w:color w:val="0000FF"/>
                <w:sz w:val="24"/>
                <w:szCs w:val="24"/>
              </w:rPr>
              <w:t xml:space="preserve"> pela Diretoria de Fiscalização e Monitoramento, os processos administrativos que tenham por objeto condutas admitidas no juízo preliminar serão </w:t>
            </w:r>
            <w:proofErr w:type="gramStart"/>
            <w:r w:rsidRPr="00D462F0">
              <w:rPr>
                <w:rFonts w:asciiTheme="majorHAnsi" w:hAnsiTheme="majorHAnsi" w:cstheme="majorHAnsi"/>
                <w:bCs/>
                <w:color w:val="0000FF"/>
                <w:sz w:val="24"/>
                <w:szCs w:val="24"/>
              </w:rPr>
              <w:t>suspensos</w:t>
            </w:r>
            <w:proofErr w:type="gramEnd"/>
            <w:r w:rsidRPr="00D462F0">
              <w:rPr>
                <w:rFonts w:asciiTheme="majorHAnsi" w:hAnsiTheme="majorHAnsi" w:cstheme="majorHAnsi"/>
                <w:bCs/>
                <w:color w:val="0000FF"/>
                <w:sz w:val="24"/>
                <w:szCs w:val="24"/>
              </w:rPr>
              <w:t xml:space="preserve"> até o fim da vigência do ajuste.</w:t>
            </w:r>
          </w:p>
        </w:tc>
        <w:tc>
          <w:tcPr>
            <w:tcW w:w="4074" w:type="dxa"/>
          </w:tcPr>
          <w:p w14:paraId="718D799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 suspensão dos processos correlatos deve se dar já a partir da admissão do pedido de TAC, sob pena de se permitir </w:t>
            </w:r>
            <w:r w:rsidRPr="00D462F0">
              <w:rPr>
                <w:rFonts w:asciiTheme="majorHAnsi" w:hAnsiTheme="majorHAnsi" w:cstheme="majorHAnsi"/>
                <w:sz w:val="24"/>
                <w:szCs w:val="24"/>
              </w:rPr>
              <w:lastRenderedPageBreak/>
              <w:t>a prática de atos conflitantes nos dois processos (TAC e investigatório).</w:t>
            </w:r>
          </w:p>
          <w:p w14:paraId="683A8F0F" w14:textId="08564B25"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A redação proposta está mais aderente ao texto legal, que prescreve “qualquer ato inequívoco que importe em manifestação expressa de tentativa de solução conciliatória”</w:t>
            </w:r>
          </w:p>
          <w:p w14:paraId="57DE17E2" w14:textId="0646E136" w:rsidR="00EB19CA" w:rsidRPr="00D462F0" w:rsidRDefault="00EB19CA" w:rsidP="00D462F0">
            <w:pPr>
              <w:jc w:val="both"/>
              <w:rPr>
                <w:rFonts w:asciiTheme="majorHAnsi" w:hAnsiTheme="majorHAnsi" w:cstheme="majorHAnsi"/>
                <w:sz w:val="24"/>
                <w:szCs w:val="24"/>
              </w:rPr>
            </w:pPr>
          </w:p>
        </w:tc>
        <w:tc>
          <w:tcPr>
            <w:tcW w:w="4075" w:type="dxa"/>
          </w:tcPr>
          <w:p w14:paraId="27CCB7B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Decreto nº 10.411, de 2020, art. 3º, § 2º, inciso I.</w:t>
            </w:r>
          </w:p>
          <w:p w14:paraId="73AFB719" w14:textId="67CCD0B2"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lastRenderedPageBreak/>
              <w:t>Trata-se de alteração de impacto operacional interno, pois define a suspensão do andamento de eventuais processos administrativos na Previc até a conclusão do TAC.</w:t>
            </w:r>
          </w:p>
          <w:p w14:paraId="7E4725BE" w14:textId="371023F5"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r w:rsidR="002701A9" w:rsidRPr="00C93770" w14:paraId="188F6594" w14:textId="77777777" w:rsidTr="1756A420">
        <w:tc>
          <w:tcPr>
            <w:tcW w:w="4074" w:type="dxa"/>
          </w:tcPr>
          <w:p w14:paraId="7B182FFC" w14:textId="18283A2F" w:rsidR="002701A9" w:rsidRPr="00D462F0" w:rsidRDefault="002701A9"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69F5D27A" w14:textId="3F9BD452" w:rsidR="002701A9" w:rsidRPr="008F3FAE" w:rsidRDefault="002701A9" w:rsidP="008F3FAE">
            <w:pPr>
              <w:jc w:val="center"/>
              <w:rPr>
                <w:rFonts w:asciiTheme="majorHAnsi" w:hAnsiTheme="majorHAnsi" w:cstheme="majorHAnsi"/>
                <w:bCs/>
                <w:color w:val="EE0000"/>
                <w:sz w:val="24"/>
                <w:szCs w:val="24"/>
              </w:rPr>
            </w:pPr>
            <w:r w:rsidRPr="008F3FAE">
              <w:rPr>
                <w:rFonts w:asciiTheme="majorHAnsi" w:hAnsiTheme="majorHAnsi" w:cstheme="majorHAnsi"/>
                <w:bCs/>
                <w:sz w:val="24"/>
                <w:szCs w:val="24"/>
              </w:rPr>
              <w:t>...</w:t>
            </w:r>
          </w:p>
        </w:tc>
        <w:tc>
          <w:tcPr>
            <w:tcW w:w="4074" w:type="dxa"/>
          </w:tcPr>
          <w:p w14:paraId="16987CF2" w14:textId="77777777" w:rsidR="002701A9" w:rsidRPr="00D462F0" w:rsidRDefault="002701A9" w:rsidP="00D462F0">
            <w:pPr>
              <w:jc w:val="both"/>
              <w:rPr>
                <w:rFonts w:asciiTheme="majorHAnsi" w:hAnsiTheme="majorHAnsi" w:cstheme="majorHAnsi"/>
                <w:sz w:val="24"/>
                <w:szCs w:val="24"/>
              </w:rPr>
            </w:pPr>
          </w:p>
        </w:tc>
        <w:tc>
          <w:tcPr>
            <w:tcW w:w="4075" w:type="dxa"/>
          </w:tcPr>
          <w:p w14:paraId="72FE1598" w14:textId="77777777" w:rsidR="002701A9" w:rsidRPr="00D462F0" w:rsidRDefault="002701A9" w:rsidP="00D462F0">
            <w:pPr>
              <w:jc w:val="both"/>
              <w:rPr>
                <w:rFonts w:asciiTheme="majorHAnsi" w:hAnsiTheme="majorHAnsi" w:cstheme="majorHAnsi"/>
                <w:bCs/>
                <w:sz w:val="24"/>
                <w:szCs w:val="24"/>
              </w:rPr>
            </w:pPr>
          </w:p>
        </w:tc>
      </w:tr>
      <w:tr w:rsidR="00EB19CA" w:rsidRPr="00C93770" w14:paraId="004ED847" w14:textId="77777777" w:rsidTr="1756A420">
        <w:tc>
          <w:tcPr>
            <w:tcW w:w="4074" w:type="dxa"/>
          </w:tcPr>
          <w:p w14:paraId="476066C6" w14:textId="789CF2E9"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2º A celebração do Termo de Ajustamento de Conduta interrompe a prescrição administrativa na data de sua assinatura, nos termos do inciso IV do art. 2º da Lei nº 9.873, de 23 de novembro de 1999.</w:t>
            </w:r>
          </w:p>
        </w:tc>
        <w:tc>
          <w:tcPr>
            <w:tcW w:w="4074" w:type="dxa"/>
          </w:tcPr>
          <w:p w14:paraId="686C6D81" w14:textId="0D7F8FC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trike/>
                <w:color w:val="EE0000"/>
                <w:sz w:val="24"/>
                <w:szCs w:val="24"/>
              </w:rPr>
              <w:t xml:space="preserve">§ 2º A celebração </w:t>
            </w:r>
            <w:r w:rsidR="003D63E3" w:rsidRPr="00D462F0">
              <w:rPr>
                <w:rFonts w:asciiTheme="majorHAnsi" w:hAnsiTheme="majorHAnsi" w:cstheme="majorHAnsi"/>
                <w:bCs/>
                <w:color w:val="0000FF"/>
                <w:sz w:val="24"/>
                <w:szCs w:val="24"/>
              </w:rPr>
              <w:t xml:space="preserve">O pedido de celebração </w:t>
            </w:r>
            <w:r w:rsidR="003D63E3" w:rsidRPr="00D462F0">
              <w:rPr>
                <w:rFonts w:asciiTheme="majorHAnsi" w:hAnsiTheme="majorHAnsi" w:cstheme="majorHAnsi"/>
                <w:bCs/>
                <w:sz w:val="24"/>
                <w:szCs w:val="24"/>
              </w:rPr>
              <w:t xml:space="preserve">de </w:t>
            </w:r>
            <w:r w:rsidR="003D63E3" w:rsidRPr="00D462F0">
              <w:rPr>
                <w:rFonts w:asciiTheme="majorHAnsi" w:hAnsiTheme="majorHAnsi" w:cstheme="majorHAnsi"/>
                <w:bCs/>
                <w:strike/>
                <w:color w:val="EE0000"/>
                <w:sz w:val="24"/>
                <w:szCs w:val="24"/>
              </w:rPr>
              <w:t xml:space="preserve">do </w:t>
            </w:r>
            <w:r w:rsidRPr="00D462F0">
              <w:rPr>
                <w:rFonts w:asciiTheme="majorHAnsi" w:hAnsiTheme="majorHAnsi" w:cstheme="majorHAnsi"/>
                <w:bCs/>
                <w:sz w:val="24"/>
                <w:szCs w:val="24"/>
              </w:rPr>
              <w:t>Termo de Ajustamento de Conduta</w:t>
            </w:r>
            <w:r w:rsidR="003D63E3" w:rsidRPr="00D462F0">
              <w:rPr>
                <w:rFonts w:asciiTheme="majorHAnsi" w:hAnsiTheme="majorHAnsi" w:cstheme="majorHAnsi"/>
                <w:bCs/>
                <w:sz w:val="24"/>
                <w:szCs w:val="24"/>
              </w:rPr>
              <w:t xml:space="preserve"> </w:t>
            </w:r>
            <w:r w:rsidR="003D63E3" w:rsidRPr="00D462F0">
              <w:rPr>
                <w:rFonts w:asciiTheme="majorHAnsi" w:hAnsiTheme="majorHAnsi" w:cstheme="majorHAnsi"/>
                <w:bCs/>
                <w:color w:val="0000FF"/>
                <w:sz w:val="24"/>
                <w:szCs w:val="24"/>
              </w:rPr>
              <w:t xml:space="preserve">constitui manifestação expressa de tentativa de solução conciliatória e interrompe o prazo de </w:t>
            </w:r>
            <w:r w:rsidRPr="00D462F0">
              <w:rPr>
                <w:rFonts w:asciiTheme="majorHAnsi" w:hAnsiTheme="majorHAnsi" w:cstheme="majorHAnsi"/>
                <w:bCs/>
                <w:strike/>
                <w:color w:val="EE0000"/>
                <w:sz w:val="24"/>
                <w:szCs w:val="24"/>
              </w:rPr>
              <w:t xml:space="preserve">interrompe a </w:t>
            </w:r>
            <w:r w:rsidRPr="00D462F0">
              <w:rPr>
                <w:rFonts w:asciiTheme="majorHAnsi" w:hAnsiTheme="majorHAnsi" w:cstheme="majorHAnsi"/>
                <w:bCs/>
                <w:sz w:val="24"/>
                <w:szCs w:val="24"/>
              </w:rPr>
              <w:t>prescrição</w:t>
            </w:r>
            <w:r w:rsidRPr="00D462F0">
              <w:rPr>
                <w:rFonts w:asciiTheme="majorHAnsi" w:hAnsiTheme="majorHAnsi" w:cstheme="majorHAnsi"/>
                <w:bCs/>
                <w:strike/>
                <w:sz w:val="24"/>
                <w:szCs w:val="24"/>
              </w:rPr>
              <w:t xml:space="preserve"> </w:t>
            </w:r>
            <w:r w:rsidRPr="00D462F0">
              <w:rPr>
                <w:rFonts w:asciiTheme="majorHAnsi" w:hAnsiTheme="majorHAnsi" w:cstheme="majorHAnsi"/>
                <w:bCs/>
                <w:strike/>
                <w:color w:val="EE0000"/>
                <w:sz w:val="24"/>
                <w:szCs w:val="24"/>
              </w:rPr>
              <w:t xml:space="preserve">administrativa na data de sua assinatura, </w:t>
            </w:r>
            <w:r w:rsidR="003D63E3" w:rsidRPr="00D462F0">
              <w:rPr>
                <w:rFonts w:asciiTheme="majorHAnsi" w:hAnsiTheme="majorHAnsi" w:cstheme="majorHAnsi"/>
                <w:bCs/>
                <w:color w:val="0000FF"/>
                <w:sz w:val="24"/>
                <w:szCs w:val="24"/>
              </w:rPr>
              <w:t xml:space="preserve">da pretensão punitiva, </w:t>
            </w:r>
            <w:r w:rsidRPr="00D462F0">
              <w:rPr>
                <w:rFonts w:asciiTheme="majorHAnsi" w:hAnsiTheme="majorHAnsi" w:cstheme="majorHAnsi"/>
                <w:bCs/>
                <w:sz w:val="24"/>
                <w:szCs w:val="24"/>
              </w:rPr>
              <w:t>nos termos do inciso IV do art. 2º da Lei nº 9.873, de 23 de novembro de 1999.</w:t>
            </w:r>
          </w:p>
          <w:p w14:paraId="58539471" w14:textId="7A1C949D" w:rsidR="00EB19CA" w:rsidRPr="00D462F0" w:rsidRDefault="00EB19CA" w:rsidP="00D462F0">
            <w:pPr>
              <w:jc w:val="both"/>
              <w:rPr>
                <w:rFonts w:asciiTheme="majorHAnsi" w:hAnsiTheme="majorHAnsi" w:cstheme="majorHAnsi"/>
                <w:bCs/>
                <w:color w:val="000000"/>
                <w:sz w:val="24"/>
                <w:szCs w:val="24"/>
              </w:rPr>
            </w:pPr>
          </w:p>
        </w:tc>
        <w:tc>
          <w:tcPr>
            <w:tcW w:w="4074" w:type="dxa"/>
          </w:tcPr>
          <w:p w14:paraId="19729D14" w14:textId="77777777" w:rsidR="00EB19CA" w:rsidRPr="00D462F0" w:rsidRDefault="00EB19CA" w:rsidP="00D462F0">
            <w:pPr>
              <w:jc w:val="both"/>
              <w:rPr>
                <w:rFonts w:asciiTheme="majorHAnsi" w:hAnsiTheme="majorHAnsi" w:cstheme="majorHAnsi"/>
                <w:sz w:val="24"/>
                <w:szCs w:val="24"/>
              </w:rPr>
            </w:pPr>
          </w:p>
        </w:tc>
        <w:tc>
          <w:tcPr>
            <w:tcW w:w="4075" w:type="dxa"/>
          </w:tcPr>
          <w:p w14:paraId="316DA38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5D00BC90" w14:textId="77777777" w:rsidR="00EB19CA" w:rsidRPr="00D462F0" w:rsidRDefault="00EB19CA" w:rsidP="00D462F0">
            <w:pPr>
              <w:jc w:val="both"/>
              <w:rPr>
                <w:rFonts w:asciiTheme="majorHAnsi" w:hAnsiTheme="majorHAnsi" w:cstheme="majorHAnsi"/>
                <w:bCs/>
                <w:sz w:val="24"/>
                <w:szCs w:val="24"/>
              </w:rPr>
            </w:pPr>
          </w:p>
        </w:tc>
      </w:tr>
      <w:tr w:rsidR="002773EE" w:rsidRPr="00C93770" w14:paraId="6A53C89A" w14:textId="77777777" w:rsidTr="1756A420">
        <w:tc>
          <w:tcPr>
            <w:tcW w:w="4074" w:type="dxa"/>
          </w:tcPr>
          <w:p w14:paraId="5B5A21CA" w14:textId="4D6EE7D8" w:rsidR="002773EE" w:rsidRPr="00D462F0" w:rsidRDefault="002773EE"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2BCF193A" w14:textId="24918C91" w:rsidR="002773EE" w:rsidRPr="00D462F0" w:rsidRDefault="002773EE"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43078D8D" w14:textId="77777777" w:rsidR="002773EE" w:rsidRPr="00D462F0" w:rsidRDefault="002773EE" w:rsidP="00D462F0">
            <w:pPr>
              <w:jc w:val="both"/>
              <w:rPr>
                <w:rFonts w:asciiTheme="majorHAnsi" w:hAnsiTheme="majorHAnsi" w:cstheme="majorHAnsi"/>
                <w:sz w:val="24"/>
                <w:szCs w:val="24"/>
              </w:rPr>
            </w:pPr>
          </w:p>
        </w:tc>
        <w:tc>
          <w:tcPr>
            <w:tcW w:w="4075" w:type="dxa"/>
          </w:tcPr>
          <w:p w14:paraId="13CE3F01" w14:textId="77777777" w:rsidR="002773EE" w:rsidRPr="00D462F0" w:rsidRDefault="002773EE" w:rsidP="00D462F0">
            <w:pPr>
              <w:jc w:val="both"/>
              <w:rPr>
                <w:rFonts w:asciiTheme="majorHAnsi" w:hAnsiTheme="majorHAnsi" w:cstheme="majorHAnsi"/>
                <w:bCs/>
                <w:sz w:val="24"/>
                <w:szCs w:val="24"/>
              </w:rPr>
            </w:pPr>
          </w:p>
        </w:tc>
      </w:tr>
      <w:tr w:rsidR="00EB19CA" w:rsidRPr="00C93770" w14:paraId="06B3E984" w14:textId="77777777" w:rsidTr="1756A420">
        <w:tc>
          <w:tcPr>
            <w:tcW w:w="4074" w:type="dxa"/>
          </w:tcPr>
          <w:p w14:paraId="4C11B957" w14:textId="727EBF19"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264. </w:t>
            </w:r>
            <w:r w:rsidR="002701A9"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A decisão sobre o cumprimento ou descumprimento do Termo de Ajustamento de Conduta é de competência da Diretoria Colegiada da Previc. </w:t>
            </w:r>
          </w:p>
        </w:tc>
        <w:tc>
          <w:tcPr>
            <w:tcW w:w="4074" w:type="dxa"/>
          </w:tcPr>
          <w:p w14:paraId="38987DD1" w14:textId="64C0AB44"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264.  ... </w:t>
            </w:r>
          </w:p>
          <w:p w14:paraId="5F0025A1" w14:textId="2775EBC6" w:rsidR="00EB19CA" w:rsidRPr="00D462F0" w:rsidRDefault="00EB19CA" w:rsidP="00D462F0">
            <w:pPr>
              <w:jc w:val="both"/>
              <w:rPr>
                <w:rFonts w:asciiTheme="majorHAnsi" w:hAnsiTheme="majorHAnsi" w:cstheme="majorHAnsi"/>
                <w:bCs/>
                <w:color w:val="000000"/>
                <w:sz w:val="24"/>
                <w:szCs w:val="24"/>
              </w:rPr>
            </w:pPr>
          </w:p>
        </w:tc>
        <w:tc>
          <w:tcPr>
            <w:tcW w:w="4074" w:type="dxa"/>
          </w:tcPr>
          <w:p w14:paraId="23B08854" w14:textId="73A3D689" w:rsidR="00EB19CA" w:rsidRPr="00D462F0" w:rsidRDefault="002701A9"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466AB523" w14:textId="2FD0B377" w:rsidR="00EB19CA" w:rsidRPr="00D462F0" w:rsidRDefault="00EB19CA" w:rsidP="00D462F0">
            <w:pPr>
              <w:jc w:val="both"/>
              <w:rPr>
                <w:rFonts w:asciiTheme="majorHAnsi" w:hAnsiTheme="majorHAnsi" w:cstheme="majorHAnsi"/>
                <w:bCs/>
                <w:sz w:val="24"/>
                <w:szCs w:val="24"/>
              </w:rPr>
            </w:pPr>
          </w:p>
        </w:tc>
      </w:tr>
      <w:tr w:rsidR="00EB19CA" w:rsidRPr="00C93770" w14:paraId="2692EC90" w14:textId="77777777" w:rsidTr="1756A420">
        <w:tc>
          <w:tcPr>
            <w:tcW w:w="4074" w:type="dxa"/>
          </w:tcPr>
          <w:p w14:paraId="11057F06" w14:textId="45A24F93"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1º A unidade regional responsável pelo controle e acompanhamento da execução do Termo de Ajustamento de Conduta, quando constatar descumprimento dos compromissos assumidos, deve submeter manifestação à Diretoria Colegiada da Previc</w:t>
            </w:r>
          </w:p>
        </w:tc>
        <w:tc>
          <w:tcPr>
            <w:tcW w:w="4074" w:type="dxa"/>
          </w:tcPr>
          <w:p w14:paraId="60F8871B" w14:textId="77777777"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1</w:t>
            </w:r>
            <w:proofErr w:type="gramStart"/>
            <w:r w:rsidRPr="00D462F0">
              <w:rPr>
                <w:rFonts w:asciiTheme="majorHAnsi" w:hAnsiTheme="majorHAnsi" w:cstheme="majorHAnsi"/>
                <w:bCs/>
                <w:color w:val="000000"/>
                <w:sz w:val="24"/>
                <w:szCs w:val="24"/>
              </w:rPr>
              <w:t>º  A</w:t>
            </w:r>
            <w:proofErr w:type="gramEnd"/>
            <w:r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FF"/>
                <w:sz w:val="24"/>
                <w:szCs w:val="24"/>
              </w:rPr>
              <w:t>unidade responsável</w:t>
            </w:r>
            <w:r w:rsidRPr="00D462F0">
              <w:rPr>
                <w:rFonts w:asciiTheme="majorHAnsi" w:hAnsiTheme="majorHAnsi" w:cstheme="majorHAnsi"/>
                <w:bCs/>
                <w:color w:val="000000"/>
                <w:sz w:val="24"/>
                <w:szCs w:val="24"/>
              </w:rPr>
              <w:t xml:space="preserve"> pelo controle e acompanhamento da execução do Termo de Ajustamento de Conduta, quando constatar descumprimento dos compromissos assumidos, deve submeter manifestação à Diretoria Colegiada da Previc. </w:t>
            </w:r>
          </w:p>
          <w:p w14:paraId="1AE6CF04" w14:textId="77777777" w:rsidR="00EB19CA" w:rsidRPr="00D462F0" w:rsidRDefault="00EB19CA" w:rsidP="00D462F0">
            <w:pPr>
              <w:jc w:val="both"/>
              <w:rPr>
                <w:rFonts w:asciiTheme="majorHAnsi" w:hAnsiTheme="majorHAnsi" w:cstheme="majorHAnsi"/>
                <w:bCs/>
                <w:color w:val="0000FF"/>
                <w:sz w:val="24"/>
                <w:szCs w:val="24"/>
              </w:rPr>
            </w:pPr>
          </w:p>
        </w:tc>
        <w:tc>
          <w:tcPr>
            <w:tcW w:w="4074" w:type="dxa"/>
          </w:tcPr>
          <w:p w14:paraId="23A08B05" w14:textId="2727BDCB"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Ajustar a redação para a previsão proposta para o §3º do art. 257, com a competência da Coordenação-Geral de Fiscalização Direta. </w:t>
            </w:r>
          </w:p>
        </w:tc>
        <w:tc>
          <w:tcPr>
            <w:tcW w:w="4075" w:type="dxa"/>
          </w:tcPr>
          <w:p w14:paraId="3AA8D82F"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Decreto nº 10.411, de 2020, art. 3º, § 2º, inciso I </w:t>
            </w:r>
          </w:p>
          <w:p w14:paraId="7A7A48D4"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pois atualiza a unidade responsável.</w:t>
            </w:r>
          </w:p>
          <w:p w14:paraId="61020BFE" w14:textId="4048F15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Nesse sentido, por se tratar de artigo de natureza administrativa, com efeitos diretos à Previc, o caso se enquadra em </w:t>
            </w:r>
            <w:r w:rsidRPr="00D462F0">
              <w:rPr>
                <w:rFonts w:asciiTheme="majorHAnsi" w:hAnsiTheme="majorHAnsi" w:cstheme="majorHAnsi"/>
                <w:bCs/>
                <w:sz w:val="24"/>
                <w:szCs w:val="24"/>
              </w:rPr>
              <w:lastRenderedPageBreak/>
              <w:t>não aplicabilidade para a realização de AIR.</w:t>
            </w:r>
          </w:p>
        </w:tc>
      </w:tr>
      <w:tr w:rsidR="00EB19CA" w:rsidRPr="00C93770" w14:paraId="537B8757" w14:textId="77777777" w:rsidTr="1756A420">
        <w:tc>
          <w:tcPr>
            <w:tcW w:w="4074" w:type="dxa"/>
          </w:tcPr>
          <w:p w14:paraId="2D27F417" w14:textId="73C7DA91"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2º A unidade regional responsável pelo controle e acompanhamento da execução do Termo de Ajustamento de Conduta deve analisar o cumprimento dos compromissos assumidos, submetendo manifestação à Diretoria Colegiada da Previc.</w:t>
            </w:r>
          </w:p>
        </w:tc>
        <w:tc>
          <w:tcPr>
            <w:tcW w:w="4074" w:type="dxa"/>
          </w:tcPr>
          <w:p w14:paraId="70CBE27B" w14:textId="2A1F83B3"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00"/>
                <w:sz w:val="24"/>
                <w:szCs w:val="24"/>
              </w:rPr>
              <w:t>§ 2</w:t>
            </w:r>
            <w:proofErr w:type="gramStart"/>
            <w:r w:rsidRPr="00D462F0">
              <w:rPr>
                <w:rFonts w:asciiTheme="majorHAnsi" w:hAnsiTheme="majorHAnsi" w:cstheme="majorHAnsi"/>
                <w:bCs/>
                <w:color w:val="000000"/>
                <w:sz w:val="24"/>
                <w:szCs w:val="24"/>
              </w:rPr>
              <w:t>º</w:t>
            </w:r>
            <w:r w:rsidRPr="00D462F0">
              <w:rPr>
                <w:rFonts w:asciiTheme="majorHAnsi" w:hAnsiTheme="majorHAnsi" w:cstheme="majorHAnsi"/>
                <w:bCs/>
                <w:sz w:val="24"/>
                <w:szCs w:val="24"/>
              </w:rPr>
              <w:t xml:space="preserve">  A</w:t>
            </w:r>
            <w:proofErr w:type="gramEnd"/>
            <w:r w:rsidRPr="00D462F0">
              <w:rPr>
                <w:rFonts w:asciiTheme="majorHAnsi" w:hAnsiTheme="majorHAnsi" w:cstheme="majorHAnsi"/>
                <w:bCs/>
                <w:sz w:val="24"/>
                <w:szCs w:val="24"/>
              </w:rPr>
              <w:t xml:space="preserve"> unidade </w:t>
            </w:r>
            <w:r w:rsidRPr="00D462F0">
              <w:rPr>
                <w:rFonts w:asciiTheme="majorHAnsi" w:hAnsiTheme="majorHAnsi" w:cstheme="majorHAnsi"/>
                <w:bCs/>
                <w:strike/>
                <w:color w:val="EE0000"/>
                <w:sz w:val="24"/>
                <w:szCs w:val="24"/>
              </w:rPr>
              <w:t>regional</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responsável</w:t>
            </w:r>
            <w:r w:rsidRPr="00D462F0">
              <w:rPr>
                <w:rFonts w:asciiTheme="majorHAnsi" w:hAnsiTheme="majorHAnsi" w:cstheme="majorHAnsi"/>
                <w:bCs/>
                <w:color w:val="000000"/>
                <w:sz w:val="24"/>
                <w:szCs w:val="24"/>
              </w:rPr>
              <w:t xml:space="preserve"> pelo controle e acompanhamento da execução do Termo de Ajustamento de Conduta deve analisar o cumprimento dos compromissos assumidos, submetendo manifestação à Diretoria Colegiada da Previc.</w:t>
            </w:r>
          </w:p>
        </w:tc>
        <w:tc>
          <w:tcPr>
            <w:tcW w:w="4074" w:type="dxa"/>
          </w:tcPr>
          <w:p w14:paraId="58BC7780" w14:textId="77777777" w:rsidR="00EB19CA" w:rsidRPr="00D462F0" w:rsidRDefault="00EB19CA" w:rsidP="00D462F0">
            <w:pPr>
              <w:jc w:val="both"/>
              <w:rPr>
                <w:rFonts w:asciiTheme="majorHAnsi" w:hAnsiTheme="majorHAnsi" w:cstheme="majorHAnsi"/>
                <w:sz w:val="24"/>
                <w:szCs w:val="24"/>
              </w:rPr>
            </w:pPr>
          </w:p>
        </w:tc>
        <w:tc>
          <w:tcPr>
            <w:tcW w:w="4075" w:type="dxa"/>
          </w:tcPr>
          <w:p w14:paraId="0D993D4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Decreto nº 10.411, de 2020, art. 3º, § 2º, inciso I </w:t>
            </w:r>
          </w:p>
          <w:p w14:paraId="51415C37" w14:textId="77777777" w:rsidR="00EB19CA" w:rsidRPr="00D462F0" w:rsidRDefault="00EB19CA" w:rsidP="00D462F0">
            <w:pPr>
              <w:jc w:val="both"/>
              <w:rPr>
                <w:rFonts w:asciiTheme="majorHAnsi" w:hAnsiTheme="majorHAnsi" w:cstheme="majorHAnsi"/>
                <w:bCs/>
                <w:sz w:val="24"/>
                <w:szCs w:val="24"/>
              </w:rPr>
            </w:pPr>
          </w:p>
        </w:tc>
      </w:tr>
      <w:tr w:rsidR="00EB19CA" w:rsidRPr="00C93770" w14:paraId="088C6015" w14:textId="77777777" w:rsidTr="1756A420">
        <w:tc>
          <w:tcPr>
            <w:tcW w:w="4074" w:type="dxa"/>
          </w:tcPr>
          <w:p w14:paraId="28AF6C48" w14:textId="6593EAD1" w:rsidR="00EB19CA" w:rsidRPr="00D462F0" w:rsidRDefault="00EB19CA"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6CD9DEB8" w14:textId="1767BCBE" w:rsidR="00EB19CA" w:rsidRPr="00D462F0" w:rsidRDefault="00EB19CA" w:rsidP="008F3FAE">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7D422D81" w14:textId="77777777" w:rsidR="00EB19CA" w:rsidRPr="00D462F0" w:rsidRDefault="00EB19CA" w:rsidP="00D462F0">
            <w:pPr>
              <w:jc w:val="both"/>
              <w:rPr>
                <w:rFonts w:asciiTheme="majorHAnsi" w:hAnsiTheme="majorHAnsi" w:cstheme="majorHAnsi"/>
                <w:sz w:val="24"/>
                <w:szCs w:val="24"/>
              </w:rPr>
            </w:pPr>
          </w:p>
        </w:tc>
        <w:tc>
          <w:tcPr>
            <w:tcW w:w="4075" w:type="dxa"/>
          </w:tcPr>
          <w:p w14:paraId="6ED8A705" w14:textId="77777777" w:rsidR="00EB19CA" w:rsidRPr="00D462F0" w:rsidRDefault="00EB19CA" w:rsidP="00D462F0">
            <w:pPr>
              <w:jc w:val="both"/>
              <w:rPr>
                <w:rFonts w:asciiTheme="majorHAnsi" w:hAnsiTheme="majorHAnsi" w:cstheme="majorHAnsi"/>
                <w:bCs/>
                <w:sz w:val="24"/>
                <w:szCs w:val="24"/>
              </w:rPr>
            </w:pPr>
          </w:p>
        </w:tc>
      </w:tr>
      <w:tr w:rsidR="002773EE" w:rsidRPr="00C93770" w14:paraId="1BBADE72" w14:textId="77777777" w:rsidTr="1756A420">
        <w:tc>
          <w:tcPr>
            <w:tcW w:w="4074" w:type="dxa"/>
          </w:tcPr>
          <w:p w14:paraId="4D7546C4" w14:textId="77777777" w:rsidR="002773EE" w:rsidRPr="00D462F0" w:rsidRDefault="002773EE" w:rsidP="008F3FAE">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III</w:t>
            </w:r>
          </w:p>
          <w:p w14:paraId="19CF4FBB" w14:textId="17C14878" w:rsidR="002773EE" w:rsidRPr="00D462F0" w:rsidRDefault="002773EE" w:rsidP="008F3FAE">
            <w:pPr>
              <w:jc w:val="center"/>
              <w:rPr>
                <w:rFonts w:asciiTheme="majorHAnsi" w:hAnsiTheme="majorHAnsi" w:cstheme="majorHAnsi"/>
                <w:color w:val="000000"/>
                <w:sz w:val="24"/>
                <w:szCs w:val="24"/>
              </w:rPr>
            </w:pPr>
            <w:r w:rsidRPr="00D462F0">
              <w:rPr>
                <w:rFonts w:asciiTheme="majorHAnsi" w:hAnsiTheme="majorHAnsi" w:cstheme="majorHAnsi"/>
                <w:b/>
                <w:color w:val="000000"/>
                <w:sz w:val="24"/>
                <w:szCs w:val="24"/>
              </w:rPr>
              <w:t>Procedimentos Relacionados à Administração Especial, Intervenção e Liquidação</w:t>
            </w:r>
          </w:p>
        </w:tc>
        <w:tc>
          <w:tcPr>
            <w:tcW w:w="4074" w:type="dxa"/>
          </w:tcPr>
          <w:p w14:paraId="3B8A5BB7" w14:textId="77777777" w:rsidR="002773EE" w:rsidRPr="00D462F0" w:rsidRDefault="002773EE" w:rsidP="008F3FAE">
            <w:pPr>
              <w:jc w:val="center"/>
              <w:rPr>
                <w:rFonts w:asciiTheme="majorHAnsi" w:hAnsiTheme="majorHAnsi" w:cstheme="majorHAnsi"/>
                <w:b/>
                <w:color w:val="000000"/>
                <w:sz w:val="24"/>
                <w:szCs w:val="24"/>
              </w:rPr>
            </w:pPr>
            <w:r w:rsidRPr="00D462F0">
              <w:rPr>
                <w:rFonts w:asciiTheme="majorHAnsi" w:hAnsiTheme="majorHAnsi" w:cstheme="majorHAnsi"/>
                <w:b/>
                <w:color w:val="000000"/>
                <w:sz w:val="24"/>
                <w:szCs w:val="24"/>
              </w:rPr>
              <w:t>Seção III</w:t>
            </w:r>
          </w:p>
          <w:p w14:paraId="4132770D" w14:textId="45ED4D27" w:rsidR="002773EE" w:rsidRPr="00D462F0" w:rsidRDefault="002773EE" w:rsidP="008F3FAE">
            <w:pPr>
              <w:jc w:val="center"/>
              <w:rPr>
                <w:rFonts w:asciiTheme="majorHAnsi" w:hAnsiTheme="majorHAnsi" w:cstheme="majorHAnsi"/>
                <w:bCs/>
                <w:color w:val="0000FF"/>
                <w:sz w:val="24"/>
                <w:szCs w:val="24"/>
              </w:rPr>
            </w:pPr>
            <w:r w:rsidRPr="00D462F0">
              <w:rPr>
                <w:rFonts w:asciiTheme="majorHAnsi" w:hAnsiTheme="majorHAnsi" w:cstheme="majorHAnsi"/>
                <w:b/>
                <w:color w:val="000000"/>
                <w:sz w:val="24"/>
                <w:szCs w:val="24"/>
              </w:rPr>
              <w:t>Procedimentos Relacionados à Administração Especial, Intervenção e Liquidação</w:t>
            </w:r>
          </w:p>
        </w:tc>
        <w:tc>
          <w:tcPr>
            <w:tcW w:w="4074" w:type="dxa"/>
          </w:tcPr>
          <w:p w14:paraId="480DF774" w14:textId="77777777" w:rsidR="002773EE" w:rsidRPr="00D462F0" w:rsidRDefault="002773EE" w:rsidP="00D462F0">
            <w:pPr>
              <w:jc w:val="both"/>
              <w:rPr>
                <w:rFonts w:asciiTheme="majorHAnsi" w:hAnsiTheme="majorHAnsi" w:cstheme="majorHAnsi"/>
                <w:sz w:val="24"/>
                <w:szCs w:val="24"/>
              </w:rPr>
            </w:pPr>
          </w:p>
        </w:tc>
        <w:tc>
          <w:tcPr>
            <w:tcW w:w="4075" w:type="dxa"/>
          </w:tcPr>
          <w:p w14:paraId="5ADAECCA" w14:textId="77777777" w:rsidR="002773EE" w:rsidRPr="00D462F0" w:rsidRDefault="002773EE" w:rsidP="00D462F0">
            <w:pPr>
              <w:jc w:val="both"/>
              <w:rPr>
                <w:rFonts w:asciiTheme="majorHAnsi" w:hAnsiTheme="majorHAnsi" w:cstheme="majorHAnsi"/>
                <w:bCs/>
                <w:sz w:val="24"/>
                <w:szCs w:val="24"/>
              </w:rPr>
            </w:pPr>
          </w:p>
        </w:tc>
      </w:tr>
      <w:tr w:rsidR="002773EE" w:rsidRPr="00C93770" w14:paraId="2491E82F" w14:textId="77777777" w:rsidTr="1756A420">
        <w:tc>
          <w:tcPr>
            <w:tcW w:w="4074" w:type="dxa"/>
          </w:tcPr>
          <w:p w14:paraId="09E2DF15" w14:textId="3D7BFD25" w:rsidR="002773EE" w:rsidRPr="00D462F0" w:rsidRDefault="002773EE"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5F94CD58" w14:textId="1E88D384" w:rsidR="002773EE" w:rsidRPr="00D462F0" w:rsidRDefault="002773EE" w:rsidP="008F3FAE">
            <w:pPr>
              <w:jc w:val="center"/>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w:t>
            </w:r>
          </w:p>
        </w:tc>
        <w:tc>
          <w:tcPr>
            <w:tcW w:w="4074" w:type="dxa"/>
          </w:tcPr>
          <w:p w14:paraId="6A9682F5" w14:textId="77777777" w:rsidR="002773EE" w:rsidRPr="00D462F0" w:rsidRDefault="002773EE" w:rsidP="00D462F0">
            <w:pPr>
              <w:jc w:val="both"/>
              <w:rPr>
                <w:rFonts w:asciiTheme="majorHAnsi" w:hAnsiTheme="majorHAnsi" w:cstheme="majorHAnsi"/>
                <w:sz w:val="24"/>
                <w:szCs w:val="24"/>
              </w:rPr>
            </w:pPr>
          </w:p>
        </w:tc>
        <w:tc>
          <w:tcPr>
            <w:tcW w:w="4075" w:type="dxa"/>
          </w:tcPr>
          <w:p w14:paraId="2B2AD09D" w14:textId="77777777" w:rsidR="002773EE" w:rsidRPr="00D462F0" w:rsidRDefault="002773EE" w:rsidP="00D462F0">
            <w:pPr>
              <w:jc w:val="both"/>
              <w:rPr>
                <w:rFonts w:asciiTheme="majorHAnsi" w:hAnsiTheme="majorHAnsi" w:cstheme="majorHAnsi"/>
                <w:bCs/>
                <w:sz w:val="24"/>
                <w:szCs w:val="24"/>
              </w:rPr>
            </w:pPr>
          </w:p>
        </w:tc>
      </w:tr>
      <w:tr w:rsidR="00EB19CA" w:rsidRPr="00C93770" w14:paraId="34970046" w14:textId="77777777" w:rsidTr="1756A420">
        <w:tc>
          <w:tcPr>
            <w:tcW w:w="4074" w:type="dxa"/>
          </w:tcPr>
          <w:p w14:paraId="4F3A5089" w14:textId="15D3DE0B"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AAB5DE0"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Art. 268-A.  Serão requisitos mínimos a serem observados para a nomeação de Administrador Especial, Interventor ou Liquidante:</w:t>
            </w:r>
          </w:p>
          <w:p w14:paraId="0B308804" w14:textId="3D91BAF0" w:rsidR="00EB19CA" w:rsidRPr="00D462F0" w:rsidRDefault="00EB19CA" w:rsidP="00D462F0">
            <w:pPr>
              <w:jc w:val="both"/>
              <w:rPr>
                <w:rFonts w:asciiTheme="majorHAnsi" w:hAnsiTheme="majorHAnsi" w:cstheme="majorHAnsi"/>
                <w:bCs/>
                <w:color w:val="000000"/>
                <w:sz w:val="24"/>
                <w:szCs w:val="24"/>
              </w:rPr>
            </w:pPr>
          </w:p>
        </w:tc>
        <w:tc>
          <w:tcPr>
            <w:tcW w:w="4074" w:type="dxa"/>
          </w:tcPr>
          <w:p w14:paraId="070FF76D"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Definir requisitos mínimos de qualificação e formação para os responsáveis nomeados para a condução dos Regimes Especiais decretados pela Previc.</w:t>
            </w:r>
          </w:p>
          <w:p w14:paraId="5FDEB8AC" w14:textId="3F60FE7E" w:rsidR="00EB19CA" w:rsidRPr="00D462F0" w:rsidRDefault="00EB19CA" w:rsidP="00D462F0">
            <w:pPr>
              <w:jc w:val="both"/>
              <w:rPr>
                <w:rFonts w:asciiTheme="majorHAnsi" w:hAnsiTheme="majorHAnsi" w:cstheme="majorHAnsi"/>
                <w:sz w:val="24"/>
                <w:szCs w:val="24"/>
              </w:rPr>
            </w:pPr>
          </w:p>
        </w:tc>
        <w:tc>
          <w:tcPr>
            <w:tcW w:w="4075" w:type="dxa"/>
          </w:tcPr>
          <w:p w14:paraId="7408763E"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03AD1EF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artigo em questão pretende definir requisitos mínimos de qualificação e formação para os responsáveis nomeados para a condução dos Regimes Especiais.</w:t>
            </w:r>
          </w:p>
          <w:p w14:paraId="238A8A22" w14:textId="77777777" w:rsidR="00EB19CA" w:rsidRPr="00D462F0" w:rsidRDefault="00EB19CA"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14E1F300"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3B3406C4"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estabelecimento de requisitos mínimos pretende mitigar riscos na administração segura e eficiente dos ativos, assegurando inclusive que o ocupante do cargo de Administrador </w:t>
            </w:r>
            <w:r w:rsidRPr="00D462F0">
              <w:rPr>
                <w:rFonts w:asciiTheme="majorHAnsi" w:hAnsiTheme="majorHAnsi" w:cstheme="majorHAnsi"/>
                <w:bCs/>
                <w:sz w:val="24"/>
                <w:szCs w:val="24"/>
              </w:rPr>
              <w:lastRenderedPageBreak/>
              <w:t xml:space="preserve">Especial, Interventor ou Liquidante seja qualificado e idôneo para o exercício da função. </w:t>
            </w:r>
          </w:p>
          <w:p w14:paraId="7E5F99AA" w14:textId="55F456C8"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2A6C5980" w14:textId="77777777" w:rsidTr="1756A420">
        <w:tc>
          <w:tcPr>
            <w:tcW w:w="4074" w:type="dxa"/>
          </w:tcPr>
          <w:p w14:paraId="05DE4176" w14:textId="0CABD1E8"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1ABD6EDE"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ter</w:t>
            </w:r>
            <w:proofErr w:type="gramEnd"/>
            <w:r w:rsidRPr="00D462F0">
              <w:rPr>
                <w:rFonts w:asciiTheme="majorHAnsi" w:hAnsiTheme="majorHAnsi" w:cstheme="majorHAnsi"/>
                <w:bCs/>
                <w:color w:val="0000FF"/>
                <w:sz w:val="24"/>
                <w:szCs w:val="24"/>
              </w:rPr>
              <w:t xml:space="preserve"> comprovada experiência de, no mínimo, três anos no exercício de atividades nas áreas financeira, administrativa, contábil, jurídica, de fiscalização, de atuária, de previdência complementar ou de auditoria;</w:t>
            </w:r>
          </w:p>
          <w:p w14:paraId="3A81F3F4" w14:textId="3BDB2AD4" w:rsidR="00EB19CA" w:rsidRPr="00D462F0" w:rsidRDefault="00EB19CA" w:rsidP="00D462F0">
            <w:pPr>
              <w:jc w:val="both"/>
              <w:rPr>
                <w:rFonts w:asciiTheme="majorHAnsi" w:hAnsiTheme="majorHAnsi" w:cstheme="majorHAnsi"/>
                <w:bCs/>
                <w:color w:val="0000FF"/>
                <w:sz w:val="24"/>
                <w:szCs w:val="24"/>
              </w:rPr>
            </w:pPr>
          </w:p>
        </w:tc>
        <w:tc>
          <w:tcPr>
            <w:tcW w:w="4074" w:type="dxa"/>
          </w:tcPr>
          <w:p w14:paraId="2678B84D" w14:textId="77777777" w:rsidR="00EB19CA" w:rsidRPr="00D462F0" w:rsidRDefault="00EB19CA" w:rsidP="00D462F0">
            <w:pPr>
              <w:jc w:val="both"/>
              <w:rPr>
                <w:rFonts w:asciiTheme="majorHAnsi" w:hAnsiTheme="majorHAnsi" w:cstheme="majorHAnsi"/>
                <w:sz w:val="24"/>
                <w:szCs w:val="24"/>
              </w:rPr>
            </w:pPr>
          </w:p>
        </w:tc>
        <w:tc>
          <w:tcPr>
            <w:tcW w:w="4075" w:type="dxa"/>
          </w:tcPr>
          <w:p w14:paraId="00432197" w14:textId="4464328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58EA506E" w14:textId="77777777" w:rsidTr="1756A420">
        <w:tc>
          <w:tcPr>
            <w:tcW w:w="4074" w:type="dxa"/>
          </w:tcPr>
          <w:p w14:paraId="19B24D75" w14:textId="36A078C4"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68524E14" w14:textId="45AB6600"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não</w:t>
            </w:r>
            <w:proofErr w:type="gramEnd"/>
            <w:r w:rsidRPr="00D462F0">
              <w:rPr>
                <w:rFonts w:asciiTheme="majorHAnsi" w:hAnsiTheme="majorHAnsi" w:cstheme="majorHAnsi"/>
                <w:bCs/>
                <w:color w:val="0000FF"/>
                <w:sz w:val="24"/>
                <w:szCs w:val="24"/>
              </w:rPr>
              <w:t xml:space="preserve"> ter sofrido penalidade administrativa por infração à legislação da seguridade nos últimos cinco anos;</w:t>
            </w:r>
          </w:p>
        </w:tc>
        <w:tc>
          <w:tcPr>
            <w:tcW w:w="4074" w:type="dxa"/>
          </w:tcPr>
          <w:p w14:paraId="388A4788" w14:textId="77777777" w:rsidR="00EB19CA" w:rsidRPr="00D462F0" w:rsidRDefault="00EB19CA" w:rsidP="00D462F0">
            <w:pPr>
              <w:jc w:val="both"/>
              <w:rPr>
                <w:rFonts w:asciiTheme="majorHAnsi" w:hAnsiTheme="majorHAnsi" w:cstheme="majorHAnsi"/>
                <w:sz w:val="24"/>
                <w:szCs w:val="24"/>
              </w:rPr>
            </w:pPr>
          </w:p>
        </w:tc>
        <w:tc>
          <w:tcPr>
            <w:tcW w:w="4075" w:type="dxa"/>
          </w:tcPr>
          <w:p w14:paraId="2BE70652" w14:textId="52F4376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1845948E" w14:textId="77777777" w:rsidTr="1756A420">
        <w:tc>
          <w:tcPr>
            <w:tcW w:w="4074" w:type="dxa"/>
          </w:tcPr>
          <w:p w14:paraId="301C613B" w14:textId="4545B59E"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4BCAE308" w14:textId="1EBAB73C"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III – não ter sofrido condenação criminal transitada em julgado nos últimos cinco anos;</w:t>
            </w:r>
          </w:p>
        </w:tc>
        <w:tc>
          <w:tcPr>
            <w:tcW w:w="4074" w:type="dxa"/>
          </w:tcPr>
          <w:p w14:paraId="41749880" w14:textId="77777777" w:rsidR="00EB19CA" w:rsidRPr="00D462F0" w:rsidRDefault="00EB19CA" w:rsidP="00D462F0">
            <w:pPr>
              <w:jc w:val="both"/>
              <w:rPr>
                <w:rFonts w:asciiTheme="majorHAnsi" w:hAnsiTheme="majorHAnsi" w:cstheme="majorHAnsi"/>
                <w:sz w:val="24"/>
                <w:szCs w:val="24"/>
              </w:rPr>
            </w:pPr>
          </w:p>
        </w:tc>
        <w:tc>
          <w:tcPr>
            <w:tcW w:w="4075" w:type="dxa"/>
          </w:tcPr>
          <w:p w14:paraId="310B443D" w14:textId="7DFEE8CC"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5B9D08C6" w14:textId="77777777" w:rsidTr="1756A420">
        <w:tc>
          <w:tcPr>
            <w:tcW w:w="4074" w:type="dxa"/>
          </w:tcPr>
          <w:p w14:paraId="4060CE7F" w14:textId="1E555401"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B74F5C6"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IV – </w:t>
            </w:r>
            <w:proofErr w:type="gramStart"/>
            <w:r w:rsidRPr="00D462F0">
              <w:rPr>
                <w:rFonts w:asciiTheme="majorHAnsi" w:hAnsiTheme="majorHAnsi" w:cstheme="majorHAnsi"/>
                <w:bCs/>
                <w:color w:val="0000FF"/>
                <w:sz w:val="24"/>
                <w:szCs w:val="24"/>
              </w:rPr>
              <w:t>não</w:t>
            </w:r>
            <w:proofErr w:type="gramEnd"/>
            <w:r w:rsidRPr="00D462F0">
              <w:rPr>
                <w:rFonts w:asciiTheme="majorHAnsi" w:hAnsiTheme="majorHAnsi" w:cstheme="majorHAnsi"/>
                <w:bCs/>
                <w:color w:val="0000FF"/>
                <w:sz w:val="24"/>
                <w:szCs w:val="24"/>
              </w:rPr>
              <w:t xml:space="preserve"> constar da relação de devedores da Fazenda Nacional;</w:t>
            </w:r>
          </w:p>
          <w:p w14:paraId="5CDEBFD7" w14:textId="1D0DA9E3" w:rsidR="00EB19CA" w:rsidRPr="00D462F0" w:rsidRDefault="00EB19CA" w:rsidP="00D462F0">
            <w:pPr>
              <w:jc w:val="both"/>
              <w:rPr>
                <w:rFonts w:asciiTheme="majorHAnsi" w:hAnsiTheme="majorHAnsi" w:cstheme="majorHAnsi"/>
                <w:bCs/>
                <w:color w:val="0000FF"/>
                <w:sz w:val="24"/>
                <w:szCs w:val="24"/>
              </w:rPr>
            </w:pPr>
          </w:p>
        </w:tc>
        <w:tc>
          <w:tcPr>
            <w:tcW w:w="4074" w:type="dxa"/>
          </w:tcPr>
          <w:p w14:paraId="687295E9" w14:textId="77777777" w:rsidR="00EB19CA" w:rsidRPr="00D462F0" w:rsidRDefault="00EB19CA" w:rsidP="00D462F0">
            <w:pPr>
              <w:jc w:val="both"/>
              <w:rPr>
                <w:rFonts w:asciiTheme="majorHAnsi" w:hAnsiTheme="majorHAnsi" w:cstheme="majorHAnsi"/>
                <w:sz w:val="24"/>
                <w:szCs w:val="24"/>
              </w:rPr>
            </w:pPr>
          </w:p>
        </w:tc>
        <w:tc>
          <w:tcPr>
            <w:tcW w:w="4075" w:type="dxa"/>
          </w:tcPr>
          <w:p w14:paraId="0EEE00B0" w14:textId="3735CDA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7B5BA97F" w14:textId="77777777" w:rsidTr="1756A420">
        <w:tc>
          <w:tcPr>
            <w:tcW w:w="4074" w:type="dxa"/>
          </w:tcPr>
          <w:p w14:paraId="32666D8C" w14:textId="4A84698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03B191F" w14:textId="77777777"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V – </w:t>
            </w:r>
            <w:proofErr w:type="gramStart"/>
            <w:r w:rsidRPr="00D462F0">
              <w:rPr>
                <w:rFonts w:asciiTheme="majorHAnsi" w:hAnsiTheme="majorHAnsi" w:cstheme="majorHAnsi"/>
                <w:bCs/>
                <w:color w:val="0000FF"/>
                <w:sz w:val="24"/>
                <w:szCs w:val="24"/>
              </w:rPr>
              <w:t>não</w:t>
            </w:r>
            <w:proofErr w:type="gramEnd"/>
            <w:r w:rsidRPr="00D462F0">
              <w:rPr>
                <w:rFonts w:asciiTheme="majorHAnsi" w:hAnsiTheme="majorHAnsi" w:cstheme="majorHAnsi"/>
                <w:bCs/>
                <w:color w:val="0000FF"/>
                <w:sz w:val="24"/>
                <w:szCs w:val="24"/>
              </w:rPr>
              <w:t xml:space="preserve"> participar da gerência ou administração de empresa privada ou de sociedade civil, bem como não exercer o comércio; e</w:t>
            </w:r>
          </w:p>
          <w:p w14:paraId="1E8550A1" w14:textId="42B7DB1F" w:rsidR="00EB19CA" w:rsidRPr="00D462F0" w:rsidRDefault="00EB19CA" w:rsidP="00D462F0">
            <w:pPr>
              <w:jc w:val="both"/>
              <w:rPr>
                <w:rFonts w:asciiTheme="majorHAnsi" w:hAnsiTheme="majorHAnsi" w:cstheme="majorHAnsi"/>
                <w:bCs/>
                <w:color w:val="0000FF"/>
                <w:sz w:val="24"/>
                <w:szCs w:val="24"/>
              </w:rPr>
            </w:pPr>
          </w:p>
        </w:tc>
        <w:tc>
          <w:tcPr>
            <w:tcW w:w="4074" w:type="dxa"/>
          </w:tcPr>
          <w:p w14:paraId="7B72EFE0" w14:textId="77777777" w:rsidR="00EB19CA" w:rsidRPr="00D462F0" w:rsidRDefault="00EB19CA" w:rsidP="00D462F0">
            <w:pPr>
              <w:jc w:val="both"/>
              <w:rPr>
                <w:rFonts w:asciiTheme="majorHAnsi" w:hAnsiTheme="majorHAnsi" w:cstheme="majorHAnsi"/>
                <w:sz w:val="24"/>
                <w:szCs w:val="24"/>
              </w:rPr>
            </w:pPr>
          </w:p>
        </w:tc>
        <w:tc>
          <w:tcPr>
            <w:tcW w:w="4075" w:type="dxa"/>
          </w:tcPr>
          <w:p w14:paraId="036957D8" w14:textId="261F36BE"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6058C359" w14:textId="77777777" w:rsidTr="1756A420">
        <w:tc>
          <w:tcPr>
            <w:tcW w:w="4074" w:type="dxa"/>
          </w:tcPr>
          <w:p w14:paraId="0682578A" w14:textId="54D13E9A"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5164F9E9" w14:textId="225DFF91" w:rsidR="00EB19CA" w:rsidRPr="00D462F0" w:rsidRDefault="00EB19CA"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 xml:space="preserve">VI – </w:t>
            </w:r>
            <w:proofErr w:type="gramStart"/>
            <w:r w:rsidRPr="00D462F0">
              <w:rPr>
                <w:rFonts w:asciiTheme="majorHAnsi" w:hAnsiTheme="majorHAnsi" w:cstheme="majorHAnsi"/>
                <w:bCs/>
                <w:color w:val="0000FF"/>
                <w:sz w:val="24"/>
                <w:szCs w:val="24"/>
              </w:rPr>
              <w:t>ter</w:t>
            </w:r>
            <w:proofErr w:type="gramEnd"/>
            <w:r w:rsidRPr="00D462F0">
              <w:rPr>
                <w:rFonts w:asciiTheme="majorHAnsi" w:hAnsiTheme="majorHAnsi" w:cstheme="majorHAnsi"/>
                <w:bCs/>
                <w:color w:val="0000FF"/>
                <w:sz w:val="24"/>
                <w:szCs w:val="24"/>
              </w:rPr>
              <w:t xml:space="preserve"> formação de nível superior.</w:t>
            </w:r>
          </w:p>
        </w:tc>
        <w:tc>
          <w:tcPr>
            <w:tcW w:w="4074" w:type="dxa"/>
          </w:tcPr>
          <w:p w14:paraId="29D44300" w14:textId="77777777" w:rsidR="00EB19CA" w:rsidRPr="00D462F0" w:rsidRDefault="00EB19CA" w:rsidP="00D462F0">
            <w:pPr>
              <w:jc w:val="both"/>
              <w:rPr>
                <w:rFonts w:asciiTheme="majorHAnsi" w:hAnsiTheme="majorHAnsi" w:cstheme="majorHAnsi"/>
                <w:sz w:val="24"/>
                <w:szCs w:val="24"/>
              </w:rPr>
            </w:pPr>
          </w:p>
        </w:tc>
        <w:tc>
          <w:tcPr>
            <w:tcW w:w="4075" w:type="dxa"/>
          </w:tcPr>
          <w:p w14:paraId="4F1B2B4B" w14:textId="1683DDE9"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tc>
      </w:tr>
      <w:tr w:rsidR="00EB19CA" w:rsidRPr="00C93770" w14:paraId="53E90B69" w14:textId="77777777" w:rsidTr="1756A420">
        <w:tc>
          <w:tcPr>
            <w:tcW w:w="4074" w:type="dxa"/>
          </w:tcPr>
          <w:p w14:paraId="35BB1474" w14:textId="22C8E86F"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650C82E6" w14:textId="19B2F7BC"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Art. 268-B.  O Interventor deverá encaminhar para a Coordenação-Geral de Regimes Especiais – CGRE, com antecedência mínima de trinta dias, contados da data prevista para o encerramento do Regime Especial, um </w:t>
            </w:r>
            <w:r w:rsidRPr="00D462F0">
              <w:rPr>
                <w:rFonts w:asciiTheme="majorHAnsi" w:hAnsiTheme="majorHAnsi" w:cstheme="majorHAnsi"/>
                <w:bCs/>
                <w:color w:val="0000FF"/>
                <w:sz w:val="24"/>
                <w:szCs w:val="24"/>
              </w:rPr>
              <w:lastRenderedPageBreak/>
              <w:t>plano de recuperação da entidade ou do plano de benefícios, para deliberação da Diretoria Colegiada da Previc.</w:t>
            </w:r>
          </w:p>
        </w:tc>
        <w:tc>
          <w:tcPr>
            <w:tcW w:w="4074" w:type="dxa"/>
          </w:tcPr>
          <w:p w14:paraId="6D3DAB92"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Definir prazo suficiente para análise da Diretoria Colegiada dos procedimentos que deverão ser adotados pela gestão da entidade, após o encerramento do Regime Especial.</w:t>
            </w:r>
          </w:p>
          <w:p w14:paraId="2C06ACD0" w14:textId="27BF3414" w:rsidR="00EB19CA" w:rsidRPr="00D462F0" w:rsidRDefault="00EB19CA" w:rsidP="00D462F0">
            <w:pPr>
              <w:jc w:val="both"/>
              <w:rPr>
                <w:rFonts w:asciiTheme="majorHAnsi" w:hAnsiTheme="majorHAnsi" w:cstheme="majorHAnsi"/>
                <w:sz w:val="24"/>
                <w:szCs w:val="24"/>
              </w:rPr>
            </w:pPr>
          </w:p>
        </w:tc>
        <w:tc>
          <w:tcPr>
            <w:tcW w:w="4075" w:type="dxa"/>
          </w:tcPr>
          <w:p w14:paraId="77670B4F"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4729C7D1"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artigo em questão pretende assegurar prazo suficiente para análise da Diretoria Colegiada dos procedimentos que deverão ser </w:t>
            </w:r>
            <w:r w:rsidRPr="00D462F0">
              <w:rPr>
                <w:rFonts w:asciiTheme="majorHAnsi" w:hAnsiTheme="majorHAnsi" w:cstheme="majorHAnsi"/>
                <w:bCs/>
                <w:sz w:val="24"/>
                <w:szCs w:val="24"/>
              </w:rPr>
              <w:lastRenderedPageBreak/>
              <w:t xml:space="preserve">adotados pela gestão da entidade, após o encerramento do Regime Especial. </w:t>
            </w:r>
          </w:p>
          <w:p w14:paraId="28E368FB"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à medida que estabelece prazos seguros para a avaliação dos procedimentos a serem adotados pela entidade no referido contexto. </w:t>
            </w:r>
          </w:p>
          <w:p w14:paraId="373F26AC"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a governança e controles internos, tendo como pilar as boas práticas de gestão e fiscalização dos processos decisórios.</w:t>
            </w:r>
          </w:p>
          <w:p w14:paraId="172079B0" w14:textId="0CBB64E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6AED2AD1" w14:textId="77777777" w:rsidTr="1756A420">
        <w:tc>
          <w:tcPr>
            <w:tcW w:w="4074" w:type="dxa"/>
          </w:tcPr>
          <w:p w14:paraId="204D0B79" w14:textId="1089A9CB"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46BDE0A5" w14:textId="239E26A0"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Art. 268-C.  Ao final dos trabalhos do Interventor nomeado pela Previc, será indicada uma Governança Provisória, com mandato de seis meses, com a atribuição principal de implementar o Plano de Recuperação da Entidade e de conduzir o processo ordinário de definição da estrutura de governança definitiva.</w:t>
            </w:r>
          </w:p>
        </w:tc>
        <w:tc>
          <w:tcPr>
            <w:tcW w:w="4074" w:type="dxa"/>
          </w:tcPr>
          <w:p w14:paraId="19E43CF7"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Definir responsabilidades para a nova Gestão da Entidade.</w:t>
            </w:r>
          </w:p>
          <w:p w14:paraId="7D6002EA" w14:textId="74486F56" w:rsidR="00EB19CA" w:rsidRPr="00D462F0" w:rsidRDefault="00EB19CA" w:rsidP="00D462F0">
            <w:pPr>
              <w:jc w:val="both"/>
              <w:rPr>
                <w:rFonts w:asciiTheme="majorHAnsi" w:hAnsiTheme="majorHAnsi" w:cstheme="majorHAnsi"/>
                <w:sz w:val="24"/>
                <w:szCs w:val="24"/>
              </w:rPr>
            </w:pPr>
          </w:p>
        </w:tc>
        <w:tc>
          <w:tcPr>
            <w:tcW w:w="4075" w:type="dxa"/>
          </w:tcPr>
          <w:p w14:paraId="4D9C4E7D"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5ED9BF24"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artigo em questão pretende definir responsabilidades para a nova Gestão da Entidade.</w:t>
            </w:r>
          </w:p>
          <w:p w14:paraId="62869F11" w14:textId="77777777" w:rsidR="00EB19CA" w:rsidRPr="00D462F0" w:rsidRDefault="00EB19CA"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61914AF5"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Conceitualmente higidez é a condição de uma entidade que demonstra equilíbrio atuarial, sustentabilidade de longo prazo e conformidade regulatória.  Nesse sentido, trata-se de componente da higidez de uma EFPC a gestão prudencial </w:t>
            </w:r>
            <w:r w:rsidRPr="00D462F0">
              <w:rPr>
                <w:rFonts w:asciiTheme="majorHAnsi" w:hAnsiTheme="majorHAnsi" w:cstheme="majorHAnsi"/>
                <w:bCs/>
                <w:sz w:val="24"/>
                <w:szCs w:val="24"/>
              </w:rPr>
              <w:lastRenderedPageBreak/>
              <w:t>dos recursos expressa na administração segura e eficiente dos ativos financeiros.</w:t>
            </w:r>
          </w:p>
          <w:p w14:paraId="675CB734" w14:textId="160A6C53"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322DB3CF" w14:textId="77777777" w:rsidTr="1756A420">
        <w:tc>
          <w:tcPr>
            <w:tcW w:w="4074" w:type="dxa"/>
          </w:tcPr>
          <w:p w14:paraId="6C06B76D" w14:textId="361C65BD"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58B7B659" w14:textId="764FE578"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Parágrafo único.  A indicação dos membros que comporão a Governança Provisória deverá observar a representação dos participantes e assistidos da EPFC.</w:t>
            </w:r>
          </w:p>
        </w:tc>
        <w:tc>
          <w:tcPr>
            <w:tcW w:w="4074" w:type="dxa"/>
          </w:tcPr>
          <w:p w14:paraId="13B33686"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Definir a forma de composição da Governança Provisória.</w:t>
            </w:r>
          </w:p>
          <w:p w14:paraId="1ADB67F3" w14:textId="091F6004" w:rsidR="00EB19CA" w:rsidRPr="00D462F0" w:rsidRDefault="00EB19CA" w:rsidP="00D462F0">
            <w:pPr>
              <w:jc w:val="both"/>
              <w:rPr>
                <w:rFonts w:asciiTheme="majorHAnsi" w:hAnsiTheme="majorHAnsi" w:cstheme="majorHAnsi"/>
                <w:sz w:val="24"/>
                <w:szCs w:val="24"/>
              </w:rPr>
            </w:pPr>
          </w:p>
        </w:tc>
        <w:tc>
          <w:tcPr>
            <w:tcW w:w="4075" w:type="dxa"/>
          </w:tcPr>
          <w:p w14:paraId="007BE629"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3DA50E6C"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O artigo em questão pretende definir a forma de composição da Governança Provisória.</w:t>
            </w:r>
          </w:p>
          <w:p w14:paraId="00272838" w14:textId="77777777" w:rsidR="00EB19CA" w:rsidRPr="00D462F0" w:rsidRDefault="00EB19CA"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793E9DCB"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72387074"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estabelecimento de forma de composição da governança </w:t>
            </w:r>
            <w:proofErr w:type="gramStart"/>
            <w:r w:rsidRPr="00D462F0">
              <w:rPr>
                <w:rFonts w:asciiTheme="majorHAnsi" w:hAnsiTheme="majorHAnsi" w:cstheme="majorHAnsi"/>
                <w:bCs/>
                <w:sz w:val="24"/>
                <w:szCs w:val="24"/>
              </w:rPr>
              <w:t>provisória  pretende</w:t>
            </w:r>
            <w:proofErr w:type="gramEnd"/>
            <w:r w:rsidRPr="00D462F0">
              <w:rPr>
                <w:rFonts w:asciiTheme="majorHAnsi" w:hAnsiTheme="majorHAnsi" w:cstheme="majorHAnsi"/>
                <w:bCs/>
                <w:sz w:val="24"/>
                <w:szCs w:val="24"/>
              </w:rPr>
              <w:t xml:space="preserve"> fortalecer a governança interna da EFPC no referido contexto. </w:t>
            </w:r>
          </w:p>
          <w:p w14:paraId="6E2F932A" w14:textId="29F8185D"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EB19CA" w:rsidRPr="00C93770" w14:paraId="37C7CECD" w14:textId="77777777" w:rsidTr="1756A420">
        <w:tc>
          <w:tcPr>
            <w:tcW w:w="4074" w:type="dxa"/>
          </w:tcPr>
          <w:p w14:paraId="40BE5FEF" w14:textId="7A77E1D7"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62731B74" w14:textId="1C27BB2D"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Art. 268-D. </w:t>
            </w:r>
            <w:r w:rsidR="002701A9" w:rsidRPr="00D462F0">
              <w:rPr>
                <w:rFonts w:asciiTheme="majorHAnsi" w:hAnsiTheme="majorHAnsi" w:cstheme="majorHAnsi"/>
                <w:bCs/>
                <w:color w:val="0000FF"/>
                <w:sz w:val="24"/>
                <w:szCs w:val="24"/>
              </w:rPr>
              <w:t xml:space="preserve"> </w:t>
            </w:r>
            <w:r w:rsidRPr="00D462F0">
              <w:rPr>
                <w:rFonts w:asciiTheme="majorHAnsi" w:hAnsiTheme="majorHAnsi" w:cstheme="majorHAnsi"/>
                <w:bCs/>
                <w:color w:val="0000FF"/>
                <w:sz w:val="24"/>
                <w:szCs w:val="24"/>
              </w:rPr>
              <w:t xml:space="preserve">Após o encerramento do Regime Especial de Intervenção, a EFPC será incluída no programa anual de fiscalização e submetida ao processo de </w:t>
            </w:r>
            <w:r w:rsidRPr="00D462F0">
              <w:rPr>
                <w:rFonts w:asciiTheme="majorHAnsi" w:hAnsiTheme="majorHAnsi" w:cstheme="majorHAnsi"/>
                <w:bCs/>
                <w:color w:val="0000FF"/>
                <w:sz w:val="24"/>
                <w:szCs w:val="24"/>
              </w:rPr>
              <w:lastRenderedPageBreak/>
              <w:t>fiscalização de Acompanhamento Especial.</w:t>
            </w:r>
          </w:p>
        </w:tc>
        <w:tc>
          <w:tcPr>
            <w:tcW w:w="4074" w:type="dxa"/>
          </w:tcPr>
          <w:p w14:paraId="36D9DF43" w14:textId="77777777"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Definir que a entidade, após o encerramento da intervenção, seja incluída no PAF.</w:t>
            </w:r>
          </w:p>
          <w:p w14:paraId="74F123DA" w14:textId="5A20C95D" w:rsidR="00EB19CA" w:rsidRPr="00D462F0" w:rsidRDefault="00EB19CA" w:rsidP="00D462F0">
            <w:pPr>
              <w:jc w:val="both"/>
              <w:rPr>
                <w:rFonts w:asciiTheme="majorHAnsi" w:hAnsiTheme="majorHAnsi" w:cstheme="majorHAnsi"/>
                <w:sz w:val="24"/>
                <w:szCs w:val="24"/>
              </w:rPr>
            </w:pPr>
          </w:p>
        </w:tc>
        <w:tc>
          <w:tcPr>
            <w:tcW w:w="4075" w:type="dxa"/>
          </w:tcPr>
          <w:p w14:paraId="2C3950B8"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V, alínea “a”</w:t>
            </w:r>
          </w:p>
          <w:p w14:paraId="53BA08BB" w14:textId="77777777"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artigo em questão pretende definir que a entidade, após o encerramento </w:t>
            </w:r>
            <w:r w:rsidRPr="00D462F0">
              <w:rPr>
                <w:rFonts w:asciiTheme="majorHAnsi" w:hAnsiTheme="majorHAnsi" w:cstheme="majorHAnsi"/>
                <w:bCs/>
                <w:sz w:val="24"/>
                <w:szCs w:val="24"/>
              </w:rPr>
              <w:lastRenderedPageBreak/>
              <w:t>da intervenção, seja incluída no PAF e submetida ao processo de fiscalização de Acompanhamento Especial.</w:t>
            </w:r>
          </w:p>
          <w:p w14:paraId="22EDC1B5" w14:textId="77777777" w:rsidR="00EB19CA" w:rsidRPr="00D462F0" w:rsidRDefault="00EB19CA" w:rsidP="00D462F0">
            <w:pPr>
              <w:ind w:right="-108"/>
              <w:jc w:val="both"/>
              <w:rPr>
                <w:rFonts w:asciiTheme="majorHAnsi" w:hAnsiTheme="majorHAnsi" w:cstheme="majorHAnsi"/>
                <w:bCs/>
                <w:sz w:val="24"/>
                <w:szCs w:val="24"/>
              </w:rPr>
            </w:pPr>
            <w:r w:rsidRPr="00D462F0">
              <w:rPr>
                <w:rFonts w:asciiTheme="majorHAnsi" w:hAnsiTheme="majorHAnsi" w:cstheme="majorHAnsi"/>
                <w:bCs/>
                <w:sz w:val="24"/>
                <w:szCs w:val="24"/>
              </w:rPr>
              <w:t xml:space="preserve">Tal medida pretende preservar a higidez da entidade assim como de todo o sistema. </w:t>
            </w:r>
          </w:p>
          <w:p w14:paraId="162CF314"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Conceitualmente higidez é a condição de uma entidade que demonstra equilíbrio atuarial, sustentabilidade de longo prazo e conformidade regulatória.  Nesse sentido, trata-se de componente da higidez de uma EFPC a gestão prudencial dos recursos expressa na administração segura e eficiente dos ativos financeiros.</w:t>
            </w:r>
          </w:p>
          <w:p w14:paraId="55761431" w14:textId="77777777" w:rsidR="00EB19CA" w:rsidRPr="00D462F0" w:rsidRDefault="00EB19CA" w:rsidP="00D462F0">
            <w:pPr>
              <w:ind w:right="-71"/>
              <w:jc w:val="both"/>
              <w:rPr>
                <w:rFonts w:asciiTheme="majorHAnsi" w:hAnsiTheme="majorHAnsi" w:cstheme="majorHAnsi"/>
                <w:bCs/>
                <w:sz w:val="24"/>
                <w:szCs w:val="24"/>
              </w:rPr>
            </w:pPr>
            <w:r w:rsidRPr="00D462F0">
              <w:rPr>
                <w:rFonts w:asciiTheme="majorHAnsi" w:hAnsiTheme="majorHAnsi" w:cstheme="majorHAnsi"/>
                <w:bCs/>
                <w:sz w:val="24"/>
                <w:szCs w:val="24"/>
              </w:rPr>
              <w:t xml:space="preserve">A inclusão da EFPC no PAF e submissão </w:t>
            </w:r>
            <w:proofErr w:type="gramStart"/>
            <w:r w:rsidRPr="00D462F0">
              <w:rPr>
                <w:rFonts w:asciiTheme="majorHAnsi" w:hAnsiTheme="majorHAnsi" w:cstheme="majorHAnsi"/>
                <w:bCs/>
                <w:sz w:val="24"/>
                <w:szCs w:val="24"/>
              </w:rPr>
              <w:t>da mesma</w:t>
            </w:r>
            <w:proofErr w:type="gramEnd"/>
            <w:r w:rsidRPr="00D462F0">
              <w:rPr>
                <w:rFonts w:asciiTheme="majorHAnsi" w:hAnsiTheme="majorHAnsi" w:cstheme="majorHAnsi"/>
                <w:bCs/>
                <w:sz w:val="24"/>
                <w:szCs w:val="24"/>
              </w:rPr>
              <w:t xml:space="preserve"> pretende mitigar riscos e promover acompanhamento cuidados da entidade nesse contexto, contribuindo assim para a preservação da higidez no âmbito da entidade. </w:t>
            </w:r>
          </w:p>
          <w:p w14:paraId="61F965EB" w14:textId="2DF1720B"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Por isso, o artigo em questão se enquadra na dispensa de análise de impacto regulatório, por visar preservar a liquidez, solvência ou higidez, conforme art. 4º, inciso V, alínea “a”, do Decreto nº 10.411, de 2020.</w:t>
            </w:r>
          </w:p>
        </w:tc>
      </w:tr>
      <w:tr w:rsidR="00DD2A8A" w:rsidRPr="00C93770" w14:paraId="77E975F6" w14:textId="77777777" w:rsidTr="1756A420">
        <w:tc>
          <w:tcPr>
            <w:tcW w:w="4074" w:type="dxa"/>
          </w:tcPr>
          <w:p w14:paraId="201F2F3E" w14:textId="51205125" w:rsidR="00DD2A8A" w:rsidRPr="00D462F0" w:rsidRDefault="00DD2A8A"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w:t>
            </w:r>
          </w:p>
        </w:tc>
        <w:tc>
          <w:tcPr>
            <w:tcW w:w="4074" w:type="dxa"/>
          </w:tcPr>
          <w:p w14:paraId="6764308B" w14:textId="46B9DA7F" w:rsidR="00DD2A8A" w:rsidRPr="00D462F0" w:rsidRDefault="00DD2A8A"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09A7283B" w14:textId="77777777" w:rsidR="00DD2A8A" w:rsidRPr="00D462F0" w:rsidRDefault="00DD2A8A" w:rsidP="00D462F0">
            <w:pPr>
              <w:jc w:val="both"/>
              <w:rPr>
                <w:rFonts w:asciiTheme="majorHAnsi" w:hAnsiTheme="majorHAnsi" w:cstheme="majorHAnsi"/>
                <w:sz w:val="24"/>
                <w:szCs w:val="24"/>
              </w:rPr>
            </w:pPr>
          </w:p>
        </w:tc>
        <w:tc>
          <w:tcPr>
            <w:tcW w:w="4075" w:type="dxa"/>
          </w:tcPr>
          <w:p w14:paraId="6CBF09D7" w14:textId="77777777" w:rsidR="00DD2A8A" w:rsidRPr="00D462F0" w:rsidRDefault="00DD2A8A" w:rsidP="00D462F0">
            <w:pPr>
              <w:jc w:val="both"/>
              <w:rPr>
                <w:rFonts w:asciiTheme="majorHAnsi" w:hAnsiTheme="majorHAnsi" w:cstheme="majorHAnsi"/>
                <w:bCs/>
                <w:sz w:val="24"/>
                <w:szCs w:val="24"/>
              </w:rPr>
            </w:pPr>
          </w:p>
        </w:tc>
      </w:tr>
      <w:tr w:rsidR="00EB19CA" w:rsidRPr="00C93770" w14:paraId="034ED2CF" w14:textId="77777777" w:rsidTr="1756A420">
        <w:tc>
          <w:tcPr>
            <w:tcW w:w="4074" w:type="dxa"/>
          </w:tcPr>
          <w:p w14:paraId="6DBA5147" w14:textId="73292A53" w:rsidR="00EB19CA" w:rsidRPr="00D462F0" w:rsidRDefault="00EB19CA"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xml:space="preserve">Art. 272. </w:t>
            </w:r>
            <w:r w:rsidR="00DD2A8A" w:rsidRPr="00D462F0">
              <w:rPr>
                <w:rFonts w:asciiTheme="majorHAnsi" w:hAnsiTheme="majorHAnsi" w:cstheme="majorHAnsi"/>
                <w:color w:val="000000"/>
                <w:sz w:val="24"/>
                <w:szCs w:val="24"/>
              </w:rPr>
              <w:t xml:space="preserve"> </w:t>
            </w:r>
            <w:r w:rsidRPr="00D462F0">
              <w:rPr>
                <w:rFonts w:asciiTheme="majorHAnsi" w:hAnsiTheme="majorHAnsi" w:cstheme="majorHAnsi"/>
                <w:color w:val="000000"/>
                <w:sz w:val="24"/>
                <w:szCs w:val="24"/>
              </w:rPr>
              <w:t xml:space="preserve">Os limites para a remuneração e a indenização de despesas referentes à hospedagem, alimentação e deslocamento dos administradores especiais, interventores e liquidantes nomeados pela Previc </w:t>
            </w:r>
            <w:r w:rsidRPr="00D462F0">
              <w:rPr>
                <w:rFonts w:asciiTheme="majorHAnsi" w:hAnsiTheme="majorHAnsi" w:cstheme="majorHAnsi"/>
                <w:bCs/>
                <w:color w:val="000000"/>
                <w:sz w:val="24"/>
                <w:szCs w:val="24"/>
              </w:rPr>
              <w:t>será</w:t>
            </w:r>
            <w:r w:rsidRPr="00D462F0">
              <w:rPr>
                <w:rFonts w:asciiTheme="majorHAnsi" w:hAnsiTheme="majorHAnsi" w:cstheme="majorHAnsi"/>
                <w:color w:val="000000"/>
                <w:sz w:val="24"/>
                <w:szCs w:val="24"/>
              </w:rPr>
              <w:t xml:space="preserve"> fixado em Portaria do Diretor Superintendente.</w:t>
            </w:r>
          </w:p>
        </w:tc>
        <w:tc>
          <w:tcPr>
            <w:tcW w:w="4074" w:type="dxa"/>
          </w:tcPr>
          <w:p w14:paraId="1FCCF978" w14:textId="581CBFE0" w:rsidR="00EB19CA" w:rsidRPr="00D462F0" w:rsidRDefault="00EB19CA"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Art. 272.  Os limites para a remuneração e a indenização de despesas referentes à hospedagem, alimentação e deslocamento, </w:t>
            </w:r>
            <w:r w:rsidRPr="00D462F0">
              <w:rPr>
                <w:rFonts w:asciiTheme="majorHAnsi" w:hAnsiTheme="majorHAnsi" w:cstheme="majorHAnsi"/>
                <w:bCs/>
                <w:color w:val="0000FF"/>
                <w:sz w:val="24"/>
                <w:szCs w:val="24"/>
              </w:rPr>
              <w:t>bem como as questões operacionais relativas à posse</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00"/>
                <w:sz w:val="24"/>
                <w:szCs w:val="24"/>
              </w:rPr>
              <w:t xml:space="preserve">dos administradores especiais, interventores e liquidantes nomeados pela Previc </w:t>
            </w:r>
            <w:r w:rsidRPr="00D462F0">
              <w:rPr>
                <w:rFonts w:asciiTheme="majorHAnsi" w:hAnsiTheme="majorHAnsi" w:cstheme="majorHAnsi"/>
                <w:bCs/>
                <w:strike/>
                <w:color w:val="EE0000"/>
                <w:sz w:val="24"/>
                <w:szCs w:val="24"/>
              </w:rPr>
              <w:t>será fixado</w:t>
            </w:r>
            <w:r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FF"/>
                <w:sz w:val="24"/>
                <w:szCs w:val="24"/>
              </w:rPr>
              <w:t>serão</w:t>
            </w:r>
            <w:r w:rsidRPr="00D462F0">
              <w:rPr>
                <w:rFonts w:asciiTheme="majorHAnsi" w:hAnsiTheme="majorHAnsi" w:cstheme="majorHAnsi"/>
                <w:bCs/>
                <w:color w:val="000000"/>
                <w:sz w:val="24"/>
                <w:szCs w:val="24"/>
              </w:rPr>
              <w:t xml:space="preserve"> </w:t>
            </w:r>
            <w:r w:rsidRPr="00D462F0">
              <w:rPr>
                <w:rFonts w:asciiTheme="majorHAnsi" w:hAnsiTheme="majorHAnsi" w:cstheme="majorHAnsi"/>
                <w:bCs/>
                <w:color w:val="0000FF"/>
                <w:sz w:val="24"/>
                <w:szCs w:val="24"/>
              </w:rPr>
              <w:t>fixados</w:t>
            </w:r>
            <w:r w:rsidRPr="00D462F0">
              <w:rPr>
                <w:rFonts w:asciiTheme="majorHAnsi" w:hAnsiTheme="majorHAnsi" w:cstheme="majorHAnsi"/>
                <w:bCs/>
                <w:color w:val="000000"/>
                <w:sz w:val="24"/>
                <w:szCs w:val="24"/>
              </w:rPr>
              <w:t xml:space="preserve"> em Portaria do Diretor-Superintendente.</w:t>
            </w:r>
          </w:p>
        </w:tc>
        <w:tc>
          <w:tcPr>
            <w:tcW w:w="4074" w:type="dxa"/>
          </w:tcPr>
          <w:p w14:paraId="158B40FF" w14:textId="0CBFE4F0" w:rsidR="00EB19CA" w:rsidRPr="00D462F0" w:rsidRDefault="00EB19CA"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Necessidade de revogar Portaria Previc nº 859, de 29 de outubro de 2010, editada há quase 15 anos, para efeito de atualização normativa. </w:t>
            </w:r>
          </w:p>
        </w:tc>
        <w:tc>
          <w:tcPr>
            <w:tcW w:w="4075" w:type="dxa"/>
          </w:tcPr>
          <w:p w14:paraId="6CEDF7AC" w14:textId="742DD12F"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3º, § 2º, inciso I.</w:t>
            </w:r>
          </w:p>
          <w:p w14:paraId="00437780" w14:textId="4BF5FEE1"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w:t>
            </w:r>
          </w:p>
          <w:p w14:paraId="1A49264B" w14:textId="374C2046" w:rsidR="00EB19CA" w:rsidRPr="00D462F0" w:rsidRDefault="00EB19CA"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r w:rsidR="00E82944" w:rsidRPr="00C93770" w14:paraId="77CA40DD" w14:textId="77777777" w:rsidTr="00E61731">
        <w:tc>
          <w:tcPr>
            <w:tcW w:w="4074" w:type="dxa"/>
          </w:tcPr>
          <w:p w14:paraId="7F9DDDB5" w14:textId="77777777" w:rsidR="00E82944" w:rsidRPr="00D462F0" w:rsidRDefault="00E82944" w:rsidP="00E61731">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tcPr>
          <w:p w14:paraId="664F55FF" w14:textId="77777777" w:rsidR="00E82944" w:rsidRPr="00D462F0" w:rsidRDefault="00E82944" w:rsidP="00E61731">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vAlign w:val="center"/>
          </w:tcPr>
          <w:p w14:paraId="0CA3118C" w14:textId="77777777" w:rsidR="00E82944" w:rsidRPr="00D462F0" w:rsidRDefault="00E82944" w:rsidP="00E61731">
            <w:pPr>
              <w:jc w:val="both"/>
              <w:rPr>
                <w:rFonts w:asciiTheme="majorHAnsi" w:hAnsiTheme="majorHAnsi" w:cstheme="majorHAnsi"/>
                <w:sz w:val="24"/>
                <w:szCs w:val="24"/>
              </w:rPr>
            </w:pPr>
          </w:p>
        </w:tc>
        <w:tc>
          <w:tcPr>
            <w:tcW w:w="4075" w:type="dxa"/>
          </w:tcPr>
          <w:p w14:paraId="66E4EFA3" w14:textId="77777777" w:rsidR="00E82944" w:rsidRPr="00D462F0" w:rsidRDefault="00E82944" w:rsidP="00E61731">
            <w:pPr>
              <w:jc w:val="both"/>
              <w:rPr>
                <w:rFonts w:asciiTheme="majorHAnsi" w:hAnsiTheme="majorHAnsi" w:cstheme="majorHAnsi"/>
                <w:bCs/>
                <w:sz w:val="24"/>
                <w:szCs w:val="24"/>
              </w:rPr>
            </w:pPr>
          </w:p>
        </w:tc>
      </w:tr>
      <w:tr w:rsidR="00DD2A8A" w:rsidRPr="00C93770" w14:paraId="14BBF33E" w14:textId="77777777" w:rsidTr="1756A420">
        <w:tc>
          <w:tcPr>
            <w:tcW w:w="4074" w:type="dxa"/>
          </w:tcPr>
          <w:p w14:paraId="480AE198" w14:textId="7D450261" w:rsidR="00DD2A8A" w:rsidRPr="00FB3502" w:rsidRDefault="00E82944" w:rsidP="00FB3502">
            <w:pPr>
              <w:jc w:val="both"/>
              <w:rPr>
                <w:rFonts w:asciiTheme="majorHAnsi" w:hAnsiTheme="majorHAnsi" w:cstheme="majorHAnsi"/>
                <w:color w:val="000000"/>
                <w:sz w:val="24"/>
                <w:szCs w:val="24"/>
              </w:rPr>
            </w:pPr>
            <w:r w:rsidRPr="00FB3502">
              <w:rPr>
                <w:rFonts w:asciiTheme="majorHAnsi" w:hAnsiTheme="majorHAnsi" w:cstheme="majorHAnsi"/>
                <w:color w:val="000000"/>
                <w:sz w:val="24"/>
                <w:szCs w:val="24"/>
              </w:rPr>
              <w:lastRenderedPageBreak/>
              <w:t>Art. 319</w:t>
            </w:r>
            <w:r w:rsidR="009D3088">
              <w:rPr>
                <w:rFonts w:asciiTheme="majorHAnsi" w:hAnsiTheme="majorHAnsi" w:cstheme="majorHAnsi"/>
                <w:color w:val="000000"/>
                <w:sz w:val="24"/>
                <w:szCs w:val="24"/>
              </w:rPr>
              <w:t>.</w:t>
            </w:r>
            <w:r w:rsidRPr="00FB3502">
              <w:rPr>
                <w:rFonts w:asciiTheme="majorHAnsi" w:hAnsiTheme="majorHAnsi" w:cstheme="majorHAnsi"/>
                <w:color w:val="000000"/>
                <w:sz w:val="24"/>
                <w:szCs w:val="24"/>
              </w:rPr>
              <w:t xml:space="preserve"> A Câmara de Mediação, Conciliação e Arbitragem possui a seguinte composição:</w:t>
            </w:r>
          </w:p>
        </w:tc>
        <w:tc>
          <w:tcPr>
            <w:tcW w:w="4074" w:type="dxa"/>
          </w:tcPr>
          <w:p w14:paraId="647D676C" w14:textId="5B794A8F" w:rsidR="00DD2A8A" w:rsidRPr="00FB3502" w:rsidRDefault="00E82944" w:rsidP="00FB3502">
            <w:pPr>
              <w:jc w:val="both"/>
              <w:rPr>
                <w:rFonts w:asciiTheme="majorHAnsi" w:hAnsiTheme="majorHAnsi" w:cstheme="majorHAnsi"/>
                <w:color w:val="000000"/>
                <w:sz w:val="24"/>
                <w:szCs w:val="24"/>
              </w:rPr>
            </w:pPr>
            <w:r>
              <w:rPr>
                <w:rFonts w:asciiTheme="majorHAnsi" w:hAnsiTheme="majorHAnsi" w:cstheme="majorHAnsi"/>
                <w:color w:val="000000"/>
                <w:sz w:val="24"/>
                <w:szCs w:val="24"/>
              </w:rPr>
              <w:t>Art. 319</w:t>
            </w:r>
            <w:r w:rsidR="009D3088">
              <w:rPr>
                <w:rFonts w:asciiTheme="majorHAnsi" w:hAnsiTheme="majorHAnsi" w:cstheme="majorHAnsi"/>
                <w:color w:val="000000"/>
                <w:sz w:val="24"/>
                <w:szCs w:val="24"/>
              </w:rPr>
              <w:t>.</w:t>
            </w:r>
            <w:r>
              <w:rPr>
                <w:rFonts w:asciiTheme="majorHAnsi" w:hAnsiTheme="majorHAnsi" w:cstheme="majorHAnsi"/>
                <w:color w:val="000000"/>
                <w:sz w:val="24"/>
                <w:szCs w:val="24"/>
              </w:rPr>
              <w:t xml:space="preserve">  </w:t>
            </w:r>
            <w:proofErr w:type="gramStart"/>
            <w:r>
              <w:rPr>
                <w:rFonts w:asciiTheme="majorHAnsi" w:hAnsiTheme="majorHAnsi" w:cstheme="majorHAnsi"/>
                <w:color w:val="000000"/>
                <w:sz w:val="24"/>
                <w:szCs w:val="24"/>
              </w:rPr>
              <w:t>...</w:t>
            </w:r>
            <w:proofErr w:type="gramEnd"/>
          </w:p>
        </w:tc>
        <w:tc>
          <w:tcPr>
            <w:tcW w:w="4074" w:type="dxa"/>
            <w:vAlign w:val="center"/>
          </w:tcPr>
          <w:p w14:paraId="39F586F5" w14:textId="77777777" w:rsidR="00DD2A8A" w:rsidRPr="00FB3502" w:rsidRDefault="00DD2A8A" w:rsidP="00E82944">
            <w:pPr>
              <w:jc w:val="both"/>
              <w:rPr>
                <w:rFonts w:asciiTheme="majorHAnsi" w:hAnsiTheme="majorHAnsi" w:cstheme="majorHAnsi"/>
                <w:color w:val="000000"/>
                <w:sz w:val="24"/>
                <w:szCs w:val="24"/>
              </w:rPr>
            </w:pPr>
          </w:p>
        </w:tc>
        <w:tc>
          <w:tcPr>
            <w:tcW w:w="4075" w:type="dxa"/>
          </w:tcPr>
          <w:p w14:paraId="1B472DFD" w14:textId="77777777" w:rsidR="00DD2A8A" w:rsidRPr="00FB3502" w:rsidRDefault="00DD2A8A" w:rsidP="00E82944">
            <w:pPr>
              <w:jc w:val="both"/>
              <w:rPr>
                <w:rFonts w:asciiTheme="majorHAnsi" w:hAnsiTheme="majorHAnsi" w:cstheme="majorHAnsi"/>
                <w:color w:val="000000"/>
                <w:sz w:val="24"/>
                <w:szCs w:val="24"/>
              </w:rPr>
            </w:pPr>
          </w:p>
        </w:tc>
      </w:tr>
      <w:tr w:rsidR="00E82944" w:rsidRPr="00C93770" w14:paraId="5808AD47" w14:textId="77777777" w:rsidTr="00E61731">
        <w:tc>
          <w:tcPr>
            <w:tcW w:w="4074" w:type="dxa"/>
          </w:tcPr>
          <w:p w14:paraId="2ED9D71E" w14:textId="77777777" w:rsidR="00E82944" w:rsidRPr="00FB3502" w:rsidRDefault="00E82944" w:rsidP="00FB3502">
            <w:pPr>
              <w:jc w:val="both"/>
              <w:rPr>
                <w:rFonts w:asciiTheme="majorHAnsi" w:hAnsiTheme="majorHAnsi" w:cstheme="majorHAnsi"/>
                <w:color w:val="000000"/>
                <w:sz w:val="24"/>
                <w:szCs w:val="24"/>
              </w:rPr>
            </w:pPr>
            <w:r w:rsidRPr="00FB3502">
              <w:rPr>
                <w:rFonts w:asciiTheme="majorHAnsi" w:hAnsiTheme="majorHAnsi" w:cstheme="majorHAnsi"/>
                <w:color w:val="000000"/>
                <w:sz w:val="24"/>
                <w:szCs w:val="24"/>
              </w:rPr>
              <w:t>...</w:t>
            </w:r>
          </w:p>
        </w:tc>
        <w:tc>
          <w:tcPr>
            <w:tcW w:w="4074" w:type="dxa"/>
          </w:tcPr>
          <w:p w14:paraId="761E678F" w14:textId="77777777" w:rsidR="00E82944" w:rsidRPr="00FB3502" w:rsidRDefault="00E82944" w:rsidP="00FB3502">
            <w:pPr>
              <w:jc w:val="both"/>
              <w:rPr>
                <w:rFonts w:asciiTheme="majorHAnsi" w:hAnsiTheme="majorHAnsi" w:cstheme="majorHAnsi"/>
                <w:color w:val="000000"/>
                <w:sz w:val="24"/>
                <w:szCs w:val="24"/>
              </w:rPr>
            </w:pPr>
            <w:r w:rsidRPr="00FB3502">
              <w:rPr>
                <w:rFonts w:asciiTheme="majorHAnsi" w:hAnsiTheme="majorHAnsi" w:cstheme="majorHAnsi"/>
                <w:color w:val="000000"/>
                <w:sz w:val="24"/>
                <w:szCs w:val="24"/>
              </w:rPr>
              <w:t>...</w:t>
            </w:r>
          </w:p>
        </w:tc>
        <w:tc>
          <w:tcPr>
            <w:tcW w:w="4074" w:type="dxa"/>
            <w:vAlign w:val="center"/>
          </w:tcPr>
          <w:p w14:paraId="0777D05A" w14:textId="77777777" w:rsidR="00E82944" w:rsidRPr="00FB3502" w:rsidRDefault="00E82944" w:rsidP="00E82944">
            <w:pPr>
              <w:jc w:val="both"/>
              <w:rPr>
                <w:rFonts w:asciiTheme="majorHAnsi" w:hAnsiTheme="majorHAnsi" w:cstheme="majorHAnsi"/>
                <w:color w:val="000000"/>
                <w:sz w:val="24"/>
                <w:szCs w:val="24"/>
              </w:rPr>
            </w:pPr>
          </w:p>
        </w:tc>
        <w:tc>
          <w:tcPr>
            <w:tcW w:w="4075" w:type="dxa"/>
          </w:tcPr>
          <w:p w14:paraId="1A80BE13" w14:textId="77777777" w:rsidR="00E82944" w:rsidRPr="00FB3502" w:rsidRDefault="00E82944" w:rsidP="00E82944">
            <w:pPr>
              <w:jc w:val="both"/>
              <w:rPr>
                <w:rFonts w:asciiTheme="majorHAnsi" w:hAnsiTheme="majorHAnsi" w:cstheme="majorHAnsi"/>
                <w:color w:val="000000"/>
                <w:sz w:val="24"/>
                <w:szCs w:val="24"/>
              </w:rPr>
            </w:pPr>
          </w:p>
        </w:tc>
      </w:tr>
      <w:tr w:rsidR="00E82944" w:rsidRPr="00C93770" w14:paraId="04DCADD8" w14:textId="77777777" w:rsidTr="00FB3502">
        <w:tc>
          <w:tcPr>
            <w:tcW w:w="4074" w:type="dxa"/>
          </w:tcPr>
          <w:p w14:paraId="680F5752" w14:textId="635E65C7" w:rsidR="00E82944" w:rsidRPr="00FB3502" w:rsidRDefault="00E82944" w:rsidP="00FB3502">
            <w:pPr>
              <w:rPr>
                <w:rFonts w:asciiTheme="majorHAnsi" w:hAnsiTheme="majorHAnsi" w:cstheme="majorHAnsi"/>
                <w:color w:val="000000"/>
                <w:sz w:val="24"/>
                <w:szCs w:val="24"/>
              </w:rPr>
            </w:pPr>
            <w:r w:rsidRPr="00FB3502">
              <w:rPr>
                <w:rFonts w:asciiTheme="majorHAnsi" w:hAnsiTheme="majorHAnsi" w:cstheme="majorHAnsi"/>
                <w:color w:val="000000"/>
                <w:sz w:val="24"/>
                <w:szCs w:val="24"/>
              </w:rPr>
              <w:t>§ 3</w:t>
            </w:r>
            <w:proofErr w:type="gramStart"/>
            <w:r w:rsidRPr="00FB3502">
              <w:rPr>
                <w:rFonts w:asciiTheme="majorHAnsi" w:hAnsiTheme="majorHAnsi" w:cstheme="majorHAnsi"/>
                <w:color w:val="000000"/>
                <w:sz w:val="24"/>
                <w:szCs w:val="24"/>
              </w:rPr>
              <w:t xml:space="preserve">º </w:t>
            </w:r>
            <w:r>
              <w:rPr>
                <w:rFonts w:asciiTheme="majorHAnsi" w:hAnsiTheme="majorHAnsi" w:cstheme="majorHAnsi"/>
                <w:color w:val="000000"/>
                <w:sz w:val="24"/>
                <w:szCs w:val="24"/>
              </w:rPr>
              <w:t xml:space="preserve"> </w:t>
            </w:r>
            <w:r w:rsidRPr="00FB3502">
              <w:rPr>
                <w:rFonts w:asciiTheme="majorHAnsi" w:hAnsiTheme="majorHAnsi" w:cstheme="majorHAnsi"/>
                <w:color w:val="000000"/>
                <w:sz w:val="24"/>
                <w:szCs w:val="24"/>
              </w:rPr>
              <w:t>Somente</w:t>
            </w:r>
            <w:proofErr w:type="gramEnd"/>
            <w:r w:rsidRPr="00FB3502">
              <w:rPr>
                <w:rFonts w:asciiTheme="majorHAnsi" w:hAnsiTheme="majorHAnsi" w:cstheme="majorHAnsi"/>
                <w:color w:val="000000"/>
                <w:sz w:val="24"/>
                <w:szCs w:val="24"/>
              </w:rPr>
              <w:t xml:space="preserve"> poderão integrar o quadro de mediadores, conciliadores e árbitros da CMCA aqueles profissionais submetidos previamente à análise quanto à sua competência e reputação ilibada.</w:t>
            </w:r>
          </w:p>
          <w:p w14:paraId="4FA7D4BB" w14:textId="3A519D61" w:rsidR="00E82944" w:rsidRPr="00FB3502" w:rsidRDefault="00E82944" w:rsidP="009D3088">
            <w:pPr>
              <w:jc w:val="both"/>
              <w:rPr>
                <w:rFonts w:asciiTheme="majorHAnsi" w:hAnsiTheme="majorHAnsi" w:cstheme="majorHAnsi"/>
                <w:color w:val="000000"/>
                <w:sz w:val="24"/>
                <w:szCs w:val="24"/>
              </w:rPr>
            </w:pPr>
          </w:p>
        </w:tc>
        <w:tc>
          <w:tcPr>
            <w:tcW w:w="4074" w:type="dxa"/>
          </w:tcPr>
          <w:p w14:paraId="217698DE" w14:textId="4303F0F0" w:rsidR="00E82944" w:rsidRPr="00FB3502" w:rsidRDefault="00E82944" w:rsidP="009D3088">
            <w:pPr>
              <w:jc w:val="both"/>
              <w:rPr>
                <w:rFonts w:asciiTheme="majorHAnsi" w:hAnsiTheme="majorHAnsi" w:cstheme="majorHAnsi"/>
                <w:color w:val="000000"/>
                <w:sz w:val="24"/>
                <w:szCs w:val="24"/>
              </w:rPr>
            </w:pPr>
            <w:r w:rsidRPr="00FB3502">
              <w:rPr>
                <w:rFonts w:asciiTheme="majorHAnsi" w:hAnsiTheme="majorHAnsi" w:cstheme="majorHAnsi"/>
                <w:color w:val="000000"/>
                <w:sz w:val="24"/>
                <w:szCs w:val="24"/>
              </w:rPr>
              <w:t>§ 3</w:t>
            </w:r>
            <w:proofErr w:type="gramStart"/>
            <w:r w:rsidRPr="00FB3502">
              <w:rPr>
                <w:rFonts w:asciiTheme="majorHAnsi" w:hAnsiTheme="majorHAnsi" w:cstheme="majorHAnsi"/>
                <w:color w:val="000000"/>
                <w:sz w:val="24"/>
                <w:szCs w:val="24"/>
              </w:rPr>
              <w:t xml:space="preserve">º </w:t>
            </w:r>
            <w:r>
              <w:rPr>
                <w:rFonts w:asciiTheme="majorHAnsi" w:hAnsiTheme="majorHAnsi" w:cstheme="majorHAnsi"/>
                <w:color w:val="000000"/>
                <w:sz w:val="24"/>
                <w:szCs w:val="24"/>
              </w:rPr>
              <w:t xml:space="preserve"> </w:t>
            </w:r>
            <w:r w:rsidRPr="00FB3502">
              <w:rPr>
                <w:rFonts w:asciiTheme="majorHAnsi" w:hAnsiTheme="majorHAnsi" w:cstheme="majorHAnsi"/>
                <w:color w:val="000000"/>
                <w:sz w:val="24"/>
                <w:szCs w:val="24"/>
              </w:rPr>
              <w:t>Somente</w:t>
            </w:r>
            <w:proofErr w:type="gramEnd"/>
            <w:r w:rsidRPr="00FB3502">
              <w:rPr>
                <w:rFonts w:asciiTheme="majorHAnsi" w:hAnsiTheme="majorHAnsi" w:cstheme="majorHAnsi"/>
                <w:color w:val="000000"/>
                <w:sz w:val="24"/>
                <w:szCs w:val="24"/>
              </w:rPr>
              <w:t xml:space="preserve"> poderão integrar o quadro de mediadores, conciliadores e árbitros da CMCA </w:t>
            </w:r>
            <w:r w:rsidR="00431370">
              <w:rPr>
                <w:rFonts w:asciiTheme="majorHAnsi" w:hAnsiTheme="majorHAnsi" w:cstheme="majorHAnsi"/>
                <w:color w:val="000000"/>
                <w:sz w:val="24"/>
                <w:szCs w:val="24"/>
              </w:rPr>
              <w:t>os</w:t>
            </w:r>
            <w:r w:rsidRPr="00FB3502">
              <w:rPr>
                <w:rFonts w:asciiTheme="majorHAnsi" w:hAnsiTheme="majorHAnsi" w:cstheme="majorHAnsi"/>
                <w:color w:val="000000"/>
                <w:sz w:val="24"/>
                <w:szCs w:val="24"/>
              </w:rPr>
              <w:t xml:space="preserve"> profissionais </w:t>
            </w:r>
            <w:r w:rsidR="00431370" w:rsidRPr="00B86BA2">
              <w:rPr>
                <w:rFonts w:asciiTheme="majorHAnsi" w:hAnsiTheme="majorHAnsi" w:cstheme="majorHAnsi"/>
                <w:color w:val="000000"/>
                <w:sz w:val="24"/>
                <w:szCs w:val="24"/>
              </w:rPr>
              <w:t xml:space="preserve">previamente </w:t>
            </w:r>
            <w:r w:rsidRPr="00FB3502">
              <w:rPr>
                <w:rFonts w:asciiTheme="majorHAnsi" w:hAnsiTheme="majorHAnsi" w:cstheme="majorHAnsi"/>
                <w:color w:val="000000"/>
                <w:sz w:val="24"/>
                <w:szCs w:val="24"/>
              </w:rPr>
              <w:t xml:space="preserve">submetidos à análise quanto à sua competência, </w:t>
            </w:r>
            <w:r w:rsidRPr="00FB3502">
              <w:rPr>
                <w:rFonts w:asciiTheme="majorHAnsi" w:hAnsiTheme="majorHAnsi" w:cstheme="majorHAnsi"/>
                <w:bCs/>
                <w:color w:val="0000FF"/>
                <w:sz w:val="24"/>
                <w:szCs w:val="24"/>
              </w:rPr>
              <w:t>capacitação</w:t>
            </w:r>
            <w:r w:rsidRPr="00FB3502">
              <w:rPr>
                <w:rFonts w:asciiTheme="majorHAnsi" w:hAnsiTheme="majorHAnsi" w:cstheme="majorHAnsi"/>
                <w:color w:val="000000"/>
                <w:sz w:val="24"/>
                <w:szCs w:val="24"/>
              </w:rPr>
              <w:t xml:space="preserve"> e reputação ilibada. </w:t>
            </w:r>
          </w:p>
          <w:p w14:paraId="5DD32FD3" w14:textId="77777777" w:rsidR="00E82944" w:rsidRPr="00FB3502" w:rsidRDefault="00E82944" w:rsidP="00FB3502">
            <w:pPr>
              <w:ind w:left="360"/>
              <w:rPr>
                <w:rFonts w:asciiTheme="majorHAnsi" w:hAnsiTheme="majorHAnsi" w:cstheme="majorHAnsi"/>
                <w:color w:val="000000"/>
                <w:sz w:val="24"/>
                <w:szCs w:val="24"/>
              </w:rPr>
            </w:pPr>
          </w:p>
          <w:p w14:paraId="7498DDA0" w14:textId="2F95D0C3" w:rsidR="00E82944" w:rsidRPr="00FB3502" w:rsidRDefault="00E82944" w:rsidP="00FB3502">
            <w:pPr>
              <w:rPr>
                <w:rFonts w:asciiTheme="majorHAnsi" w:hAnsiTheme="majorHAnsi" w:cstheme="majorHAnsi"/>
                <w:color w:val="000000"/>
                <w:sz w:val="24"/>
                <w:szCs w:val="24"/>
              </w:rPr>
            </w:pPr>
          </w:p>
        </w:tc>
        <w:tc>
          <w:tcPr>
            <w:tcW w:w="4074" w:type="dxa"/>
          </w:tcPr>
          <w:p w14:paraId="09DE8DD1" w14:textId="77777777" w:rsidR="00E82944" w:rsidRPr="00FB3502" w:rsidRDefault="00E82944" w:rsidP="009D3088">
            <w:pPr>
              <w:jc w:val="both"/>
              <w:rPr>
                <w:rFonts w:asciiTheme="majorHAnsi" w:hAnsiTheme="majorHAnsi" w:cstheme="majorHAnsi"/>
                <w:color w:val="000000"/>
                <w:sz w:val="24"/>
                <w:szCs w:val="24"/>
              </w:rPr>
            </w:pPr>
            <w:r w:rsidRPr="00FB3502">
              <w:rPr>
                <w:rFonts w:asciiTheme="majorHAnsi" w:hAnsiTheme="majorHAnsi" w:cstheme="majorHAnsi"/>
                <w:color w:val="000000"/>
                <w:sz w:val="24"/>
                <w:szCs w:val="24"/>
              </w:rPr>
              <w:t>A inclusão dos parágrafos propõe requisitos objetivos mínimos para a composição do quadro de mediadores, conciliadores e árbitros da CMCA (Câmara de Mediação, Conciliação e Arbitragem).</w:t>
            </w:r>
          </w:p>
          <w:p w14:paraId="39F34E70" w14:textId="77777777" w:rsidR="00E82944" w:rsidRPr="00FB3502" w:rsidRDefault="00E82944" w:rsidP="009D3088">
            <w:pPr>
              <w:jc w:val="both"/>
              <w:rPr>
                <w:rFonts w:asciiTheme="majorHAnsi" w:hAnsiTheme="majorHAnsi" w:cstheme="majorHAnsi"/>
                <w:color w:val="000000"/>
                <w:sz w:val="24"/>
                <w:szCs w:val="24"/>
              </w:rPr>
            </w:pPr>
            <w:r w:rsidRPr="00FB3502">
              <w:rPr>
                <w:rFonts w:asciiTheme="majorHAnsi" w:hAnsiTheme="majorHAnsi" w:cstheme="majorHAnsi"/>
                <w:color w:val="000000"/>
                <w:sz w:val="24"/>
                <w:szCs w:val="24"/>
              </w:rPr>
              <w:t>A proposta garante maior rigor na habilitação desses profissionais, com vistas à integridade, imparcialidade e efetividade dos métodos adequados de solução de conflitos, coadunando-se com os princípios de boa governança</w:t>
            </w:r>
          </w:p>
          <w:p w14:paraId="277B3F35" w14:textId="77777777" w:rsidR="00E82944" w:rsidRPr="00FB3502" w:rsidRDefault="00E82944" w:rsidP="009D3088">
            <w:pPr>
              <w:jc w:val="both"/>
              <w:rPr>
                <w:rFonts w:asciiTheme="majorHAnsi" w:hAnsiTheme="majorHAnsi" w:cstheme="majorHAnsi"/>
                <w:color w:val="000000"/>
                <w:sz w:val="24"/>
                <w:szCs w:val="24"/>
              </w:rPr>
            </w:pPr>
          </w:p>
        </w:tc>
        <w:tc>
          <w:tcPr>
            <w:tcW w:w="4075" w:type="dxa"/>
          </w:tcPr>
          <w:p w14:paraId="4614EB6A" w14:textId="77777777" w:rsidR="00E82944" w:rsidRPr="00FB3502" w:rsidRDefault="00E82944" w:rsidP="00FB3502">
            <w:pPr>
              <w:rPr>
                <w:rFonts w:asciiTheme="majorHAnsi" w:hAnsiTheme="majorHAnsi" w:cstheme="majorHAnsi"/>
                <w:color w:val="000000"/>
                <w:sz w:val="24"/>
                <w:szCs w:val="24"/>
              </w:rPr>
            </w:pPr>
            <w:r w:rsidRPr="00FB3502">
              <w:rPr>
                <w:rFonts w:asciiTheme="majorHAnsi" w:hAnsiTheme="majorHAnsi" w:cstheme="majorHAnsi"/>
                <w:color w:val="000000"/>
                <w:sz w:val="24"/>
                <w:szCs w:val="24"/>
              </w:rPr>
              <w:t xml:space="preserve">Decreto nº 10.411, de 2020, art. 4º, inciso V, alínea a. </w:t>
            </w:r>
          </w:p>
          <w:p w14:paraId="3E34A64D" w14:textId="77777777" w:rsidR="00E82944" w:rsidRPr="00FB3502" w:rsidRDefault="00E82944" w:rsidP="00FB3502">
            <w:pPr>
              <w:rPr>
                <w:rFonts w:asciiTheme="majorHAnsi" w:hAnsiTheme="majorHAnsi" w:cstheme="majorHAnsi"/>
                <w:color w:val="000000"/>
                <w:sz w:val="24"/>
                <w:szCs w:val="24"/>
              </w:rPr>
            </w:pPr>
          </w:p>
        </w:tc>
      </w:tr>
      <w:tr w:rsidR="00E82944" w:rsidRPr="00C93770" w14:paraId="60EDF130" w14:textId="77777777" w:rsidTr="00E61731">
        <w:tc>
          <w:tcPr>
            <w:tcW w:w="4074" w:type="dxa"/>
          </w:tcPr>
          <w:p w14:paraId="531F0991" w14:textId="055DF702" w:rsidR="00E82944" w:rsidRPr="00FB3502" w:rsidRDefault="00E82944" w:rsidP="00FB3502">
            <w:pPr>
              <w:jc w:val="both"/>
              <w:rPr>
                <w:rFonts w:asciiTheme="majorHAnsi" w:hAnsiTheme="majorHAnsi" w:cstheme="majorHAnsi"/>
                <w:color w:val="000000"/>
                <w:sz w:val="24"/>
                <w:szCs w:val="24"/>
              </w:rPr>
            </w:pPr>
            <w:r w:rsidRPr="00FB3502">
              <w:rPr>
                <w:rFonts w:asciiTheme="majorHAnsi" w:hAnsiTheme="majorHAnsi" w:cstheme="majorHAnsi"/>
                <w:color w:val="000000"/>
                <w:sz w:val="24"/>
                <w:szCs w:val="24"/>
              </w:rPr>
              <w:t>§ 4º Apenas serão admitidos como mediadores no quadro da CMCA os profissionais que comprovem a devida capacitação.</w:t>
            </w:r>
          </w:p>
        </w:tc>
        <w:tc>
          <w:tcPr>
            <w:tcW w:w="4074" w:type="dxa"/>
          </w:tcPr>
          <w:p w14:paraId="68BEED72" w14:textId="5C642E1F" w:rsidR="00E82944" w:rsidRPr="00FB3502" w:rsidRDefault="00E82944" w:rsidP="00FB3502">
            <w:pPr>
              <w:jc w:val="both"/>
              <w:rPr>
                <w:rFonts w:asciiTheme="majorHAnsi" w:hAnsiTheme="majorHAnsi" w:cstheme="majorHAnsi"/>
                <w:color w:val="000000"/>
                <w:sz w:val="24"/>
                <w:szCs w:val="24"/>
              </w:rPr>
            </w:pPr>
            <w:r w:rsidRPr="00FB3502">
              <w:rPr>
                <w:rFonts w:asciiTheme="majorHAnsi" w:hAnsiTheme="majorHAnsi" w:cstheme="majorHAnsi"/>
                <w:color w:val="000000"/>
                <w:sz w:val="24"/>
                <w:szCs w:val="24"/>
              </w:rPr>
              <w:t>§ 4º Apenas serão admitidos como mediadores, conciliadores e árbitros no quadro da CMCA os profissionais que comprovem</w:t>
            </w:r>
            <w:r>
              <w:rPr>
                <w:rFonts w:asciiTheme="majorHAnsi" w:hAnsiTheme="majorHAnsi" w:cstheme="majorHAnsi"/>
                <w:color w:val="000000"/>
                <w:sz w:val="24"/>
                <w:szCs w:val="24"/>
              </w:rPr>
              <w:t xml:space="preserve"> </w:t>
            </w:r>
            <w:r w:rsidRPr="00FB3502">
              <w:rPr>
                <w:rFonts w:asciiTheme="majorHAnsi" w:hAnsiTheme="majorHAnsi" w:cstheme="majorHAnsi"/>
                <w:bCs/>
                <w:strike/>
                <w:color w:val="EE0000"/>
                <w:sz w:val="24"/>
                <w:szCs w:val="24"/>
              </w:rPr>
              <w:t>a devida</w:t>
            </w:r>
            <w:r w:rsidRPr="00FB3502">
              <w:rPr>
                <w:rFonts w:asciiTheme="majorHAnsi" w:hAnsiTheme="majorHAnsi" w:cstheme="majorHAnsi"/>
                <w:color w:val="000000"/>
                <w:sz w:val="24"/>
                <w:szCs w:val="24"/>
              </w:rPr>
              <w:t xml:space="preserve"> </w:t>
            </w:r>
            <w:r>
              <w:rPr>
                <w:rFonts w:asciiTheme="majorHAnsi" w:hAnsiTheme="majorHAnsi" w:cstheme="majorHAnsi"/>
                <w:color w:val="000000"/>
                <w:sz w:val="24"/>
                <w:szCs w:val="24"/>
              </w:rPr>
              <w:t xml:space="preserve">capacitação </w:t>
            </w:r>
            <w:r w:rsidRPr="00FB3502">
              <w:rPr>
                <w:rFonts w:asciiTheme="majorHAnsi" w:hAnsiTheme="majorHAnsi" w:cstheme="majorHAnsi"/>
                <w:bCs/>
                <w:color w:val="0000FF"/>
                <w:sz w:val="24"/>
                <w:szCs w:val="24"/>
              </w:rPr>
              <w:t>e experiência</w:t>
            </w:r>
            <w:r w:rsidR="00431370">
              <w:rPr>
                <w:rFonts w:asciiTheme="majorHAnsi" w:hAnsiTheme="majorHAnsi" w:cstheme="majorHAnsi"/>
                <w:bCs/>
                <w:color w:val="0000FF"/>
                <w:sz w:val="24"/>
                <w:szCs w:val="24"/>
              </w:rPr>
              <w:t xml:space="preserve"> compatível com as atividades a serem desempenhadas</w:t>
            </w:r>
            <w:r w:rsidR="009D3088">
              <w:rPr>
                <w:rFonts w:asciiTheme="majorHAnsi" w:hAnsiTheme="majorHAnsi" w:cstheme="majorHAnsi"/>
                <w:bCs/>
                <w:color w:val="0000FF"/>
                <w:sz w:val="24"/>
                <w:szCs w:val="24"/>
              </w:rPr>
              <w:t>.</w:t>
            </w:r>
          </w:p>
        </w:tc>
        <w:tc>
          <w:tcPr>
            <w:tcW w:w="4074" w:type="dxa"/>
            <w:vAlign w:val="center"/>
          </w:tcPr>
          <w:p w14:paraId="7FA80C39" w14:textId="77777777" w:rsidR="00E82944" w:rsidRPr="00FB3502" w:rsidRDefault="00E82944" w:rsidP="00E82944">
            <w:pPr>
              <w:jc w:val="both"/>
              <w:rPr>
                <w:rFonts w:asciiTheme="majorHAnsi" w:hAnsiTheme="majorHAnsi" w:cstheme="majorHAnsi"/>
                <w:color w:val="000000"/>
                <w:sz w:val="24"/>
                <w:szCs w:val="24"/>
              </w:rPr>
            </w:pPr>
          </w:p>
        </w:tc>
        <w:tc>
          <w:tcPr>
            <w:tcW w:w="4075" w:type="dxa"/>
          </w:tcPr>
          <w:p w14:paraId="5A23715C" w14:textId="77777777" w:rsidR="00E82944" w:rsidRPr="00FB3502" w:rsidRDefault="00E82944" w:rsidP="00E82944">
            <w:pPr>
              <w:jc w:val="both"/>
              <w:rPr>
                <w:rFonts w:asciiTheme="majorHAnsi" w:hAnsiTheme="majorHAnsi" w:cstheme="majorHAnsi"/>
                <w:color w:val="000000"/>
                <w:sz w:val="24"/>
                <w:szCs w:val="24"/>
              </w:rPr>
            </w:pPr>
            <w:r w:rsidRPr="00FB3502">
              <w:rPr>
                <w:rFonts w:asciiTheme="majorHAnsi" w:hAnsiTheme="majorHAnsi" w:cstheme="majorHAnsi"/>
                <w:color w:val="000000"/>
                <w:sz w:val="24"/>
                <w:szCs w:val="24"/>
              </w:rPr>
              <w:t xml:space="preserve">Decreto nº 10.411, de 2020, art. 4º, inciso V, alínea a. </w:t>
            </w:r>
          </w:p>
          <w:p w14:paraId="6CE9D06E" w14:textId="77777777" w:rsidR="00E82944" w:rsidRPr="00FB3502" w:rsidRDefault="00E82944" w:rsidP="00E82944">
            <w:pPr>
              <w:jc w:val="both"/>
              <w:rPr>
                <w:rFonts w:asciiTheme="majorHAnsi" w:hAnsiTheme="majorHAnsi" w:cstheme="majorHAnsi"/>
                <w:color w:val="000000"/>
                <w:sz w:val="24"/>
                <w:szCs w:val="24"/>
              </w:rPr>
            </w:pPr>
          </w:p>
        </w:tc>
      </w:tr>
      <w:tr w:rsidR="00815BB1" w:rsidRPr="00C93770" w14:paraId="27B51D21" w14:textId="77777777" w:rsidTr="1756A420">
        <w:tc>
          <w:tcPr>
            <w:tcW w:w="4074" w:type="dxa"/>
          </w:tcPr>
          <w:p w14:paraId="6C776467" w14:textId="77777777" w:rsidR="00815BB1" w:rsidRPr="00D462F0" w:rsidRDefault="00815BB1" w:rsidP="008F3FAE">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CAPÍTULO XII</w:t>
            </w:r>
          </w:p>
          <w:p w14:paraId="10B4366C" w14:textId="5F81D95C" w:rsidR="00815BB1" w:rsidRPr="00D462F0" w:rsidRDefault="00815BB1" w:rsidP="008F3FAE">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DOS DADOS A SEREM ENVIADOS À PREVIC</w:t>
            </w:r>
          </w:p>
        </w:tc>
        <w:tc>
          <w:tcPr>
            <w:tcW w:w="4074" w:type="dxa"/>
          </w:tcPr>
          <w:p w14:paraId="5877A5D3" w14:textId="77777777" w:rsidR="00815BB1" w:rsidRPr="00D462F0" w:rsidRDefault="00815BB1" w:rsidP="008F3FAE">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CAPÍTULO XII</w:t>
            </w:r>
          </w:p>
          <w:p w14:paraId="6C9891CB" w14:textId="01217901" w:rsidR="00815BB1" w:rsidRPr="00D462F0" w:rsidRDefault="00815BB1" w:rsidP="008F3FAE">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DOS DADOS A SEREM ENVIADOS À PREVIC</w:t>
            </w:r>
          </w:p>
        </w:tc>
        <w:tc>
          <w:tcPr>
            <w:tcW w:w="4074" w:type="dxa"/>
            <w:vAlign w:val="center"/>
          </w:tcPr>
          <w:p w14:paraId="341DFA4E" w14:textId="77777777" w:rsidR="00815BB1" w:rsidRPr="00D462F0" w:rsidRDefault="00815BB1" w:rsidP="00D462F0">
            <w:pPr>
              <w:jc w:val="both"/>
              <w:rPr>
                <w:rFonts w:asciiTheme="majorHAnsi" w:hAnsiTheme="majorHAnsi" w:cstheme="majorHAnsi"/>
                <w:sz w:val="24"/>
                <w:szCs w:val="24"/>
              </w:rPr>
            </w:pPr>
          </w:p>
        </w:tc>
        <w:tc>
          <w:tcPr>
            <w:tcW w:w="4075" w:type="dxa"/>
          </w:tcPr>
          <w:p w14:paraId="7D1848FD" w14:textId="77777777" w:rsidR="00815BB1" w:rsidRPr="00D462F0" w:rsidRDefault="00815BB1" w:rsidP="00D462F0">
            <w:pPr>
              <w:jc w:val="both"/>
              <w:rPr>
                <w:rFonts w:asciiTheme="majorHAnsi" w:hAnsiTheme="majorHAnsi" w:cstheme="majorHAnsi"/>
                <w:bCs/>
                <w:sz w:val="24"/>
                <w:szCs w:val="24"/>
              </w:rPr>
            </w:pPr>
          </w:p>
        </w:tc>
      </w:tr>
      <w:tr w:rsidR="00815BB1" w:rsidRPr="00C93770" w14:paraId="285BA208" w14:textId="77777777" w:rsidTr="1756A420">
        <w:tc>
          <w:tcPr>
            <w:tcW w:w="4074" w:type="dxa"/>
          </w:tcPr>
          <w:p w14:paraId="212F9E64" w14:textId="77777777"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Seção I</w:t>
            </w:r>
          </w:p>
          <w:p w14:paraId="57A1677C" w14:textId="37A0765E"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Informações Atuariais</w:t>
            </w:r>
          </w:p>
        </w:tc>
        <w:tc>
          <w:tcPr>
            <w:tcW w:w="4074" w:type="dxa"/>
          </w:tcPr>
          <w:p w14:paraId="7C2BDDAC" w14:textId="77777777"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Seção I</w:t>
            </w:r>
          </w:p>
          <w:p w14:paraId="660BE499" w14:textId="39E4062C" w:rsidR="00815BB1" w:rsidRPr="00D462F0" w:rsidRDefault="00815BB1" w:rsidP="008F3FAE">
            <w:pPr>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Informações Atuariais</w:t>
            </w:r>
          </w:p>
        </w:tc>
        <w:tc>
          <w:tcPr>
            <w:tcW w:w="4074" w:type="dxa"/>
            <w:vAlign w:val="center"/>
          </w:tcPr>
          <w:p w14:paraId="714DB8A4" w14:textId="77777777" w:rsidR="00815BB1" w:rsidRPr="00D462F0" w:rsidRDefault="00815BB1" w:rsidP="00D462F0">
            <w:pPr>
              <w:jc w:val="both"/>
              <w:rPr>
                <w:rFonts w:asciiTheme="majorHAnsi" w:hAnsiTheme="majorHAnsi" w:cstheme="majorHAnsi"/>
                <w:sz w:val="24"/>
                <w:szCs w:val="24"/>
              </w:rPr>
            </w:pPr>
          </w:p>
        </w:tc>
        <w:tc>
          <w:tcPr>
            <w:tcW w:w="4075" w:type="dxa"/>
          </w:tcPr>
          <w:p w14:paraId="4DB15D78" w14:textId="77777777" w:rsidR="00815BB1" w:rsidRPr="00D462F0" w:rsidRDefault="00815BB1" w:rsidP="00D462F0">
            <w:pPr>
              <w:jc w:val="both"/>
              <w:rPr>
                <w:rFonts w:asciiTheme="majorHAnsi" w:hAnsiTheme="majorHAnsi" w:cstheme="majorHAnsi"/>
                <w:bCs/>
                <w:sz w:val="24"/>
                <w:szCs w:val="24"/>
              </w:rPr>
            </w:pPr>
          </w:p>
        </w:tc>
      </w:tr>
      <w:tr w:rsidR="00815BB1" w:rsidRPr="00C93770" w14:paraId="29F39652" w14:textId="77777777" w:rsidTr="1756A420">
        <w:tc>
          <w:tcPr>
            <w:tcW w:w="4074" w:type="dxa"/>
          </w:tcPr>
          <w:p w14:paraId="253A4962" w14:textId="77777777"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Subseção I</w:t>
            </w:r>
          </w:p>
          <w:p w14:paraId="429190E9" w14:textId="213D6D20"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Demonstrações Atuariais</w:t>
            </w:r>
          </w:p>
        </w:tc>
        <w:tc>
          <w:tcPr>
            <w:tcW w:w="4074" w:type="dxa"/>
          </w:tcPr>
          <w:p w14:paraId="7BCDA092" w14:textId="77777777" w:rsidR="00815BB1" w:rsidRPr="00D462F0" w:rsidRDefault="00815BB1" w:rsidP="008F3FAE">
            <w:pPr>
              <w:tabs>
                <w:tab w:val="left" w:pos="0"/>
              </w:tabs>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Subseção I</w:t>
            </w:r>
          </w:p>
          <w:p w14:paraId="657121E5" w14:textId="1A95F209" w:rsidR="00815BB1" w:rsidRPr="00D462F0" w:rsidRDefault="00815BB1" w:rsidP="008F3FAE">
            <w:pPr>
              <w:jc w:val="center"/>
              <w:rPr>
                <w:rFonts w:asciiTheme="majorHAnsi" w:eastAsia="Times New Roman" w:hAnsiTheme="majorHAnsi" w:cstheme="majorHAnsi"/>
                <w:b/>
                <w:sz w:val="24"/>
                <w:szCs w:val="24"/>
              </w:rPr>
            </w:pPr>
            <w:r w:rsidRPr="00D462F0">
              <w:rPr>
                <w:rFonts w:asciiTheme="majorHAnsi" w:eastAsia="Times New Roman" w:hAnsiTheme="majorHAnsi" w:cstheme="majorHAnsi"/>
                <w:b/>
                <w:sz w:val="24"/>
                <w:szCs w:val="24"/>
              </w:rPr>
              <w:t>Demonstrações Atuariais</w:t>
            </w:r>
          </w:p>
        </w:tc>
        <w:tc>
          <w:tcPr>
            <w:tcW w:w="4074" w:type="dxa"/>
            <w:vAlign w:val="center"/>
          </w:tcPr>
          <w:p w14:paraId="402E3392" w14:textId="77777777" w:rsidR="00815BB1" w:rsidRPr="00D462F0" w:rsidRDefault="00815BB1" w:rsidP="00D462F0">
            <w:pPr>
              <w:jc w:val="both"/>
              <w:rPr>
                <w:rFonts w:asciiTheme="majorHAnsi" w:hAnsiTheme="majorHAnsi" w:cstheme="majorHAnsi"/>
                <w:sz w:val="24"/>
                <w:szCs w:val="24"/>
              </w:rPr>
            </w:pPr>
          </w:p>
        </w:tc>
        <w:tc>
          <w:tcPr>
            <w:tcW w:w="4075" w:type="dxa"/>
          </w:tcPr>
          <w:p w14:paraId="477D38A9" w14:textId="77777777" w:rsidR="00815BB1" w:rsidRPr="00D462F0" w:rsidRDefault="00815BB1" w:rsidP="00D462F0">
            <w:pPr>
              <w:jc w:val="both"/>
              <w:rPr>
                <w:rFonts w:asciiTheme="majorHAnsi" w:hAnsiTheme="majorHAnsi" w:cstheme="majorHAnsi"/>
                <w:bCs/>
                <w:sz w:val="24"/>
                <w:szCs w:val="24"/>
              </w:rPr>
            </w:pPr>
          </w:p>
        </w:tc>
      </w:tr>
      <w:tr w:rsidR="00815BB1" w:rsidRPr="00C93770" w14:paraId="43F23A02" w14:textId="77777777" w:rsidTr="1756A420">
        <w:tc>
          <w:tcPr>
            <w:tcW w:w="4074" w:type="dxa"/>
          </w:tcPr>
          <w:p w14:paraId="0DE0B53E" w14:textId="74708AED" w:rsidR="00815BB1" w:rsidRPr="00D462F0" w:rsidRDefault="00815BB1" w:rsidP="008F3FAE">
            <w:pPr>
              <w:tabs>
                <w:tab w:val="left" w:pos="0"/>
              </w:tabs>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tcPr>
          <w:p w14:paraId="0095C1ED" w14:textId="30D90B41" w:rsidR="00815BB1" w:rsidRPr="00D462F0" w:rsidRDefault="00815BB1" w:rsidP="008F3FAE">
            <w:pPr>
              <w:jc w:val="center"/>
              <w:rPr>
                <w:rFonts w:asciiTheme="majorHAnsi" w:eastAsia="Times New Roman" w:hAnsiTheme="majorHAnsi" w:cstheme="majorHAnsi"/>
                <w:sz w:val="24"/>
                <w:szCs w:val="24"/>
              </w:rPr>
            </w:pPr>
            <w:r w:rsidRPr="00D462F0">
              <w:rPr>
                <w:rFonts w:asciiTheme="majorHAnsi" w:eastAsia="Times New Roman" w:hAnsiTheme="majorHAnsi" w:cstheme="majorHAnsi"/>
                <w:sz w:val="24"/>
                <w:szCs w:val="24"/>
              </w:rPr>
              <w:t>...</w:t>
            </w:r>
          </w:p>
        </w:tc>
        <w:tc>
          <w:tcPr>
            <w:tcW w:w="4074" w:type="dxa"/>
            <w:vAlign w:val="center"/>
          </w:tcPr>
          <w:p w14:paraId="0C3D4FA2" w14:textId="77777777" w:rsidR="00815BB1" w:rsidRPr="00D462F0" w:rsidRDefault="00815BB1" w:rsidP="00D462F0">
            <w:pPr>
              <w:jc w:val="both"/>
              <w:rPr>
                <w:rFonts w:asciiTheme="majorHAnsi" w:hAnsiTheme="majorHAnsi" w:cstheme="majorHAnsi"/>
                <w:sz w:val="24"/>
                <w:szCs w:val="24"/>
              </w:rPr>
            </w:pPr>
          </w:p>
        </w:tc>
        <w:tc>
          <w:tcPr>
            <w:tcW w:w="4075" w:type="dxa"/>
          </w:tcPr>
          <w:p w14:paraId="2724A59D" w14:textId="77777777" w:rsidR="00815BB1" w:rsidRPr="00D462F0" w:rsidRDefault="00815BB1" w:rsidP="00D462F0">
            <w:pPr>
              <w:jc w:val="both"/>
              <w:rPr>
                <w:rFonts w:asciiTheme="majorHAnsi" w:hAnsiTheme="majorHAnsi" w:cstheme="majorHAnsi"/>
                <w:bCs/>
                <w:sz w:val="24"/>
                <w:szCs w:val="24"/>
              </w:rPr>
            </w:pPr>
          </w:p>
        </w:tc>
      </w:tr>
      <w:tr w:rsidR="00815BB1" w:rsidRPr="00C93770" w14:paraId="611B7A3C" w14:textId="77777777" w:rsidTr="1756A420">
        <w:tc>
          <w:tcPr>
            <w:tcW w:w="4074" w:type="dxa"/>
          </w:tcPr>
          <w:p w14:paraId="19A95688" w14:textId="231F0A4D" w:rsidR="00815BB1" w:rsidRPr="00D462F0" w:rsidRDefault="00815BB1" w:rsidP="00D462F0">
            <w:pPr>
              <w:tabs>
                <w:tab w:val="left" w:pos="0"/>
              </w:tabs>
              <w:jc w:val="both"/>
              <w:rPr>
                <w:rFonts w:asciiTheme="majorHAnsi" w:hAnsiTheme="majorHAnsi" w:cstheme="majorHAnsi"/>
                <w:sz w:val="24"/>
                <w:szCs w:val="24"/>
              </w:rPr>
            </w:pPr>
            <w:r w:rsidRPr="00D462F0">
              <w:rPr>
                <w:rFonts w:asciiTheme="majorHAnsi" w:eastAsia="Times New Roman" w:hAnsiTheme="majorHAnsi" w:cstheme="majorHAnsi"/>
                <w:sz w:val="24"/>
                <w:szCs w:val="24"/>
              </w:rPr>
              <w:t>Art. 350.  As demonstrações atuariais devem ser elaboradas e enviadas anualmente nos casos de planos que possuam benefícios concedidos ou a conceder.</w:t>
            </w:r>
          </w:p>
        </w:tc>
        <w:tc>
          <w:tcPr>
            <w:tcW w:w="4074" w:type="dxa"/>
          </w:tcPr>
          <w:p w14:paraId="7F9DEBA6" w14:textId="0C9FA2CD" w:rsidR="00815BB1" w:rsidRPr="00D462F0" w:rsidRDefault="00815BB1" w:rsidP="00D462F0">
            <w:pPr>
              <w:jc w:val="both"/>
              <w:rPr>
                <w:rFonts w:asciiTheme="majorHAnsi" w:eastAsia="Times New Roman" w:hAnsiTheme="majorHAnsi" w:cstheme="majorHAnsi"/>
                <w:bCs/>
                <w:sz w:val="24"/>
                <w:szCs w:val="24"/>
              </w:rPr>
            </w:pPr>
            <w:r w:rsidRPr="00D462F0">
              <w:rPr>
                <w:rFonts w:asciiTheme="majorHAnsi" w:eastAsia="Times New Roman" w:hAnsiTheme="majorHAnsi" w:cstheme="majorHAnsi"/>
                <w:sz w:val="24"/>
                <w:szCs w:val="24"/>
              </w:rPr>
              <w:t>Art. 350.  ...</w:t>
            </w:r>
          </w:p>
          <w:p w14:paraId="106958E1" w14:textId="731A7931" w:rsidR="00815BB1" w:rsidRPr="00D462F0" w:rsidRDefault="00815BB1" w:rsidP="00D462F0">
            <w:pPr>
              <w:jc w:val="both"/>
              <w:rPr>
                <w:rFonts w:asciiTheme="majorHAnsi" w:hAnsiTheme="majorHAnsi" w:cstheme="majorHAnsi"/>
                <w:bCs/>
                <w:sz w:val="24"/>
                <w:szCs w:val="24"/>
              </w:rPr>
            </w:pPr>
          </w:p>
        </w:tc>
        <w:tc>
          <w:tcPr>
            <w:tcW w:w="4074" w:type="dxa"/>
            <w:vAlign w:val="center"/>
          </w:tcPr>
          <w:p w14:paraId="34836F6E" w14:textId="2697AA58"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Sem alteração</w:t>
            </w:r>
          </w:p>
        </w:tc>
        <w:tc>
          <w:tcPr>
            <w:tcW w:w="4075" w:type="dxa"/>
          </w:tcPr>
          <w:p w14:paraId="31569193" w14:textId="77777777" w:rsidR="00815BB1" w:rsidRPr="00D462F0" w:rsidRDefault="00815BB1" w:rsidP="00D462F0">
            <w:pPr>
              <w:jc w:val="both"/>
              <w:rPr>
                <w:rFonts w:asciiTheme="majorHAnsi" w:hAnsiTheme="majorHAnsi" w:cstheme="majorHAnsi"/>
                <w:bCs/>
                <w:sz w:val="24"/>
                <w:szCs w:val="24"/>
              </w:rPr>
            </w:pPr>
          </w:p>
        </w:tc>
      </w:tr>
      <w:tr w:rsidR="00815BB1" w:rsidRPr="00C93770" w14:paraId="465D3851" w14:textId="77777777" w:rsidTr="1756A420">
        <w:tc>
          <w:tcPr>
            <w:tcW w:w="4074" w:type="dxa"/>
          </w:tcPr>
          <w:p w14:paraId="762D34B9" w14:textId="35B06F33" w:rsidR="00815BB1" w:rsidRPr="00D462F0" w:rsidRDefault="00815BB1" w:rsidP="00D462F0">
            <w:pPr>
              <w:tabs>
                <w:tab w:val="left" w:pos="0"/>
              </w:tabs>
              <w:jc w:val="both"/>
              <w:rPr>
                <w:rFonts w:asciiTheme="majorHAnsi" w:hAnsiTheme="majorHAnsi" w:cstheme="majorHAnsi"/>
                <w:sz w:val="24"/>
                <w:szCs w:val="24"/>
              </w:rPr>
            </w:pPr>
            <w:r w:rsidRPr="00D462F0">
              <w:rPr>
                <w:rFonts w:asciiTheme="majorHAnsi" w:eastAsia="Times New Roman" w:hAnsiTheme="majorHAnsi" w:cstheme="majorHAnsi"/>
                <w:color w:val="EE0000"/>
                <w:sz w:val="24"/>
                <w:szCs w:val="24"/>
              </w:rPr>
              <w:t>Parágrafo único</w:t>
            </w:r>
            <w:r w:rsidRPr="00D462F0">
              <w:rPr>
                <w:rFonts w:asciiTheme="majorHAnsi" w:eastAsia="Times New Roman" w:hAnsiTheme="majorHAnsi" w:cstheme="majorHAnsi"/>
                <w:sz w:val="24"/>
                <w:szCs w:val="24"/>
              </w:rPr>
              <w:t xml:space="preserve">.  A elaboração e envio das demonstrações atuariais é </w:t>
            </w:r>
            <w:r w:rsidRPr="00D462F0">
              <w:rPr>
                <w:rFonts w:asciiTheme="majorHAnsi" w:eastAsia="Times New Roman" w:hAnsiTheme="majorHAnsi" w:cstheme="majorHAnsi"/>
                <w:sz w:val="24"/>
                <w:szCs w:val="24"/>
              </w:rPr>
              <w:lastRenderedPageBreak/>
              <w:t>facultativa para os planos de benefícios constituídos na modalidade de contribuição definida cujos saldos contábeis sejam nulos nas contas Benefício Definido do grupo de contas das provisões matemáticas.</w:t>
            </w:r>
          </w:p>
        </w:tc>
        <w:tc>
          <w:tcPr>
            <w:tcW w:w="4074" w:type="dxa"/>
          </w:tcPr>
          <w:p w14:paraId="3F4C90BF" w14:textId="4CA6BF29" w:rsidR="00815BB1" w:rsidRPr="00D462F0" w:rsidRDefault="00815BB1" w:rsidP="00D462F0">
            <w:pPr>
              <w:jc w:val="both"/>
              <w:rPr>
                <w:rFonts w:asciiTheme="majorHAnsi" w:hAnsiTheme="majorHAnsi" w:cstheme="majorHAnsi"/>
                <w:bCs/>
                <w:sz w:val="24"/>
                <w:szCs w:val="24"/>
              </w:rPr>
            </w:pPr>
            <w:r w:rsidRPr="00D462F0">
              <w:rPr>
                <w:rFonts w:asciiTheme="majorHAnsi" w:eastAsia="Times New Roman" w:hAnsiTheme="majorHAnsi" w:cstheme="majorHAnsi"/>
                <w:bCs/>
                <w:color w:val="0000FF"/>
                <w:sz w:val="24"/>
                <w:szCs w:val="24"/>
              </w:rPr>
              <w:lastRenderedPageBreak/>
              <w:t>§ 1</w:t>
            </w:r>
            <w:proofErr w:type="gramStart"/>
            <w:r w:rsidRPr="00D462F0">
              <w:rPr>
                <w:rFonts w:asciiTheme="majorHAnsi" w:eastAsia="Times New Roman" w:hAnsiTheme="majorHAnsi" w:cstheme="majorHAnsi"/>
                <w:bCs/>
                <w:color w:val="0000FF"/>
                <w:sz w:val="24"/>
                <w:szCs w:val="24"/>
              </w:rPr>
              <w:t xml:space="preserve">º  </w:t>
            </w:r>
            <w:r w:rsidRPr="00D462F0">
              <w:rPr>
                <w:rFonts w:asciiTheme="majorHAnsi" w:eastAsia="Times New Roman" w:hAnsiTheme="majorHAnsi" w:cstheme="majorHAnsi"/>
                <w:bCs/>
                <w:sz w:val="24"/>
                <w:szCs w:val="24"/>
              </w:rPr>
              <w:t>A</w:t>
            </w:r>
            <w:proofErr w:type="gramEnd"/>
            <w:r w:rsidRPr="00D462F0">
              <w:rPr>
                <w:rFonts w:asciiTheme="majorHAnsi" w:eastAsia="Times New Roman" w:hAnsiTheme="majorHAnsi" w:cstheme="majorHAnsi"/>
                <w:bCs/>
                <w:sz w:val="24"/>
                <w:szCs w:val="24"/>
              </w:rPr>
              <w:t xml:space="preserve"> elaboração e envio das demonstrações atuariais é facultativa </w:t>
            </w:r>
            <w:r w:rsidRPr="00D462F0">
              <w:rPr>
                <w:rFonts w:asciiTheme="majorHAnsi" w:eastAsia="Times New Roman" w:hAnsiTheme="majorHAnsi" w:cstheme="majorHAnsi"/>
                <w:bCs/>
                <w:sz w:val="24"/>
                <w:szCs w:val="24"/>
              </w:rPr>
              <w:lastRenderedPageBreak/>
              <w:t>para os planos de benefícios constituídos na modalidade de contribuição definida cujos saldos contábeis sejam nulos nas contas Benefício Definido do grupo de contas das provisões matemáticas.</w:t>
            </w:r>
          </w:p>
        </w:tc>
        <w:tc>
          <w:tcPr>
            <w:tcW w:w="4074" w:type="dxa"/>
            <w:vAlign w:val="center"/>
          </w:tcPr>
          <w:p w14:paraId="7759CCD2" w14:textId="3400543F" w:rsidR="00815BB1" w:rsidRPr="00D462F0" w:rsidRDefault="00815BB1"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lastRenderedPageBreak/>
              <w:t>Renumeração de parágrafo.</w:t>
            </w:r>
          </w:p>
        </w:tc>
        <w:tc>
          <w:tcPr>
            <w:tcW w:w="4075" w:type="dxa"/>
          </w:tcPr>
          <w:p w14:paraId="4B138189" w14:textId="77777777" w:rsidR="00815BB1" w:rsidRPr="00D462F0" w:rsidRDefault="00815BB1" w:rsidP="00D462F0">
            <w:pPr>
              <w:jc w:val="both"/>
              <w:rPr>
                <w:rFonts w:asciiTheme="majorHAnsi" w:hAnsiTheme="majorHAnsi" w:cstheme="majorHAnsi"/>
                <w:bCs/>
                <w:sz w:val="24"/>
                <w:szCs w:val="24"/>
              </w:rPr>
            </w:pPr>
          </w:p>
        </w:tc>
      </w:tr>
      <w:tr w:rsidR="00815BB1" w:rsidRPr="00C93770" w14:paraId="65DE335E" w14:textId="77777777" w:rsidTr="1756A420">
        <w:tc>
          <w:tcPr>
            <w:tcW w:w="4074" w:type="dxa"/>
          </w:tcPr>
          <w:p w14:paraId="0BACD240" w14:textId="77777777" w:rsidR="00815BB1" w:rsidRPr="00D462F0" w:rsidRDefault="00815BB1" w:rsidP="00D462F0">
            <w:pPr>
              <w:jc w:val="both"/>
              <w:rPr>
                <w:rFonts w:asciiTheme="majorHAnsi" w:eastAsia="Times New Roman" w:hAnsiTheme="majorHAnsi" w:cstheme="majorHAnsi"/>
                <w:sz w:val="24"/>
                <w:szCs w:val="24"/>
              </w:rPr>
            </w:pPr>
          </w:p>
          <w:p w14:paraId="01464336" w14:textId="77777777" w:rsidR="00815BB1" w:rsidRPr="00D462F0" w:rsidRDefault="00815BB1" w:rsidP="00D462F0">
            <w:pPr>
              <w:tabs>
                <w:tab w:val="left" w:pos="0"/>
              </w:tabs>
              <w:jc w:val="both"/>
              <w:rPr>
                <w:rFonts w:asciiTheme="majorHAnsi" w:hAnsiTheme="majorHAnsi" w:cstheme="majorHAnsi"/>
                <w:sz w:val="24"/>
                <w:szCs w:val="24"/>
              </w:rPr>
            </w:pPr>
          </w:p>
        </w:tc>
        <w:tc>
          <w:tcPr>
            <w:tcW w:w="4074" w:type="dxa"/>
          </w:tcPr>
          <w:p w14:paraId="7F8D228A" w14:textId="000AA12B"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º  O</w:t>
            </w:r>
            <w:proofErr w:type="gramEnd"/>
            <w:r w:rsidRPr="00D462F0">
              <w:rPr>
                <w:rFonts w:asciiTheme="majorHAnsi" w:hAnsiTheme="majorHAnsi" w:cstheme="majorHAnsi"/>
                <w:bCs/>
                <w:color w:val="0000FF"/>
                <w:sz w:val="24"/>
                <w:szCs w:val="24"/>
              </w:rPr>
              <w:t xml:space="preserve"> disposto no § 1º não se aplica no caso de planos de benefícios que apresentem parecer atuarial ou de auditor independente adverso ou com ressalvas.</w:t>
            </w:r>
            <w:r w:rsidRPr="00D462F0">
              <w:rPr>
                <w:rFonts w:asciiTheme="majorHAnsi" w:eastAsia="Times New Roman" w:hAnsiTheme="majorHAnsi" w:cstheme="majorHAnsi"/>
                <w:bCs/>
                <w:color w:val="002060"/>
                <w:sz w:val="24"/>
                <w:szCs w:val="24"/>
              </w:rPr>
              <w:t xml:space="preserve"> </w:t>
            </w:r>
          </w:p>
        </w:tc>
        <w:tc>
          <w:tcPr>
            <w:tcW w:w="4074" w:type="dxa"/>
            <w:vAlign w:val="center"/>
          </w:tcPr>
          <w:p w14:paraId="6473039D" w14:textId="32D59FC6" w:rsidR="00815BB1" w:rsidRPr="00D462F0" w:rsidRDefault="00815BB1" w:rsidP="00D462F0">
            <w:pPr>
              <w:jc w:val="both"/>
              <w:rPr>
                <w:rFonts w:asciiTheme="majorHAnsi" w:hAnsiTheme="majorHAnsi" w:cstheme="majorHAnsi"/>
                <w:sz w:val="24"/>
                <w:szCs w:val="24"/>
              </w:rPr>
            </w:pPr>
            <w:r w:rsidRPr="00D462F0">
              <w:rPr>
                <w:rFonts w:asciiTheme="majorHAnsi" w:eastAsia="Times New Roman" w:hAnsiTheme="majorHAnsi" w:cstheme="majorHAnsi"/>
                <w:sz w:val="24"/>
                <w:szCs w:val="24"/>
              </w:rPr>
              <w:t>Permitir o recebimento, pela autarquia, de informações necessárias para o monitoramento e fiscalização dos planos que apresentem pareceres atuariais ou de auditores independentes adversos ou com ressalvas.</w:t>
            </w:r>
          </w:p>
        </w:tc>
        <w:tc>
          <w:tcPr>
            <w:tcW w:w="4075" w:type="dxa"/>
          </w:tcPr>
          <w:p w14:paraId="2B5E909A" w14:textId="77777777" w:rsidR="00815BB1" w:rsidRPr="00D462F0" w:rsidRDefault="00815BB1" w:rsidP="00D462F0">
            <w:pPr>
              <w:jc w:val="both"/>
              <w:rPr>
                <w:rFonts w:asciiTheme="majorHAnsi" w:hAnsiTheme="majorHAnsi" w:cstheme="majorHAnsi"/>
                <w:bCs/>
                <w:sz w:val="24"/>
                <w:szCs w:val="24"/>
              </w:rPr>
            </w:pPr>
          </w:p>
        </w:tc>
      </w:tr>
      <w:tr w:rsidR="00815BB1" w:rsidRPr="00C93770" w14:paraId="50EA9B6A" w14:textId="77777777" w:rsidTr="1756A420">
        <w:tc>
          <w:tcPr>
            <w:tcW w:w="4074" w:type="dxa"/>
          </w:tcPr>
          <w:p w14:paraId="6D85BA2E" w14:textId="53C8B7A3"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sz w:val="24"/>
                <w:szCs w:val="24"/>
              </w:rPr>
              <w:t>...</w:t>
            </w:r>
          </w:p>
        </w:tc>
        <w:tc>
          <w:tcPr>
            <w:tcW w:w="4074" w:type="dxa"/>
          </w:tcPr>
          <w:p w14:paraId="3E447737" w14:textId="4953996B"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sz w:val="24"/>
                <w:szCs w:val="24"/>
              </w:rPr>
              <w:t>...</w:t>
            </w:r>
          </w:p>
        </w:tc>
        <w:tc>
          <w:tcPr>
            <w:tcW w:w="4074" w:type="dxa"/>
          </w:tcPr>
          <w:p w14:paraId="639E572A" w14:textId="77777777" w:rsidR="00815BB1" w:rsidRPr="00D462F0" w:rsidRDefault="00815BB1" w:rsidP="00D462F0">
            <w:pPr>
              <w:jc w:val="both"/>
              <w:rPr>
                <w:rFonts w:asciiTheme="majorHAnsi" w:hAnsiTheme="majorHAnsi" w:cstheme="majorHAnsi"/>
                <w:sz w:val="24"/>
                <w:szCs w:val="24"/>
              </w:rPr>
            </w:pPr>
          </w:p>
        </w:tc>
        <w:tc>
          <w:tcPr>
            <w:tcW w:w="4075" w:type="dxa"/>
          </w:tcPr>
          <w:p w14:paraId="4C82CC76" w14:textId="77777777" w:rsidR="00815BB1" w:rsidRPr="00D462F0" w:rsidRDefault="00815BB1" w:rsidP="00D462F0">
            <w:pPr>
              <w:jc w:val="both"/>
              <w:rPr>
                <w:rFonts w:asciiTheme="majorHAnsi" w:hAnsiTheme="majorHAnsi" w:cstheme="majorHAnsi"/>
                <w:bCs/>
                <w:sz w:val="24"/>
                <w:szCs w:val="24"/>
              </w:rPr>
            </w:pPr>
          </w:p>
        </w:tc>
      </w:tr>
      <w:tr w:rsidR="00815BB1" w:rsidRPr="00C93770" w14:paraId="6E08F42B" w14:textId="77777777" w:rsidTr="1756A420">
        <w:tc>
          <w:tcPr>
            <w:tcW w:w="4074" w:type="dxa"/>
          </w:tcPr>
          <w:p w14:paraId="2457B9E1" w14:textId="77777777" w:rsidR="00815BB1" w:rsidRPr="00D462F0" w:rsidRDefault="00815BB1" w:rsidP="008F3FAE">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II</w:t>
            </w:r>
          </w:p>
          <w:p w14:paraId="53591576" w14:textId="5482B08C" w:rsidR="00815BB1" w:rsidRPr="00D462F0" w:rsidRDefault="00815BB1" w:rsidP="008F3FAE">
            <w:pPr>
              <w:jc w:val="center"/>
              <w:rPr>
                <w:rFonts w:asciiTheme="majorHAnsi" w:hAnsiTheme="majorHAnsi" w:cstheme="majorHAnsi"/>
                <w:b/>
                <w:bCs/>
                <w:color w:val="000000"/>
                <w:sz w:val="24"/>
                <w:szCs w:val="24"/>
              </w:rPr>
            </w:pPr>
            <w:r w:rsidRPr="00D462F0">
              <w:rPr>
                <w:rFonts w:asciiTheme="majorHAnsi" w:hAnsiTheme="majorHAnsi" w:cstheme="majorHAnsi"/>
                <w:b/>
                <w:bCs/>
                <w:sz w:val="24"/>
                <w:szCs w:val="24"/>
              </w:rPr>
              <w:t>Informações Contábeis</w:t>
            </w:r>
          </w:p>
        </w:tc>
        <w:tc>
          <w:tcPr>
            <w:tcW w:w="4074" w:type="dxa"/>
          </w:tcPr>
          <w:p w14:paraId="34BBD376" w14:textId="77777777" w:rsidR="00815BB1" w:rsidRPr="00D462F0" w:rsidRDefault="00815BB1" w:rsidP="008F3FAE">
            <w:pPr>
              <w:tabs>
                <w:tab w:val="left" w:pos="0"/>
              </w:tabs>
              <w:jc w:val="center"/>
              <w:rPr>
                <w:rFonts w:asciiTheme="majorHAnsi" w:hAnsiTheme="majorHAnsi" w:cstheme="majorHAnsi"/>
                <w:b/>
                <w:bCs/>
                <w:sz w:val="24"/>
                <w:szCs w:val="24"/>
              </w:rPr>
            </w:pPr>
            <w:r w:rsidRPr="00D462F0">
              <w:rPr>
                <w:rFonts w:asciiTheme="majorHAnsi" w:hAnsiTheme="majorHAnsi" w:cstheme="majorHAnsi"/>
                <w:b/>
                <w:bCs/>
                <w:sz w:val="24"/>
                <w:szCs w:val="24"/>
              </w:rPr>
              <w:t>Seção II</w:t>
            </w:r>
          </w:p>
          <w:p w14:paraId="1B99358C" w14:textId="24AC1F39" w:rsidR="00815BB1" w:rsidRPr="00D462F0" w:rsidRDefault="00815BB1" w:rsidP="008F3FAE">
            <w:pPr>
              <w:jc w:val="center"/>
              <w:rPr>
                <w:rFonts w:asciiTheme="majorHAnsi" w:hAnsiTheme="majorHAnsi" w:cstheme="majorHAnsi"/>
                <w:b/>
                <w:bCs/>
                <w:color w:val="000000"/>
                <w:sz w:val="24"/>
                <w:szCs w:val="24"/>
              </w:rPr>
            </w:pPr>
            <w:r w:rsidRPr="00D462F0">
              <w:rPr>
                <w:rFonts w:asciiTheme="majorHAnsi" w:hAnsiTheme="majorHAnsi" w:cstheme="majorHAnsi"/>
                <w:b/>
                <w:bCs/>
                <w:sz w:val="24"/>
                <w:szCs w:val="24"/>
              </w:rPr>
              <w:t>Informações Contábeis</w:t>
            </w:r>
          </w:p>
        </w:tc>
        <w:tc>
          <w:tcPr>
            <w:tcW w:w="4074" w:type="dxa"/>
          </w:tcPr>
          <w:p w14:paraId="5FA801FE" w14:textId="77777777" w:rsidR="00815BB1" w:rsidRPr="00D462F0" w:rsidRDefault="00815BB1" w:rsidP="00D462F0">
            <w:pPr>
              <w:jc w:val="both"/>
              <w:rPr>
                <w:rFonts w:asciiTheme="majorHAnsi" w:hAnsiTheme="majorHAnsi" w:cstheme="majorHAnsi"/>
                <w:sz w:val="24"/>
                <w:szCs w:val="24"/>
              </w:rPr>
            </w:pPr>
          </w:p>
        </w:tc>
        <w:tc>
          <w:tcPr>
            <w:tcW w:w="4075" w:type="dxa"/>
          </w:tcPr>
          <w:p w14:paraId="4B6147B6" w14:textId="77777777" w:rsidR="00815BB1" w:rsidRPr="00D462F0" w:rsidRDefault="00815BB1" w:rsidP="00D462F0">
            <w:pPr>
              <w:jc w:val="both"/>
              <w:rPr>
                <w:rFonts w:asciiTheme="majorHAnsi" w:hAnsiTheme="majorHAnsi" w:cstheme="majorHAnsi"/>
                <w:bCs/>
                <w:sz w:val="24"/>
                <w:szCs w:val="24"/>
              </w:rPr>
            </w:pPr>
          </w:p>
        </w:tc>
      </w:tr>
      <w:tr w:rsidR="00815BB1" w:rsidRPr="00C93770" w14:paraId="7C1DDB83" w14:textId="77777777" w:rsidTr="1756A420">
        <w:tc>
          <w:tcPr>
            <w:tcW w:w="4074" w:type="dxa"/>
          </w:tcPr>
          <w:p w14:paraId="688C1AC4" w14:textId="4B4F44DE"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362.  </w:t>
            </w:r>
            <w:r w:rsidR="00E734B5">
              <w:t>As EFPC devem elaborar os seguintes documentos:</w:t>
            </w:r>
          </w:p>
        </w:tc>
        <w:tc>
          <w:tcPr>
            <w:tcW w:w="4074" w:type="dxa"/>
          </w:tcPr>
          <w:p w14:paraId="61EBC8DD" w14:textId="67CDCB39"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Art. 362.  ...</w:t>
            </w:r>
          </w:p>
        </w:tc>
        <w:tc>
          <w:tcPr>
            <w:tcW w:w="4074" w:type="dxa"/>
          </w:tcPr>
          <w:p w14:paraId="2D85A333" w14:textId="77777777" w:rsidR="00815BB1" w:rsidRPr="00D462F0" w:rsidRDefault="00815BB1" w:rsidP="00D462F0">
            <w:pPr>
              <w:jc w:val="both"/>
              <w:rPr>
                <w:rFonts w:asciiTheme="majorHAnsi" w:hAnsiTheme="majorHAnsi" w:cstheme="majorHAnsi"/>
                <w:sz w:val="24"/>
                <w:szCs w:val="24"/>
              </w:rPr>
            </w:pPr>
          </w:p>
        </w:tc>
        <w:tc>
          <w:tcPr>
            <w:tcW w:w="4075" w:type="dxa"/>
          </w:tcPr>
          <w:p w14:paraId="7AD297FE" w14:textId="77777777" w:rsidR="00815BB1" w:rsidRPr="00D462F0" w:rsidRDefault="00815BB1" w:rsidP="00D462F0">
            <w:pPr>
              <w:jc w:val="both"/>
              <w:rPr>
                <w:rFonts w:asciiTheme="majorHAnsi" w:hAnsiTheme="majorHAnsi" w:cstheme="majorHAnsi"/>
                <w:bCs/>
                <w:sz w:val="24"/>
                <w:szCs w:val="24"/>
              </w:rPr>
            </w:pPr>
          </w:p>
        </w:tc>
      </w:tr>
      <w:tr w:rsidR="00815BB1" w:rsidRPr="00C93770" w14:paraId="1860E0D2" w14:textId="77777777" w:rsidTr="1756A420">
        <w:tc>
          <w:tcPr>
            <w:tcW w:w="4074" w:type="dxa"/>
          </w:tcPr>
          <w:p w14:paraId="207B34B1" w14:textId="0B69A59B"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sz w:val="24"/>
                <w:szCs w:val="24"/>
              </w:rPr>
              <w:t>...</w:t>
            </w:r>
          </w:p>
        </w:tc>
        <w:tc>
          <w:tcPr>
            <w:tcW w:w="4074" w:type="dxa"/>
          </w:tcPr>
          <w:p w14:paraId="31A126C5" w14:textId="6F02DF28"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sz w:val="24"/>
                <w:szCs w:val="24"/>
              </w:rPr>
              <w:t>...</w:t>
            </w:r>
          </w:p>
        </w:tc>
        <w:tc>
          <w:tcPr>
            <w:tcW w:w="4074" w:type="dxa"/>
          </w:tcPr>
          <w:p w14:paraId="0E591D73" w14:textId="77777777" w:rsidR="00815BB1" w:rsidRPr="00D462F0" w:rsidRDefault="00815BB1" w:rsidP="00D462F0">
            <w:pPr>
              <w:jc w:val="both"/>
              <w:rPr>
                <w:rFonts w:asciiTheme="majorHAnsi" w:hAnsiTheme="majorHAnsi" w:cstheme="majorHAnsi"/>
                <w:sz w:val="24"/>
                <w:szCs w:val="24"/>
              </w:rPr>
            </w:pPr>
          </w:p>
        </w:tc>
        <w:tc>
          <w:tcPr>
            <w:tcW w:w="4075" w:type="dxa"/>
          </w:tcPr>
          <w:p w14:paraId="0BCB7C01" w14:textId="77777777" w:rsidR="00815BB1" w:rsidRPr="00D462F0" w:rsidRDefault="00815BB1" w:rsidP="00D462F0">
            <w:pPr>
              <w:jc w:val="both"/>
              <w:rPr>
                <w:rFonts w:asciiTheme="majorHAnsi" w:hAnsiTheme="majorHAnsi" w:cstheme="majorHAnsi"/>
                <w:bCs/>
                <w:sz w:val="24"/>
                <w:szCs w:val="24"/>
              </w:rPr>
            </w:pPr>
          </w:p>
        </w:tc>
      </w:tr>
      <w:tr w:rsidR="00815BB1" w:rsidRPr="00C93770" w14:paraId="74391E50" w14:textId="77777777" w:rsidTr="1756A420">
        <w:tc>
          <w:tcPr>
            <w:tcW w:w="4074" w:type="dxa"/>
          </w:tcPr>
          <w:p w14:paraId="579DA371" w14:textId="390BCC9C"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X - </w:t>
            </w:r>
            <w:proofErr w:type="gramStart"/>
            <w:r w:rsidRPr="00D462F0">
              <w:rPr>
                <w:rFonts w:asciiTheme="majorHAnsi" w:hAnsiTheme="majorHAnsi" w:cstheme="majorHAnsi"/>
                <w:sz w:val="24"/>
                <w:szCs w:val="24"/>
              </w:rPr>
              <w:t>manifestação</w:t>
            </w:r>
            <w:proofErr w:type="gramEnd"/>
            <w:r w:rsidRPr="00D462F0">
              <w:rPr>
                <w:rFonts w:asciiTheme="majorHAnsi" w:hAnsiTheme="majorHAnsi" w:cstheme="majorHAnsi"/>
                <w:sz w:val="24"/>
                <w:szCs w:val="24"/>
              </w:rPr>
              <w:t xml:space="preserve"> do conselho deliberativo relativa à aprovação das demonstrações contábeis; </w:t>
            </w:r>
            <w:r w:rsidR="00D81BF2" w:rsidRPr="00FB3502">
              <w:rPr>
                <w:rFonts w:asciiTheme="majorHAnsi" w:hAnsiTheme="majorHAnsi" w:cstheme="majorHAnsi"/>
                <w:color w:val="EE0000"/>
                <w:sz w:val="24"/>
                <w:szCs w:val="24"/>
              </w:rPr>
              <w:t>e</w:t>
            </w:r>
          </w:p>
        </w:tc>
        <w:tc>
          <w:tcPr>
            <w:tcW w:w="4074" w:type="dxa"/>
          </w:tcPr>
          <w:p w14:paraId="55940702" w14:textId="360BC860"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X - </w:t>
            </w:r>
            <w:proofErr w:type="gramStart"/>
            <w:r w:rsidRPr="00D462F0">
              <w:rPr>
                <w:rFonts w:asciiTheme="majorHAnsi" w:hAnsiTheme="majorHAnsi" w:cstheme="majorHAnsi"/>
                <w:bCs/>
                <w:sz w:val="24"/>
                <w:szCs w:val="24"/>
              </w:rPr>
              <w:t>manifestação</w:t>
            </w:r>
            <w:proofErr w:type="gramEnd"/>
            <w:r w:rsidRPr="00D462F0">
              <w:rPr>
                <w:rFonts w:asciiTheme="majorHAnsi" w:hAnsiTheme="majorHAnsi" w:cstheme="majorHAnsi"/>
                <w:bCs/>
                <w:sz w:val="24"/>
                <w:szCs w:val="24"/>
              </w:rPr>
              <w:t xml:space="preserve"> do conselho deliberativo relativa à aprovação das demonstrações contábeis;</w:t>
            </w:r>
            <w:r w:rsidRPr="00D462F0">
              <w:rPr>
                <w:rFonts w:asciiTheme="majorHAnsi" w:hAnsiTheme="majorHAnsi" w:cstheme="majorHAnsi"/>
                <w:strike/>
                <w:color w:val="EE0000"/>
                <w:sz w:val="24"/>
                <w:szCs w:val="24"/>
              </w:rPr>
              <w:t xml:space="preserve"> e</w:t>
            </w:r>
          </w:p>
        </w:tc>
        <w:tc>
          <w:tcPr>
            <w:tcW w:w="4074" w:type="dxa"/>
          </w:tcPr>
          <w:p w14:paraId="2ADDB337" w14:textId="5B740E69"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Exclusão da conjunção "e" ao final do inciso.</w:t>
            </w:r>
          </w:p>
        </w:tc>
        <w:tc>
          <w:tcPr>
            <w:tcW w:w="4075" w:type="dxa"/>
          </w:tcPr>
          <w:p w14:paraId="66BB146F" w14:textId="32CCC722"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 de 2020.</w:t>
            </w:r>
          </w:p>
          <w:p w14:paraId="16311681" w14:textId="650E0AA4"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se trata de exclusão da conjunção "e".</w:t>
            </w:r>
          </w:p>
        </w:tc>
      </w:tr>
      <w:tr w:rsidR="00815BB1" w:rsidRPr="00C93770" w14:paraId="4362B9C1" w14:textId="77777777" w:rsidTr="1756A420">
        <w:tc>
          <w:tcPr>
            <w:tcW w:w="4074" w:type="dxa"/>
          </w:tcPr>
          <w:p w14:paraId="4E4CDFE4" w14:textId="2D211E6B" w:rsidR="00815BB1" w:rsidRPr="00D462F0" w:rsidRDefault="00815BB1" w:rsidP="004E06F1">
            <w:pPr>
              <w:jc w:val="center"/>
              <w:rPr>
                <w:rFonts w:asciiTheme="majorHAnsi" w:hAnsiTheme="majorHAnsi" w:cstheme="majorHAnsi"/>
                <w:color w:val="000000"/>
                <w:sz w:val="24"/>
                <w:szCs w:val="24"/>
              </w:rPr>
            </w:pPr>
            <w:r w:rsidRPr="00D462F0">
              <w:rPr>
                <w:rFonts w:asciiTheme="majorHAnsi" w:hAnsiTheme="majorHAnsi" w:cstheme="majorHAnsi"/>
                <w:sz w:val="24"/>
                <w:szCs w:val="24"/>
              </w:rPr>
              <w:t>...</w:t>
            </w:r>
          </w:p>
        </w:tc>
        <w:tc>
          <w:tcPr>
            <w:tcW w:w="4074" w:type="dxa"/>
          </w:tcPr>
          <w:p w14:paraId="76361F57" w14:textId="6A98B5FA" w:rsidR="00815BB1" w:rsidRPr="00D462F0" w:rsidRDefault="00815BB1" w:rsidP="004E06F1">
            <w:pPr>
              <w:jc w:val="center"/>
              <w:rPr>
                <w:rFonts w:asciiTheme="majorHAnsi" w:hAnsiTheme="majorHAnsi" w:cstheme="majorHAnsi"/>
                <w:bCs/>
                <w:color w:val="000000"/>
                <w:sz w:val="24"/>
                <w:szCs w:val="24"/>
              </w:rPr>
            </w:pPr>
            <w:r w:rsidRPr="00D462F0">
              <w:rPr>
                <w:rFonts w:asciiTheme="majorHAnsi" w:hAnsiTheme="majorHAnsi" w:cstheme="majorHAnsi"/>
                <w:bCs/>
                <w:sz w:val="24"/>
                <w:szCs w:val="24"/>
              </w:rPr>
              <w:t>...</w:t>
            </w:r>
          </w:p>
        </w:tc>
        <w:tc>
          <w:tcPr>
            <w:tcW w:w="4074" w:type="dxa"/>
          </w:tcPr>
          <w:p w14:paraId="155D53EE" w14:textId="77777777" w:rsidR="00815BB1" w:rsidRPr="00D462F0" w:rsidRDefault="00815BB1" w:rsidP="00D462F0">
            <w:pPr>
              <w:jc w:val="both"/>
              <w:rPr>
                <w:rFonts w:asciiTheme="majorHAnsi" w:hAnsiTheme="majorHAnsi" w:cstheme="majorHAnsi"/>
                <w:sz w:val="24"/>
                <w:szCs w:val="24"/>
              </w:rPr>
            </w:pPr>
          </w:p>
        </w:tc>
        <w:tc>
          <w:tcPr>
            <w:tcW w:w="4075" w:type="dxa"/>
          </w:tcPr>
          <w:p w14:paraId="386986BC" w14:textId="77777777" w:rsidR="00815BB1" w:rsidRPr="00D462F0" w:rsidRDefault="00815BB1" w:rsidP="00D462F0">
            <w:pPr>
              <w:jc w:val="both"/>
              <w:rPr>
                <w:rFonts w:asciiTheme="majorHAnsi" w:hAnsiTheme="majorHAnsi" w:cstheme="majorHAnsi"/>
                <w:bCs/>
                <w:sz w:val="24"/>
                <w:szCs w:val="24"/>
              </w:rPr>
            </w:pPr>
          </w:p>
        </w:tc>
      </w:tr>
      <w:tr w:rsidR="00815BB1" w:rsidRPr="00C93770" w14:paraId="44C612DB" w14:textId="77777777" w:rsidTr="1756A420">
        <w:tc>
          <w:tcPr>
            <w:tcW w:w="4074" w:type="dxa"/>
          </w:tcPr>
          <w:p w14:paraId="3D7D0AB0" w14:textId="7F8A201E"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XII - informações extracontábeis conforme a Portaria da Diretoria de Normas mencionada no art. 178.</w:t>
            </w:r>
          </w:p>
        </w:tc>
        <w:tc>
          <w:tcPr>
            <w:tcW w:w="4074" w:type="dxa"/>
          </w:tcPr>
          <w:p w14:paraId="010FD928" w14:textId="70FF191B"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XII - informações extracontábeis conforme a Portaria da Diretoria de Normas mencionada no art. 178</w:t>
            </w:r>
            <w:r w:rsidRPr="00D462F0">
              <w:rPr>
                <w:rFonts w:asciiTheme="majorHAnsi" w:hAnsiTheme="majorHAnsi" w:cstheme="majorHAnsi"/>
                <w:bCs/>
                <w:color w:val="0000FF"/>
                <w:sz w:val="24"/>
                <w:szCs w:val="24"/>
              </w:rPr>
              <w:t>; e</w:t>
            </w:r>
          </w:p>
        </w:tc>
        <w:tc>
          <w:tcPr>
            <w:tcW w:w="4074" w:type="dxa"/>
          </w:tcPr>
          <w:p w14:paraId="580A977D" w14:textId="0573048B"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da conjunção "e" ao final do inciso.</w:t>
            </w:r>
          </w:p>
        </w:tc>
        <w:tc>
          <w:tcPr>
            <w:tcW w:w="4075" w:type="dxa"/>
          </w:tcPr>
          <w:p w14:paraId="2DA3C40B" w14:textId="77777777"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10.411/2020.</w:t>
            </w:r>
          </w:p>
          <w:p w14:paraId="29628CF3" w14:textId="705951CB"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se trata de inclusão da conjunção "e".</w:t>
            </w:r>
          </w:p>
        </w:tc>
      </w:tr>
      <w:tr w:rsidR="00815BB1" w:rsidRPr="00C93770" w14:paraId="6C0D7656" w14:textId="77777777" w:rsidTr="1756A420">
        <w:tc>
          <w:tcPr>
            <w:tcW w:w="4074" w:type="dxa"/>
          </w:tcPr>
          <w:p w14:paraId="420982B9" w14:textId="77777777"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7DCE2775" w14:textId="77777777" w:rsidR="00815BB1" w:rsidRPr="00D462F0" w:rsidRDefault="00815BB1" w:rsidP="00D462F0">
            <w:pPr>
              <w:jc w:val="both"/>
              <w:rPr>
                <w:rFonts w:asciiTheme="majorHAnsi" w:hAnsiTheme="majorHAnsi" w:cstheme="majorHAnsi"/>
                <w:color w:val="000000"/>
                <w:sz w:val="24"/>
                <w:szCs w:val="24"/>
              </w:rPr>
            </w:pPr>
          </w:p>
        </w:tc>
        <w:tc>
          <w:tcPr>
            <w:tcW w:w="4074" w:type="dxa"/>
          </w:tcPr>
          <w:p w14:paraId="68CCB3C7" w14:textId="79E4FEB9"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XIII - parecer do atuário, relativo a cada plano de benefícios previdencial, inclusive</w:t>
            </w:r>
            <w:r w:rsidR="00D54EEC">
              <w:rPr>
                <w:rFonts w:asciiTheme="majorHAnsi" w:hAnsiTheme="majorHAnsi" w:cstheme="majorHAnsi"/>
                <w:bCs/>
                <w:color w:val="0000FF"/>
                <w:sz w:val="24"/>
                <w:szCs w:val="24"/>
              </w:rPr>
              <w:t xml:space="preserve"> para </w:t>
            </w:r>
            <w:r w:rsidR="00D81BF2">
              <w:rPr>
                <w:rFonts w:asciiTheme="majorHAnsi" w:hAnsiTheme="majorHAnsi" w:cstheme="majorHAnsi"/>
                <w:bCs/>
                <w:color w:val="0000FF"/>
                <w:sz w:val="24"/>
                <w:szCs w:val="24"/>
              </w:rPr>
              <w:t xml:space="preserve">os planos de benefícios referidos </w:t>
            </w:r>
            <w:r w:rsidR="00D54EEC">
              <w:rPr>
                <w:rFonts w:asciiTheme="majorHAnsi" w:hAnsiTheme="majorHAnsi" w:cstheme="majorHAnsi"/>
                <w:bCs/>
                <w:color w:val="0000FF"/>
                <w:sz w:val="24"/>
                <w:szCs w:val="24"/>
              </w:rPr>
              <w:t>no §</w:t>
            </w:r>
            <w:r w:rsidR="00D81BF2">
              <w:rPr>
                <w:rFonts w:asciiTheme="majorHAnsi" w:hAnsiTheme="majorHAnsi" w:cstheme="majorHAnsi"/>
                <w:bCs/>
                <w:color w:val="0000FF"/>
                <w:sz w:val="24"/>
                <w:szCs w:val="24"/>
              </w:rPr>
              <w:t xml:space="preserve"> </w:t>
            </w:r>
            <w:r w:rsidR="00D54EEC">
              <w:rPr>
                <w:rFonts w:asciiTheme="majorHAnsi" w:hAnsiTheme="majorHAnsi" w:cstheme="majorHAnsi"/>
                <w:bCs/>
                <w:color w:val="0000FF"/>
                <w:sz w:val="24"/>
                <w:szCs w:val="24"/>
              </w:rPr>
              <w:t>2º do art. 350</w:t>
            </w:r>
            <w:r w:rsidR="00FB3502">
              <w:rPr>
                <w:rFonts w:asciiTheme="majorHAnsi" w:hAnsiTheme="majorHAnsi" w:cstheme="majorHAnsi"/>
                <w:bCs/>
                <w:color w:val="0000FF"/>
                <w:sz w:val="24"/>
                <w:szCs w:val="24"/>
              </w:rPr>
              <w:t xml:space="preserve"> </w:t>
            </w:r>
            <w:r w:rsidR="00D81BF2">
              <w:rPr>
                <w:rFonts w:asciiTheme="majorHAnsi" w:hAnsiTheme="majorHAnsi" w:cstheme="majorHAnsi"/>
                <w:bCs/>
                <w:color w:val="0000FF"/>
                <w:sz w:val="24"/>
                <w:szCs w:val="24"/>
              </w:rPr>
              <w:t>desta Resolução.</w:t>
            </w:r>
          </w:p>
        </w:tc>
        <w:tc>
          <w:tcPr>
            <w:tcW w:w="4074" w:type="dxa"/>
          </w:tcPr>
          <w:p w14:paraId="1019D84D" w14:textId="6115B7FC"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Inclusão de inciso para reproduzir o disposto no art. 17 da Resolução CNPC nº 43, de 2021, e deixar claro na norma a sua exigência juntamente com as demonstrações contábeis, visto que o parecer do atuário é um dos itens das Demonstrações Atuariais.</w:t>
            </w:r>
          </w:p>
        </w:tc>
        <w:tc>
          <w:tcPr>
            <w:tcW w:w="4075" w:type="dxa"/>
          </w:tcPr>
          <w:p w14:paraId="7E52DD5C" w14:textId="626F0E37"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 do art. 4º do Decreto nº 10.411, de2020.</w:t>
            </w:r>
          </w:p>
          <w:p w14:paraId="4A8BB0E1" w14:textId="0EA22ADB"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no inciso II por se tratar de ato normativo destinado a disciplinar direitos ou obrigações definidos em norma hierarquicamente superior, no caso a Resolução CNPC nº 43, de 2021.</w:t>
            </w:r>
          </w:p>
        </w:tc>
      </w:tr>
      <w:tr w:rsidR="00815BB1" w:rsidRPr="00C93770" w14:paraId="1ABE2B6B" w14:textId="77777777" w:rsidTr="1756A420">
        <w:tc>
          <w:tcPr>
            <w:tcW w:w="4074" w:type="dxa"/>
          </w:tcPr>
          <w:p w14:paraId="7887433F" w14:textId="73655AAA"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 1</w:t>
            </w:r>
            <w:proofErr w:type="gramStart"/>
            <w:r w:rsidRPr="00D462F0">
              <w:rPr>
                <w:rFonts w:asciiTheme="majorHAnsi" w:hAnsiTheme="majorHAnsi" w:cstheme="majorHAnsi"/>
                <w:color w:val="000000"/>
                <w:sz w:val="24"/>
                <w:szCs w:val="24"/>
              </w:rPr>
              <w:t>º  Os</w:t>
            </w:r>
            <w:proofErr w:type="gramEnd"/>
            <w:r w:rsidRPr="00D462F0">
              <w:rPr>
                <w:rFonts w:asciiTheme="majorHAnsi" w:hAnsiTheme="majorHAnsi" w:cstheme="majorHAnsi"/>
                <w:color w:val="000000"/>
                <w:sz w:val="24"/>
                <w:szCs w:val="24"/>
              </w:rPr>
              <w:t xml:space="preserve"> documentos elencados nos incisos II a X e na alínea “a” do inciso XI do </w:t>
            </w:r>
            <w:r w:rsidRPr="00FB3502">
              <w:rPr>
                <w:rFonts w:asciiTheme="majorHAnsi" w:hAnsiTheme="majorHAnsi" w:cstheme="majorHAnsi"/>
                <w:i/>
                <w:iCs/>
                <w:color w:val="000000"/>
                <w:sz w:val="24"/>
                <w:szCs w:val="24"/>
              </w:rPr>
              <w:t>caput</w:t>
            </w:r>
            <w:r w:rsidRPr="00D462F0">
              <w:rPr>
                <w:rFonts w:asciiTheme="majorHAnsi" w:hAnsiTheme="majorHAnsi" w:cstheme="majorHAnsi"/>
                <w:color w:val="000000"/>
                <w:sz w:val="24"/>
                <w:szCs w:val="24"/>
              </w:rPr>
              <w:t xml:space="preserve"> devem ser elaborados e aprovados até 31 de março do exercício social subsequente ao de referência.</w:t>
            </w:r>
          </w:p>
        </w:tc>
        <w:tc>
          <w:tcPr>
            <w:tcW w:w="4074" w:type="dxa"/>
          </w:tcPr>
          <w:p w14:paraId="782BB282" w14:textId="349996A6"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1</w:t>
            </w:r>
            <w:proofErr w:type="gramStart"/>
            <w:r w:rsidRPr="00D462F0">
              <w:rPr>
                <w:rFonts w:asciiTheme="majorHAnsi" w:hAnsiTheme="majorHAnsi" w:cstheme="majorHAnsi"/>
                <w:bCs/>
                <w:color w:val="000000"/>
                <w:sz w:val="24"/>
                <w:szCs w:val="24"/>
              </w:rPr>
              <w:t>º  Os</w:t>
            </w:r>
            <w:proofErr w:type="gramEnd"/>
            <w:r w:rsidRPr="00D462F0">
              <w:rPr>
                <w:rFonts w:asciiTheme="majorHAnsi" w:hAnsiTheme="majorHAnsi" w:cstheme="majorHAnsi"/>
                <w:bCs/>
                <w:color w:val="000000"/>
                <w:sz w:val="24"/>
                <w:szCs w:val="24"/>
              </w:rPr>
              <w:t xml:space="preserve"> documentos elencados nos incisos II a X e </w:t>
            </w:r>
            <w:r w:rsidRPr="00D462F0">
              <w:rPr>
                <w:rFonts w:asciiTheme="majorHAnsi" w:hAnsiTheme="majorHAnsi" w:cstheme="majorHAnsi"/>
                <w:bCs/>
                <w:color w:val="0000FF"/>
                <w:sz w:val="24"/>
                <w:szCs w:val="24"/>
              </w:rPr>
              <w:t>XIII</w:t>
            </w:r>
            <w:r w:rsidRPr="00D462F0">
              <w:rPr>
                <w:rFonts w:asciiTheme="majorHAnsi" w:hAnsiTheme="majorHAnsi" w:cstheme="majorHAnsi"/>
                <w:bCs/>
                <w:color w:val="000000"/>
                <w:sz w:val="24"/>
                <w:szCs w:val="24"/>
              </w:rPr>
              <w:t xml:space="preserve"> e na alínea “a” do inciso XI do </w:t>
            </w:r>
            <w:r w:rsidRPr="00D462F0">
              <w:rPr>
                <w:rFonts w:asciiTheme="majorHAnsi" w:hAnsiTheme="majorHAnsi" w:cstheme="majorHAnsi"/>
                <w:bCs/>
                <w:i/>
                <w:color w:val="000000"/>
                <w:sz w:val="24"/>
                <w:szCs w:val="24"/>
              </w:rPr>
              <w:t xml:space="preserve">caput </w:t>
            </w:r>
            <w:r w:rsidRPr="00D462F0">
              <w:rPr>
                <w:rFonts w:asciiTheme="majorHAnsi" w:hAnsiTheme="majorHAnsi" w:cstheme="majorHAnsi"/>
                <w:bCs/>
                <w:color w:val="000000"/>
                <w:sz w:val="24"/>
                <w:szCs w:val="24"/>
              </w:rPr>
              <w:t>devem ser elaborados e aprovados até 31 de março do exercício social subsequente ao de referência.</w:t>
            </w:r>
          </w:p>
        </w:tc>
        <w:tc>
          <w:tcPr>
            <w:tcW w:w="4074" w:type="dxa"/>
          </w:tcPr>
          <w:p w14:paraId="3F6C1159" w14:textId="5F4D8935"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Alteração do § 1º para adequar e incluir o novo inciso XIII no texto do parágrafo.</w:t>
            </w:r>
          </w:p>
        </w:tc>
        <w:tc>
          <w:tcPr>
            <w:tcW w:w="4075" w:type="dxa"/>
          </w:tcPr>
          <w:p w14:paraId="1D747628" w14:textId="77777777"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Inciso III do art. 4º do Decreto nº 10.411/2020.</w:t>
            </w:r>
          </w:p>
          <w:p w14:paraId="2FE2615E" w14:textId="7250B674"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trata de adequação de texto, devido a necessidade de inclusão de novo inciso, e consequentemente atualização do inciso.</w:t>
            </w:r>
          </w:p>
        </w:tc>
      </w:tr>
      <w:tr w:rsidR="00815BB1" w:rsidRPr="00C93770" w14:paraId="2907EA32" w14:textId="77777777" w:rsidTr="1756A420">
        <w:tc>
          <w:tcPr>
            <w:tcW w:w="4074" w:type="dxa"/>
          </w:tcPr>
          <w:p w14:paraId="0C945A4D" w14:textId="6EA985AC"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3258F8D1" w14:textId="45309D72"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1A4E3049" w14:textId="7AF4DA68"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449F2980" w14:textId="1E6BD27A"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w:t>
            </w:r>
          </w:p>
        </w:tc>
      </w:tr>
      <w:tr w:rsidR="00815BB1" w:rsidRPr="00C93770" w14:paraId="3359988E" w14:textId="77777777" w:rsidTr="1756A420">
        <w:tc>
          <w:tcPr>
            <w:tcW w:w="4074" w:type="dxa"/>
          </w:tcPr>
          <w:p w14:paraId="2FB039B6" w14:textId="21EC2208" w:rsidR="00815BB1" w:rsidRPr="00D462F0" w:rsidRDefault="00815BB1"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Art. 363.  ...</w:t>
            </w:r>
          </w:p>
        </w:tc>
        <w:tc>
          <w:tcPr>
            <w:tcW w:w="4074" w:type="dxa"/>
          </w:tcPr>
          <w:p w14:paraId="16A2C1C7" w14:textId="4F18649D" w:rsidR="00815BB1" w:rsidRPr="00D462F0" w:rsidRDefault="00815BB1"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Art. 363.  ...</w:t>
            </w:r>
          </w:p>
        </w:tc>
        <w:tc>
          <w:tcPr>
            <w:tcW w:w="4074" w:type="dxa"/>
          </w:tcPr>
          <w:p w14:paraId="7CF0ADC8" w14:textId="033B49CE"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3847BE3A" w14:textId="148B0F4C"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w:t>
            </w:r>
          </w:p>
        </w:tc>
      </w:tr>
      <w:tr w:rsidR="00815BB1" w:rsidRPr="00C93770" w14:paraId="2DCEE13F" w14:textId="77777777" w:rsidTr="1756A420">
        <w:tc>
          <w:tcPr>
            <w:tcW w:w="4074" w:type="dxa"/>
          </w:tcPr>
          <w:p w14:paraId="0F3E3F21" w14:textId="35D69793"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620889A9" w14:textId="0481BF64"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7C960CD4" w14:textId="009822C5"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23772B8F" w14:textId="677A7EF6"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w:t>
            </w:r>
          </w:p>
        </w:tc>
      </w:tr>
      <w:tr w:rsidR="00815BB1" w:rsidRPr="00C93770" w14:paraId="5F6708D3" w14:textId="77777777" w:rsidTr="1756A420">
        <w:tc>
          <w:tcPr>
            <w:tcW w:w="4074" w:type="dxa"/>
          </w:tcPr>
          <w:p w14:paraId="74A3EE9F" w14:textId="4E558496" w:rsidR="003D63E3"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2</w:t>
            </w:r>
            <w:proofErr w:type="gramStart"/>
            <w:r w:rsidRPr="00D462F0">
              <w:rPr>
                <w:rFonts w:asciiTheme="majorHAnsi" w:hAnsiTheme="majorHAnsi" w:cstheme="majorHAnsi"/>
                <w:sz w:val="24"/>
                <w:szCs w:val="24"/>
              </w:rPr>
              <w:t>º  Os</w:t>
            </w:r>
            <w:proofErr w:type="gramEnd"/>
            <w:r w:rsidRPr="00D462F0">
              <w:rPr>
                <w:rFonts w:asciiTheme="majorHAnsi" w:hAnsiTheme="majorHAnsi" w:cstheme="majorHAnsi"/>
                <w:sz w:val="24"/>
                <w:szCs w:val="24"/>
              </w:rPr>
              <w:t xml:space="preserve"> documentos listados nos incisos II, V, VIII, IX e X e na alínea “a” do inciso XI do art. 362, enviados por meio eletrônico à Previc, devem conter:</w:t>
            </w:r>
          </w:p>
        </w:tc>
        <w:tc>
          <w:tcPr>
            <w:tcW w:w="4074" w:type="dxa"/>
          </w:tcPr>
          <w:p w14:paraId="2A7151DE" w14:textId="5270A7D0" w:rsidR="003D63E3" w:rsidRPr="00D462F0" w:rsidRDefault="003D63E3"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 2</w:t>
            </w:r>
            <w:proofErr w:type="gramStart"/>
            <w:r w:rsidRPr="00D462F0">
              <w:rPr>
                <w:rFonts w:asciiTheme="majorHAnsi" w:hAnsiTheme="majorHAnsi" w:cstheme="majorHAnsi"/>
                <w:color w:val="000000"/>
                <w:sz w:val="24"/>
                <w:szCs w:val="24"/>
              </w:rPr>
              <w:t>º  Os</w:t>
            </w:r>
            <w:proofErr w:type="gramEnd"/>
            <w:r w:rsidRPr="00D462F0">
              <w:rPr>
                <w:rFonts w:asciiTheme="majorHAnsi" w:hAnsiTheme="majorHAnsi" w:cstheme="majorHAnsi"/>
                <w:color w:val="000000"/>
                <w:sz w:val="24"/>
                <w:szCs w:val="24"/>
              </w:rPr>
              <w:t xml:space="preserve"> documentos listados nos incisos II, V</w:t>
            </w:r>
            <w:r w:rsidR="0047766D">
              <w:rPr>
                <w:rFonts w:asciiTheme="majorHAnsi" w:hAnsiTheme="majorHAnsi" w:cstheme="majorHAnsi"/>
                <w:color w:val="000000"/>
                <w:sz w:val="24"/>
                <w:szCs w:val="24"/>
              </w:rPr>
              <w:t xml:space="preserve"> e</w:t>
            </w:r>
            <w:r w:rsidRPr="00D462F0">
              <w:rPr>
                <w:rFonts w:asciiTheme="majorHAnsi" w:hAnsiTheme="majorHAnsi" w:cstheme="majorHAnsi"/>
                <w:color w:val="000000"/>
                <w:sz w:val="24"/>
                <w:szCs w:val="24"/>
              </w:rPr>
              <w:t xml:space="preserve"> VIII, </w:t>
            </w:r>
            <w:r w:rsidRPr="00FB3502">
              <w:rPr>
                <w:rFonts w:asciiTheme="majorHAnsi" w:hAnsiTheme="majorHAnsi" w:cstheme="majorHAnsi"/>
                <w:strike/>
                <w:color w:val="EE0000"/>
                <w:sz w:val="24"/>
                <w:szCs w:val="24"/>
              </w:rPr>
              <w:t>IX e</w:t>
            </w:r>
            <w:r w:rsidRPr="00D462F0">
              <w:rPr>
                <w:rFonts w:asciiTheme="majorHAnsi" w:hAnsiTheme="majorHAnsi" w:cstheme="majorHAnsi"/>
                <w:strike/>
                <w:color w:val="EE0000"/>
                <w:sz w:val="24"/>
                <w:szCs w:val="24"/>
              </w:rPr>
              <w:t> X e na alínea “a” do inciso XI</w:t>
            </w:r>
            <w:r w:rsidRPr="00D462F0">
              <w:rPr>
                <w:rFonts w:asciiTheme="majorHAnsi" w:hAnsiTheme="majorHAnsi" w:cstheme="majorHAnsi"/>
                <w:color w:val="EE0000"/>
                <w:sz w:val="24"/>
                <w:szCs w:val="24"/>
              </w:rPr>
              <w:t> </w:t>
            </w:r>
            <w:r w:rsidRPr="00D462F0">
              <w:rPr>
                <w:rFonts w:asciiTheme="majorHAnsi" w:hAnsiTheme="majorHAnsi" w:cstheme="majorHAnsi"/>
                <w:sz w:val="24"/>
                <w:szCs w:val="24"/>
              </w:rPr>
              <w:t>do art. 362, enviados por meio eletrônico à Previc, devem conter:</w:t>
            </w:r>
          </w:p>
          <w:p w14:paraId="50064791" w14:textId="00EEA584" w:rsidR="00815BB1" w:rsidRPr="00D462F0" w:rsidRDefault="00815BB1" w:rsidP="00D462F0">
            <w:pPr>
              <w:jc w:val="both"/>
              <w:rPr>
                <w:rFonts w:asciiTheme="majorHAnsi" w:hAnsiTheme="majorHAnsi" w:cstheme="majorHAnsi"/>
                <w:bCs/>
                <w:color w:val="000000"/>
                <w:sz w:val="24"/>
                <w:szCs w:val="24"/>
              </w:rPr>
            </w:pPr>
          </w:p>
        </w:tc>
        <w:tc>
          <w:tcPr>
            <w:tcW w:w="4074" w:type="dxa"/>
          </w:tcPr>
          <w:p w14:paraId="625788AF" w14:textId="77777777" w:rsidR="00815BB1" w:rsidRPr="00D462F0" w:rsidRDefault="00815BB1" w:rsidP="00D462F0">
            <w:pPr>
              <w:pStyle w:val="textojustificado"/>
              <w:spacing w:before="120" w:beforeAutospacing="0" w:after="120" w:afterAutospacing="0"/>
              <w:ind w:right="120"/>
              <w:jc w:val="both"/>
              <w:rPr>
                <w:rFonts w:asciiTheme="majorHAnsi" w:hAnsiTheme="majorHAnsi" w:cstheme="majorHAnsi"/>
              </w:rPr>
            </w:pPr>
            <w:r w:rsidRPr="00D462F0">
              <w:rPr>
                <w:rFonts w:asciiTheme="majorHAnsi" w:hAnsiTheme="majorHAnsi" w:cstheme="majorHAnsi"/>
              </w:rPr>
              <w:t>Exclusão das referências do inciso “X" e na alínea “a” do inciso XI”, por estarem indevidas no contexto do parágrafo, haja vista que o inciso X do art. 362 se refere à manifestação do conselho deliberativo relativa à aprovação das demonstrações contábeis e a alínea “a” do inciso XI do art. 362 se remete ao relatório do auditor independente sobre as demonstrações contábeis. Assim, ambos os documentos não necessitam das informações dos incisos I e II do § 2º do art. 363, visto que suas elaborações são de responsabilidade do conselho deliberativo e da auditoria independente, respectivamente.</w:t>
            </w:r>
          </w:p>
          <w:p w14:paraId="1BF45E9E" w14:textId="53239A0F"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17DA0E4A" w14:textId="77777777" w:rsidR="00815BB1" w:rsidRPr="00D462F0" w:rsidRDefault="00815BB1" w:rsidP="00D462F0">
            <w:pPr>
              <w:pStyle w:val="textojustificado"/>
              <w:spacing w:before="120" w:beforeAutospacing="0" w:after="120" w:afterAutospacing="0"/>
              <w:ind w:right="120"/>
              <w:jc w:val="both"/>
              <w:rPr>
                <w:rFonts w:asciiTheme="majorHAnsi" w:hAnsiTheme="majorHAnsi" w:cstheme="majorHAnsi"/>
                <w:bCs/>
              </w:rPr>
            </w:pPr>
            <w:r w:rsidRPr="00D462F0">
              <w:rPr>
                <w:rFonts w:asciiTheme="majorHAnsi" w:hAnsiTheme="majorHAnsi" w:cstheme="majorHAnsi"/>
                <w:bCs/>
              </w:rPr>
              <w:t>Inciso III e IV do art. 4º do Decreto nº 10.411/2020.</w:t>
            </w:r>
          </w:p>
          <w:p w14:paraId="2362E262" w14:textId="77777777" w:rsidR="00815BB1" w:rsidRPr="00D462F0" w:rsidRDefault="00815BB1" w:rsidP="00D462F0">
            <w:pPr>
              <w:pStyle w:val="textojustificado"/>
              <w:spacing w:before="120" w:beforeAutospacing="0" w:after="120" w:afterAutospacing="0"/>
              <w:ind w:left="120" w:right="120"/>
              <w:jc w:val="both"/>
              <w:rPr>
                <w:rFonts w:asciiTheme="majorHAnsi" w:hAnsiTheme="majorHAnsi" w:cstheme="majorHAnsi"/>
                <w:bCs/>
              </w:rPr>
            </w:pPr>
            <w:r w:rsidRPr="00D462F0">
              <w:rPr>
                <w:rFonts w:asciiTheme="majorHAnsi" w:hAnsiTheme="majorHAnsi" w:cstheme="majorHAnsi"/>
                <w:bCs/>
              </w:rPr>
              <w:t> </w:t>
            </w:r>
          </w:p>
          <w:p w14:paraId="08DE9E2E" w14:textId="2393979B"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dispensa de AIR está baseada em ato normativo de baixo impacto, pois trata de exclusão de referências indevidas no corpo do parágrafo e consequentemente atualização do parágrafo.</w:t>
            </w:r>
          </w:p>
        </w:tc>
      </w:tr>
      <w:tr w:rsidR="00815BB1" w:rsidRPr="00C93770" w14:paraId="43A8A2D1" w14:textId="77777777" w:rsidTr="1756A420">
        <w:tc>
          <w:tcPr>
            <w:tcW w:w="4074" w:type="dxa"/>
          </w:tcPr>
          <w:p w14:paraId="43497BF3" w14:textId="702BCC27" w:rsidR="00815BB1" w:rsidRPr="00D462F0" w:rsidRDefault="00815BB1"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524F01E" w14:textId="7515054A" w:rsidR="00815BB1" w:rsidRPr="00D462F0" w:rsidRDefault="00815BB1"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251C9CBF" w14:textId="58C934D8" w:rsidR="00815BB1" w:rsidRPr="00D462F0" w:rsidRDefault="00815BB1" w:rsidP="00D462F0">
            <w:pPr>
              <w:jc w:val="both"/>
              <w:rPr>
                <w:rFonts w:asciiTheme="majorHAnsi" w:hAnsiTheme="majorHAnsi" w:cstheme="majorHAnsi"/>
                <w:sz w:val="24"/>
                <w:szCs w:val="24"/>
              </w:rPr>
            </w:pPr>
            <w:r w:rsidRPr="00D462F0">
              <w:rPr>
                <w:rFonts w:asciiTheme="majorHAnsi" w:hAnsiTheme="majorHAnsi" w:cstheme="majorHAnsi"/>
                <w:sz w:val="24"/>
                <w:szCs w:val="24"/>
              </w:rPr>
              <w:t> </w:t>
            </w:r>
          </w:p>
        </w:tc>
        <w:tc>
          <w:tcPr>
            <w:tcW w:w="4075" w:type="dxa"/>
          </w:tcPr>
          <w:p w14:paraId="55B609F3" w14:textId="39FD2886" w:rsidR="00815BB1" w:rsidRPr="00D462F0" w:rsidRDefault="00815BB1"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w:t>
            </w:r>
          </w:p>
        </w:tc>
      </w:tr>
      <w:tr w:rsidR="00A5652D" w:rsidRPr="00C93770" w14:paraId="6908B55D" w14:textId="77777777" w:rsidTr="1756A420">
        <w:tc>
          <w:tcPr>
            <w:tcW w:w="4074" w:type="dxa"/>
          </w:tcPr>
          <w:p w14:paraId="0AA6418C" w14:textId="77777777"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Seção III</w:t>
            </w:r>
          </w:p>
          <w:p w14:paraId="1E791B96" w14:textId="42BECDF3"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Informações de Investimentos</w:t>
            </w:r>
          </w:p>
        </w:tc>
        <w:tc>
          <w:tcPr>
            <w:tcW w:w="4074" w:type="dxa"/>
          </w:tcPr>
          <w:p w14:paraId="1C499A1B" w14:textId="77777777"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Seção III</w:t>
            </w:r>
          </w:p>
          <w:p w14:paraId="27240044" w14:textId="4EA9BB40" w:rsidR="00A5652D" w:rsidRPr="00D462F0" w:rsidRDefault="00A5652D" w:rsidP="008F3FAE">
            <w:pPr>
              <w:jc w:val="center"/>
              <w:rPr>
                <w:rFonts w:asciiTheme="majorHAnsi" w:hAnsiTheme="majorHAnsi" w:cstheme="majorHAnsi"/>
                <w:bCs/>
                <w:sz w:val="24"/>
                <w:szCs w:val="24"/>
              </w:rPr>
            </w:pPr>
            <w:r w:rsidRPr="00D462F0">
              <w:rPr>
                <w:rFonts w:asciiTheme="majorHAnsi" w:hAnsiTheme="majorHAnsi" w:cstheme="majorHAnsi"/>
                <w:b/>
                <w:sz w:val="24"/>
                <w:szCs w:val="24"/>
              </w:rPr>
              <w:t>Informações de Investimentos</w:t>
            </w:r>
          </w:p>
        </w:tc>
        <w:tc>
          <w:tcPr>
            <w:tcW w:w="4074" w:type="dxa"/>
          </w:tcPr>
          <w:p w14:paraId="2B2B0214" w14:textId="77777777" w:rsidR="00A5652D" w:rsidRPr="00D462F0" w:rsidRDefault="00A5652D" w:rsidP="00D462F0">
            <w:pPr>
              <w:jc w:val="both"/>
              <w:rPr>
                <w:rFonts w:asciiTheme="majorHAnsi" w:hAnsiTheme="majorHAnsi" w:cstheme="majorHAnsi"/>
                <w:sz w:val="24"/>
                <w:szCs w:val="24"/>
              </w:rPr>
            </w:pPr>
          </w:p>
        </w:tc>
        <w:tc>
          <w:tcPr>
            <w:tcW w:w="4075" w:type="dxa"/>
          </w:tcPr>
          <w:p w14:paraId="2BFB76C9" w14:textId="77777777" w:rsidR="00A5652D" w:rsidRPr="00D462F0" w:rsidRDefault="00A5652D" w:rsidP="00D462F0">
            <w:pPr>
              <w:jc w:val="both"/>
              <w:rPr>
                <w:rFonts w:asciiTheme="majorHAnsi" w:eastAsia="Times New Roman" w:hAnsiTheme="majorHAnsi" w:cstheme="majorHAnsi"/>
                <w:bCs/>
                <w:sz w:val="24"/>
                <w:szCs w:val="24"/>
              </w:rPr>
            </w:pPr>
          </w:p>
        </w:tc>
      </w:tr>
      <w:tr w:rsidR="00A5652D" w:rsidRPr="00C93770" w14:paraId="1DA3EE33" w14:textId="77777777" w:rsidTr="1756A420">
        <w:tc>
          <w:tcPr>
            <w:tcW w:w="4074" w:type="dxa"/>
          </w:tcPr>
          <w:p w14:paraId="03F57FA2" w14:textId="77777777"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Subseção I</w:t>
            </w:r>
          </w:p>
          <w:p w14:paraId="6D58A9FC" w14:textId="54427674"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Demonstrativo de Investimentos, Cadastro de Fundos de Investimentos e Política de Investimentos</w:t>
            </w:r>
          </w:p>
        </w:tc>
        <w:tc>
          <w:tcPr>
            <w:tcW w:w="4074" w:type="dxa"/>
          </w:tcPr>
          <w:p w14:paraId="60815DFD" w14:textId="77777777" w:rsidR="00A5652D" w:rsidRPr="00D462F0" w:rsidRDefault="00A5652D" w:rsidP="008F3FAE">
            <w:pPr>
              <w:jc w:val="center"/>
              <w:rPr>
                <w:rFonts w:asciiTheme="majorHAnsi" w:hAnsiTheme="majorHAnsi" w:cstheme="majorHAnsi"/>
                <w:b/>
                <w:sz w:val="24"/>
                <w:szCs w:val="24"/>
              </w:rPr>
            </w:pPr>
            <w:r w:rsidRPr="00D462F0">
              <w:rPr>
                <w:rFonts w:asciiTheme="majorHAnsi" w:hAnsiTheme="majorHAnsi" w:cstheme="majorHAnsi"/>
                <w:b/>
                <w:sz w:val="24"/>
                <w:szCs w:val="24"/>
              </w:rPr>
              <w:t>Subseção I</w:t>
            </w:r>
          </w:p>
          <w:p w14:paraId="7D7E1005" w14:textId="5DFFA7A6" w:rsidR="00A5652D" w:rsidRPr="00D462F0" w:rsidRDefault="00A5652D" w:rsidP="008F3FAE">
            <w:pPr>
              <w:jc w:val="center"/>
              <w:rPr>
                <w:rFonts w:asciiTheme="majorHAnsi" w:hAnsiTheme="majorHAnsi" w:cstheme="majorHAnsi"/>
                <w:bCs/>
                <w:sz w:val="24"/>
                <w:szCs w:val="24"/>
              </w:rPr>
            </w:pPr>
            <w:r w:rsidRPr="00D462F0">
              <w:rPr>
                <w:rFonts w:asciiTheme="majorHAnsi" w:hAnsiTheme="majorHAnsi" w:cstheme="majorHAnsi"/>
                <w:b/>
                <w:sz w:val="24"/>
                <w:szCs w:val="24"/>
              </w:rPr>
              <w:t>Demonstrativo de Investimentos, Cadastro de Fundos de Investimentos e Política de Investimentos</w:t>
            </w:r>
          </w:p>
        </w:tc>
        <w:tc>
          <w:tcPr>
            <w:tcW w:w="4074" w:type="dxa"/>
          </w:tcPr>
          <w:p w14:paraId="68398A2C" w14:textId="77777777" w:rsidR="00A5652D" w:rsidRPr="00D462F0" w:rsidRDefault="00A5652D" w:rsidP="00D462F0">
            <w:pPr>
              <w:jc w:val="both"/>
              <w:rPr>
                <w:rFonts w:asciiTheme="majorHAnsi" w:hAnsiTheme="majorHAnsi" w:cstheme="majorHAnsi"/>
                <w:sz w:val="24"/>
                <w:szCs w:val="24"/>
              </w:rPr>
            </w:pPr>
          </w:p>
        </w:tc>
        <w:tc>
          <w:tcPr>
            <w:tcW w:w="4075" w:type="dxa"/>
          </w:tcPr>
          <w:p w14:paraId="0276ABA8" w14:textId="77777777" w:rsidR="00A5652D" w:rsidRPr="00D462F0" w:rsidRDefault="00A5652D" w:rsidP="00D462F0">
            <w:pPr>
              <w:jc w:val="both"/>
              <w:rPr>
                <w:rFonts w:asciiTheme="majorHAnsi" w:eastAsia="Times New Roman" w:hAnsiTheme="majorHAnsi" w:cstheme="majorHAnsi"/>
                <w:bCs/>
                <w:sz w:val="24"/>
                <w:szCs w:val="24"/>
              </w:rPr>
            </w:pPr>
          </w:p>
        </w:tc>
      </w:tr>
      <w:tr w:rsidR="00A5652D" w:rsidRPr="00C93770" w14:paraId="121ED2E3" w14:textId="77777777" w:rsidTr="1756A420">
        <w:tc>
          <w:tcPr>
            <w:tcW w:w="4074" w:type="dxa"/>
          </w:tcPr>
          <w:p w14:paraId="213D823E" w14:textId="3FAA83AF" w:rsidR="00A5652D" w:rsidRPr="00D462F0" w:rsidRDefault="00A5652D" w:rsidP="008F3FAE">
            <w:pPr>
              <w:jc w:val="center"/>
              <w:rPr>
                <w:rFonts w:asciiTheme="majorHAnsi" w:hAnsiTheme="majorHAnsi" w:cstheme="majorHAnsi"/>
                <w:sz w:val="24"/>
                <w:szCs w:val="24"/>
              </w:rPr>
            </w:pPr>
            <w:r w:rsidRPr="00D462F0">
              <w:rPr>
                <w:rFonts w:asciiTheme="majorHAnsi" w:hAnsiTheme="majorHAnsi" w:cstheme="majorHAnsi"/>
                <w:sz w:val="24"/>
                <w:szCs w:val="24"/>
              </w:rPr>
              <w:lastRenderedPageBreak/>
              <w:t>...</w:t>
            </w:r>
          </w:p>
        </w:tc>
        <w:tc>
          <w:tcPr>
            <w:tcW w:w="4074" w:type="dxa"/>
          </w:tcPr>
          <w:p w14:paraId="4FBA554C" w14:textId="33CF64FF" w:rsidR="00A5652D" w:rsidRPr="00D462F0" w:rsidRDefault="00A5652D" w:rsidP="008F3FAE">
            <w:pPr>
              <w:jc w:val="center"/>
              <w:rPr>
                <w:rFonts w:asciiTheme="majorHAnsi" w:hAnsiTheme="majorHAnsi" w:cstheme="majorHAnsi"/>
                <w:bCs/>
                <w:sz w:val="24"/>
                <w:szCs w:val="24"/>
              </w:rPr>
            </w:pPr>
            <w:r w:rsidRPr="00D462F0">
              <w:rPr>
                <w:rFonts w:asciiTheme="majorHAnsi" w:hAnsiTheme="majorHAnsi" w:cstheme="majorHAnsi"/>
                <w:sz w:val="24"/>
                <w:szCs w:val="24"/>
              </w:rPr>
              <w:t>...</w:t>
            </w:r>
          </w:p>
        </w:tc>
        <w:tc>
          <w:tcPr>
            <w:tcW w:w="4074" w:type="dxa"/>
          </w:tcPr>
          <w:p w14:paraId="3A67171B" w14:textId="77777777" w:rsidR="00A5652D" w:rsidRPr="00D462F0" w:rsidRDefault="00A5652D" w:rsidP="00D462F0">
            <w:pPr>
              <w:jc w:val="both"/>
              <w:rPr>
                <w:rFonts w:asciiTheme="majorHAnsi" w:hAnsiTheme="majorHAnsi" w:cstheme="majorHAnsi"/>
                <w:sz w:val="24"/>
                <w:szCs w:val="24"/>
              </w:rPr>
            </w:pPr>
          </w:p>
        </w:tc>
        <w:tc>
          <w:tcPr>
            <w:tcW w:w="4075" w:type="dxa"/>
          </w:tcPr>
          <w:p w14:paraId="1FEE4020" w14:textId="77777777" w:rsidR="00A5652D" w:rsidRPr="00D462F0" w:rsidRDefault="00A5652D" w:rsidP="00D462F0">
            <w:pPr>
              <w:jc w:val="both"/>
              <w:rPr>
                <w:rFonts w:asciiTheme="majorHAnsi" w:eastAsia="Times New Roman" w:hAnsiTheme="majorHAnsi" w:cstheme="majorHAnsi"/>
                <w:bCs/>
                <w:sz w:val="24"/>
                <w:szCs w:val="24"/>
              </w:rPr>
            </w:pPr>
          </w:p>
        </w:tc>
      </w:tr>
      <w:tr w:rsidR="00A5652D" w:rsidRPr="00C93770" w14:paraId="52813A13" w14:textId="77777777" w:rsidTr="1756A420">
        <w:tc>
          <w:tcPr>
            <w:tcW w:w="4074" w:type="dxa"/>
          </w:tcPr>
          <w:p w14:paraId="719342E3" w14:textId="57D5E9E8"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Art. 366.  A EFPC deve manter cadastro atualizado dos fundos de investimento e dos fundos de investimento em cotas de fundos de investimento constituídos no Brasil:</w:t>
            </w:r>
          </w:p>
        </w:tc>
        <w:tc>
          <w:tcPr>
            <w:tcW w:w="4074" w:type="dxa"/>
          </w:tcPr>
          <w:p w14:paraId="3979FFDE" w14:textId="447B430C"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366.  A EFPC deve manter cadastro atualizado </w:t>
            </w:r>
            <w:r w:rsidRPr="00D462F0">
              <w:rPr>
                <w:rFonts w:asciiTheme="majorHAnsi" w:hAnsiTheme="majorHAnsi" w:cstheme="majorHAnsi"/>
                <w:bCs/>
                <w:strike/>
                <w:color w:val="EE0000"/>
                <w:sz w:val="24"/>
                <w:szCs w:val="24"/>
              </w:rPr>
              <w:t>dos</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color w:val="0000FF"/>
                <w:sz w:val="24"/>
                <w:szCs w:val="24"/>
              </w:rPr>
              <w:t>das</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classes de cotas de </w:t>
            </w:r>
            <w:r w:rsidRPr="00D462F0">
              <w:rPr>
                <w:rFonts w:asciiTheme="majorHAnsi" w:hAnsiTheme="majorHAnsi" w:cstheme="majorHAnsi"/>
                <w:bCs/>
                <w:sz w:val="24"/>
                <w:szCs w:val="24"/>
              </w:rPr>
              <w:t xml:space="preserve">fundos de investimento </w:t>
            </w:r>
            <w:r w:rsidRPr="00D462F0">
              <w:rPr>
                <w:rFonts w:asciiTheme="majorHAnsi" w:hAnsiTheme="majorHAnsi" w:cstheme="majorHAnsi"/>
                <w:bCs/>
                <w:strike/>
                <w:color w:val="EE0000"/>
                <w:sz w:val="24"/>
                <w:szCs w:val="24"/>
              </w:rPr>
              <w:t>dos fundos de investimento em cotas de fundos de investimento</w:t>
            </w:r>
            <w:r w:rsidRPr="00D462F0">
              <w:rPr>
                <w:rFonts w:asciiTheme="majorHAnsi" w:hAnsiTheme="majorHAnsi" w:cstheme="majorHAnsi"/>
                <w:bCs/>
                <w:color w:val="EE0000"/>
                <w:sz w:val="24"/>
                <w:szCs w:val="24"/>
              </w:rPr>
              <w:t xml:space="preserve"> </w:t>
            </w:r>
            <w:r w:rsidRPr="00D462F0">
              <w:rPr>
                <w:rFonts w:asciiTheme="majorHAnsi" w:hAnsiTheme="majorHAnsi" w:cstheme="majorHAnsi"/>
                <w:bCs/>
                <w:sz w:val="24"/>
                <w:szCs w:val="24"/>
              </w:rPr>
              <w:t>constituídos no Brasil:</w:t>
            </w:r>
          </w:p>
        </w:tc>
        <w:tc>
          <w:tcPr>
            <w:tcW w:w="4074" w:type="dxa"/>
          </w:tcPr>
          <w:p w14:paraId="1859B5CD" w14:textId="09D4CA7B"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Adaptação Resolução CMN nº 5.202, de 2025, e Resolução CVM nº175, de 2023, - sem alteração material.</w:t>
            </w:r>
          </w:p>
        </w:tc>
        <w:tc>
          <w:tcPr>
            <w:tcW w:w="4075" w:type="dxa"/>
          </w:tcPr>
          <w:p w14:paraId="44A03E42" w14:textId="5C04B952"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IV do art. 4º do Decreto nº 10.411, de 2020. </w:t>
            </w:r>
          </w:p>
        </w:tc>
      </w:tr>
      <w:tr w:rsidR="00A5652D" w:rsidRPr="00C93770" w14:paraId="11F53FBC" w14:textId="77777777" w:rsidTr="1756A420">
        <w:tc>
          <w:tcPr>
            <w:tcW w:w="4074" w:type="dxa"/>
          </w:tcPr>
          <w:p w14:paraId="429DCB69" w14:textId="06D37CD9" w:rsidR="00A5652D" w:rsidRPr="00D462F0" w:rsidRDefault="00A5652D"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3A915330" w14:textId="3C7AB15C"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sz w:val="24"/>
                <w:szCs w:val="24"/>
              </w:rPr>
              <w:t>...</w:t>
            </w:r>
          </w:p>
        </w:tc>
        <w:tc>
          <w:tcPr>
            <w:tcW w:w="4074" w:type="dxa"/>
          </w:tcPr>
          <w:p w14:paraId="74311C52" w14:textId="77777777" w:rsidR="00A5652D" w:rsidRPr="00D462F0" w:rsidRDefault="00A5652D" w:rsidP="00D462F0">
            <w:pPr>
              <w:jc w:val="both"/>
              <w:rPr>
                <w:rFonts w:asciiTheme="majorHAnsi" w:hAnsiTheme="majorHAnsi" w:cstheme="majorHAnsi"/>
                <w:sz w:val="24"/>
                <w:szCs w:val="24"/>
              </w:rPr>
            </w:pPr>
          </w:p>
        </w:tc>
        <w:tc>
          <w:tcPr>
            <w:tcW w:w="4075" w:type="dxa"/>
          </w:tcPr>
          <w:p w14:paraId="1B18655C" w14:textId="77777777" w:rsidR="00A5652D" w:rsidRPr="00D462F0" w:rsidRDefault="00A5652D" w:rsidP="00D462F0">
            <w:pPr>
              <w:jc w:val="both"/>
              <w:rPr>
                <w:rFonts w:asciiTheme="majorHAnsi" w:hAnsiTheme="majorHAnsi" w:cstheme="majorHAnsi"/>
                <w:bCs/>
                <w:sz w:val="24"/>
                <w:szCs w:val="24"/>
              </w:rPr>
            </w:pPr>
          </w:p>
        </w:tc>
      </w:tr>
      <w:tr w:rsidR="00A5652D" w:rsidRPr="00C93770" w14:paraId="72728EAA" w14:textId="77777777" w:rsidTr="1756A420">
        <w:tc>
          <w:tcPr>
            <w:tcW w:w="4074" w:type="dxa"/>
          </w:tcPr>
          <w:p w14:paraId="089AC373" w14:textId="75B6BCA2"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II - </w:t>
            </w:r>
            <w:proofErr w:type="gramStart"/>
            <w:r w:rsidRPr="00D462F0">
              <w:rPr>
                <w:rFonts w:asciiTheme="majorHAnsi" w:hAnsiTheme="majorHAnsi" w:cstheme="majorHAnsi"/>
                <w:sz w:val="24"/>
                <w:szCs w:val="24"/>
              </w:rPr>
              <w:t>em</w:t>
            </w:r>
            <w:proofErr w:type="gramEnd"/>
            <w:r w:rsidRPr="00D462F0">
              <w:rPr>
                <w:rFonts w:asciiTheme="majorHAnsi" w:hAnsiTheme="majorHAnsi" w:cstheme="majorHAnsi"/>
                <w:sz w:val="24"/>
                <w:szCs w:val="24"/>
              </w:rPr>
              <w:t xml:space="preserve"> que a EFPC seja cotista e o fundo classificado como multimercado, no segmento estruturado. </w:t>
            </w:r>
          </w:p>
        </w:tc>
        <w:tc>
          <w:tcPr>
            <w:tcW w:w="4074" w:type="dxa"/>
          </w:tcPr>
          <w:p w14:paraId="3448D670" w14:textId="7E6F99CB"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II - </w:t>
            </w:r>
            <w:proofErr w:type="gramStart"/>
            <w:r w:rsidRPr="00D462F0">
              <w:rPr>
                <w:rFonts w:asciiTheme="majorHAnsi" w:hAnsiTheme="majorHAnsi" w:cstheme="majorHAnsi"/>
                <w:bCs/>
                <w:sz w:val="24"/>
                <w:szCs w:val="24"/>
              </w:rPr>
              <w:t>em</w:t>
            </w:r>
            <w:proofErr w:type="gramEnd"/>
            <w:r w:rsidRPr="00D462F0">
              <w:rPr>
                <w:rFonts w:asciiTheme="majorHAnsi" w:hAnsiTheme="majorHAnsi" w:cstheme="majorHAnsi"/>
                <w:bCs/>
                <w:sz w:val="24"/>
                <w:szCs w:val="24"/>
              </w:rPr>
              <w:t xml:space="preserve"> que a EFPC seja cotista e </w:t>
            </w:r>
            <w:r w:rsidRPr="00D462F0">
              <w:rPr>
                <w:rFonts w:asciiTheme="majorHAnsi" w:hAnsiTheme="majorHAnsi" w:cstheme="majorHAnsi"/>
                <w:bCs/>
                <w:strike/>
                <w:color w:val="EE0000"/>
                <w:sz w:val="24"/>
                <w:szCs w:val="24"/>
              </w:rPr>
              <w:t>o</w:t>
            </w:r>
            <w:r w:rsidRPr="00D462F0">
              <w:rPr>
                <w:rFonts w:asciiTheme="majorHAnsi" w:hAnsiTheme="majorHAnsi" w:cstheme="majorHAnsi"/>
                <w:bCs/>
                <w:sz w:val="24"/>
                <w:szCs w:val="24"/>
              </w:rPr>
              <w:t xml:space="preserve"> </w:t>
            </w:r>
            <w:r w:rsidRPr="00D462F0">
              <w:rPr>
                <w:rFonts w:asciiTheme="majorHAnsi" w:hAnsiTheme="majorHAnsi" w:cstheme="majorHAnsi"/>
                <w:bCs/>
                <w:color w:val="0000FF"/>
                <w:sz w:val="24"/>
                <w:szCs w:val="24"/>
              </w:rPr>
              <w:t xml:space="preserve">a cota de classe de </w:t>
            </w:r>
            <w:r w:rsidRPr="00D462F0">
              <w:rPr>
                <w:rFonts w:asciiTheme="majorHAnsi" w:hAnsiTheme="majorHAnsi" w:cstheme="majorHAnsi"/>
                <w:bCs/>
                <w:sz w:val="24"/>
                <w:szCs w:val="24"/>
              </w:rPr>
              <w:t xml:space="preserve">fundo </w:t>
            </w:r>
            <w:r w:rsidRPr="00D462F0">
              <w:rPr>
                <w:rFonts w:asciiTheme="majorHAnsi" w:hAnsiTheme="majorHAnsi" w:cstheme="majorHAnsi"/>
                <w:bCs/>
                <w:color w:val="0000FF"/>
                <w:sz w:val="24"/>
                <w:szCs w:val="24"/>
              </w:rPr>
              <w:t xml:space="preserve">de investimento </w:t>
            </w:r>
            <w:r w:rsidRPr="00D462F0">
              <w:rPr>
                <w:rFonts w:asciiTheme="majorHAnsi" w:hAnsiTheme="majorHAnsi" w:cstheme="majorHAnsi"/>
                <w:bCs/>
                <w:sz w:val="24"/>
                <w:szCs w:val="24"/>
              </w:rPr>
              <w:t xml:space="preserve">classificado como multimercado, no segmento estruturado. </w:t>
            </w:r>
          </w:p>
        </w:tc>
        <w:tc>
          <w:tcPr>
            <w:tcW w:w="4074" w:type="dxa"/>
          </w:tcPr>
          <w:p w14:paraId="1A6C0632" w14:textId="4620181F"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Adaptação Resolução CMN nº 5.202</w:t>
            </w:r>
            <w:proofErr w:type="gramStart"/>
            <w:r w:rsidRPr="00D462F0">
              <w:rPr>
                <w:rFonts w:asciiTheme="majorHAnsi" w:hAnsiTheme="majorHAnsi" w:cstheme="majorHAnsi"/>
                <w:sz w:val="24"/>
                <w:szCs w:val="24"/>
              </w:rPr>
              <w:t>,  de</w:t>
            </w:r>
            <w:proofErr w:type="gramEnd"/>
            <w:r w:rsidRPr="00D462F0">
              <w:rPr>
                <w:rFonts w:asciiTheme="majorHAnsi" w:hAnsiTheme="majorHAnsi" w:cstheme="majorHAnsi"/>
                <w:sz w:val="24"/>
                <w:szCs w:val="24"/>
              </w:rPr>
              <w:t xml:space="preserve"> 2025, e Resolução CVM nº175, de 2023, - sem alteração material.</w:t>
            </w:r>
          </w:p>
          <w:p w14:paraId="69576159" w14:textId="77777777" w:rsidR="00A5652D" w:rsidRPr="00D462F0" w:rsidRDefault="00A5652D" w:rsidP="00D462F0">
            <w:pPr>
              <w:jc w:val="both"/>
              <w:rPr>
                <w:rFonts w:asciiTheme="majorHAnsi" w:hAnsiTheme="majorHAnsi" w:cstheme="majorHAnsi"/>
                <w:sz w:val="24"/>
                <w:szCs w:val="24"/>
              </w:rPr>
            </w:pPr>
          </w:p>
        </w:tc>
        <w:tc>
          <w:tcPr>
            <w:tcW w:w="4075" w:type="dxa"/>
          </w:tcPr>
          <w:p w14:paraId="583E8B4B" w14:textId="3D3672F9"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IV do art. 4º do Decreto nº 10.411, de 2020. </w:t>
            </w:r>
          </w:p>
        </w:tc>
      </w:tr>
      <w:tr w:rsidR="00A5652D" w:rsidRPr="00C93770" w14:paraId="145D7FD7" w14:textId="77777777" w:rsidTr="1756A420">
        <w:tc>
          <w:tcPr>
            <w:tcW w:w="4074" w:type="dxa"/>
          </w:tcPr>
          <w:p w14:paraId="2FD80878" w14:textId="6CE586E2"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Parágrafo único.  O cadastro a que se refere o </w:t>
            </w:r>
            <w:r w:rsidRPr="00FB3502">
              <w:rPr>
                <w:rFonts w:asciiTheme="majorHAnsi" w:hAnsiTheme="majorHAnsi" w:cstheme="majorHAnsi"/>
                <w:i/>
                <w:iCs/>
                <w:sz w:val="24"/>
                <w:szCs w:val="24"/>
              </w:rPr>
              <w:t>caput</w:t>
            </w:r>
            <w:r w:rsidRPr="00D462F0">
              <w:rPr>
                <w:rFonts w:asciiTheme="majorHAnsi" w:hAnsiTheme="majorHAnsi" w:cstheme="majorHAnsi"/>
                <w:sz w:val="24"/>
                <w:szCs w:val="24"/>
              </w:rPr>
              <w:t xml:space="preserve"> deve ser realizado até dez dias da data de aquisição do primeiro lote de cotas de fundo de investimento ou de fundo de investimento em cotas de fundos de investimento.</w:t>
            </w:r>
          </w:p>
        </w:tc>
        <w:tc>
          <w:tcPr>
            <w:tcW w:w="4074" w:type="dxa"/>
          </w:tcPr>
          <w:p w14:paraId="0DC9AF0D" w14:textId="3C74706E"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Parágrafo único.  O cadastro a que se refere o </w:t>
            </w:r>
            <w:r w:rsidRPr="00FB3502">
              <w:rPr>
                <w:rFonts w:asciiTheme="majorHAnsi" w:hAnsiTheme="majorHAnsi" w:cstheme="majorHAnsi"/>
                <w:bCs/>
                <w:i/>
                <w:iCs/>
                <w:sz w:val="24"/>
                <w:szCs w:val="24"/>
              </w:rPr>
              <w:t>caput</w:t>
            </w:r>
            <w:r w:rsidRPr="00D462F0">
              <w:rPr>
                <w:rFonts w:asciiTheme="majorHAnsi" w:hAnsiTheme="majorHAnsi" w:cstheme="majorHAnsi"/>
                <w:bCs/>
                <w:sz w:val="24"/>
                <w:szCs w:val="24"/>
              </w:rPr>
              <w:t xml:space="preserve"> deve ser realizado até dez dias da data de aquisição do primeiro lote de cotas de </w:t>
            </w:r>
            <w:r w:rsidRPr="00D462F0">
              <w:rPr>
                <w:rFonts w:asciiTheme="majorHAnsi" w:hAnsiTheme="majorHAnsi" w:cstheme="majorHAnsi"/>
                <w:bCs/>
                <w:color w:val="0000FF"/>
                <w:sz w:val="24"/>
                <w:szCs w:val="24"/>
              </w:rPr>
              <w:t xml:space="preserve">classe de </w:t>
            </w:r>
            <w:r w:rsidRPr="00D462F0">
              <w:rPr>
                <w:rFonts w:asciiTheme="majorHAnsi" w:hAnsiTheme="majorHAnsi" w:cstheme="majorHAnsi"/>
                <w:bCs/>
                <w:sz w:val="24"/>
                <w:szCs w:val="24"/>
              </w:rPr>
              <w:t xml:space="preserve">fundo de </w:t>
            </w:r>
            <w:proofErr w:type="spellStart"/>
            <w:r w:rsidRPr="00D462F0">
              <w:rPr>
                <w:rFonts w:asciiTheme="majorHAnsi" w:hAnsiTheme="majorHAnsi" w:cstheme="majorHAnsi"/>
                <w:bCs/>
                <w:sz w:val="24"/>
                <w:szCs w:val="24"/>
              </w:rPr>
              <w:t>investimento</w:t>
            </w:r>
            <w:r w:rsidRPr="00D462F0">
              <w:rPr>
                <w:rFonts w:asciiTheme="majorHAnsi" w:hAnsiTheme="majorHAnsi" w:cstheme="majorHAnsi"/>
                <w:bCs/>
                <w:strike/>
                <w:color w:val="EE0000"/>
                <w:sz w:val="24"/>
                <w:szCs w:val="24"/>
              </w:rPr>
              <w:t>ou</w:t>
            </w:r>
            <w:proofErr w:type="spellEnd"/>
            <w:r w:rsidRPr="00D462F0">
              <w:rPr>
                <w:rFonts w:asciiTheme="majorHAnsi" w:hAnsiTheme="majorHAnsi" w:cstheme="majorHAnsi"/>
                <w:bCs/>
                <w:strike/>
                <w:color w:val="EE0000"/>
                <w:sz w:val="24"/>
                <w:szCs w:val="24"/>
              </w:rPr>
              <w:t xml:space="preserve"> de fundo de investimento em cotas de fundos de investimento</w:t>
            </w:r>
            <w:r w:rsidRPr="00D462F0">
              <w:rPr>
                <w:rFonts w:asciiTheme="majorHAnsi" w:hAnsiTheme="majorHAnsi" w:cstheme="majorHAnsi"/>
                <w:bCs/>
                <w:sz w:val="24"/>
                <w:szCs w:val="24"/>
              </w:rPr>
              <w:t>.</w:t>
            </w:r>
          </w:p>
        </w:tc>
        <w:tc>
          <w:tcPr>
            <w:tcW w:w="4074" w:type="dxa"/>
          </w:tcPr>
          <w:p w14:paraId="5A0A0E31" w14:textId="17309822"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Adaptação Resolução CMN nº 5.202, de 2025, e Resolução CVM nº175, de 2023, - sem alteração material.</w:t>
            </w:r>
          </w:p>
          <w:p w14:paraId="0D4D35D4" w14:textId="77777777" w:rsidR="00A5652D" w:rsidRPr="00D462F0" w:rsidRDefault="00A5652D" w:rsidP="00D462F0">
            <w:pPr>
              <w:jc w:val="both"/>
              <w:rPr>
                <w:rFonts w:asciiTheme="majorHAnsi" w:hAnsiTheme="majorHAnsi" w:cstheme="majorHAnsi"/>
                <w:sz w:val="24"/>
                <w:szCs w:val="24"/>
              </w:rPr>
            </w:pPr>
          </w:p>
        </w:tc>
        <w:tc>
          <w:tcPr>
            <w:tcW w:w="4075" w:type="dxa"/>
          </w:tcPr>
          <w:p w14:paraId="6616D104" w14:textId="4ECF4CA9"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IV do art. 4º do Decreto nº 10.411, de 2020. </w:t>
            </w:r>
          </w:p>
        </w:tc>
      </w:tr>
      <w:tr w:rsidR="00A5652D" w:rsidRPr="00C93770" w14:paraId="58AE15FF" w14:textId="77777777" w:rsidTr="1756A420">
        <w:tc>
          <w:tcPr>
            <w:tcW w:w="4074" w:type="dxa"/>
          </w:tcPr>
          <w:p w14:paraId="01BCC797" w14:textId="77777777" w:rsidR="00A5652D" w:rsidRPr="00D462F0" w:rsidRDefault="00A5652D" w:rsidP="008F3FAE">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w:t>
            </w:r>
          </w:p>
          <w:p w14:paraId="61FE1878" w14:textId="42419750" w:rsidR="00A5652D" w:rsidRPr="00D462F0" w:rsidRDefault="00A5652D" w:rsidP="008F3FAE">
            <w:pPr>
              <w:jc w:val="center"/>
              <w:rPr>
                <w:rFonts w:asciiTheme="majorHAnsi" w:hAnsiTheme="majorHAnsi" w:cstheme="majorHAnsi"/>
                <w:b/>
                <w:bCs/>
                <w:color w:val="000000"/>
                <w:sz w:val="24"/>
                <w:szCs w:val="24"/>
              </w:rPr>
            </w:pPr>
            <w:r w:rsidRPr="00D462F0">
              <w:rPr>
                <w:rFonts w:asciiTheme="majorHAnsi" w:hAnsiTheme="majorHAnsi" w:cstheme="majorHAnsi"/>
                <w:b/>
                <w:bCs/>
                <w:sz w:val="24"/>
                <w:szCs w:val="24"/>
              </w:rPr>
              <w:t>Autorização da Custódia e do Extrato de Movimentação e Posição de Títulos Públicos Federais</w:t>
            </w:r>
          </w:p>
        </w:tc>
        <w:tc>
          <w:tcPr>
            <w:tcW w:w="4074" w:type="dxa"/>
          </w:tcPr>
          <w:p w14:paraId="6956BF64" w14:textId="77777777" w:rsidR="00A5652D" w:rsidRPr="00D462F0" w:rsidRDefault="00A5652D" w:rsidP="008F3FAE">
            <w:pPr>
              <w:jc w:val="center"/>
              <w:rPr>
                <w:rFonts w:asciiTheme="majorHAnsi" w:hAnsiTheme="majorHAnsi" w:cstheme="majorHAnsi"/>
                <w:b/>
                <w:bCs/>
                <w:sz w:val="24"/>
                <w:szCs w:val="24"/>
              </w:rPr>
            </w:pPr>
            <w:r w:rsidRPr="00D462F0">
              <w:rPr>
                <w:rFonts w:asciiTheme="majorHAnsi" w:hAnsiTheme="majorHAnsi" w:cstheme="majorHAnsi"/>
                <w:b/>
                <w:bCs/>
                <w:sz w:val="24"/>
                <w:szCs w:val="24"/>
              </w:rPr>
              <w:t>Subseção II</w:t>
            </w:r>
          </w:p>
          <w:p w14:paraId="6BFDAABA" w14:textId="3FF93C51" w:rsidR="00A5652D" w:rsidRPr="00D462F0" w:rsidRDefault="00A5652D" w:rsidP="008F3FAE">
            <w:pPr>
              <w:jc w:val="center"/>
              <w:rPr>
                <w:rFonts w:asciiTheme="majorHAnsi" w:hAnsiTheme="majorHAnsi" w:cstheme="majorHAnsi"/>
                <w:b/>
                <w:bCs/>
                <w:color w:val="000000"/>
                <w:sz w:val="24"/>
                <w:szCs w:val="24"/>
              </w:rPr>
            </w:pPr>
            <w:r w:rsidRPr="00D462F0">
              <w:rPr>
                <w:rFonts w:asciiTheme="majorHAnsi" w:hAnsiTheme="majorHAnsi" w:cstheme="majorHAnsi"/>
                <w:b/>
                <w:bCs/>
                <w:sz w:val="24"/>
                <w:szCs w:val="24"/>
              </w:rPr>
              <w:t>Autorização da Custódia e do Extrato de Movimentação e Posição de Títulos Públicos Federais</w:t>
            </w:r>
          </w:p>
        </w:tc>
        <w:tc>
          <w:tcPr>
            <w:tcW w:w="4074" w:type="dxa"/>
          </w:tcPr>
          <w:p w14:paraId="7D8B9A6D" w14:textId="77777777" w:rsidR="00A5652D" w:rsidRPr="00D462F0" w:rsidRDefault="00A5652D" w:rsidP="00D462F0">
            <w:pPr>
              <w:jc w:val="both"/>
              <w:rPr>
                <w:rFonts w:asciiTheme="majorHAnsi" w:hAnsiTheme="majorHAnsi" w:cstheme="majorHAnsi"/>
                <w:sz w:val="24"/>
                <w:szCs w:val="24"/>
              </w:rPr>
            </w:pPr>
          </w:p>
        </w:tc>
        <w:tc>
          <w:tcPr>
            <w:tcW w:w="4075" w:type="dxa"/>
          </w:tcPr>
          <w:p w14:paraId="6FB04759" w14:textId="77777777" w:rsidR="00A5652D" w:rsidRPr="00D462F0" w:rsidRDefault="00A5652D" w:rsidP="00D462F0">
            <w:pPr>
              <w:jc w:val="both"/>
              <w:rPr>
                <w:rFonts w:asciiTheme="majorHAnsi" w:hAnsiTheme="majorHAnsi" w:cstheme="majorHAnsi"/>
                <w:bCs/>
                <w:sz w:val="24"/>
                <w:szCs w:val="24"/>
              </w:rPr>
            </w:pPr>
          </w:p>
        </w:tc>
      </w:tr>
      <w:tr w:rsidR="00A5652D" w:rsidRPr="00C93770" w14:paraId="646C349D" w14:textId="77777777" w:rsidTr="1756A420">
        <w:tc>
          <w:tcPr>
            <w:tcW w:w="4074" w:type="dxa"/>
          </w:tcPr>
          <w:p w14:paraId="298EAA6F" w14:textId="578BB2DC"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 xml:space="preserve">Art. 367.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D462F0">
              <w:rPr>
                <w:rFonts w:asciiTheme="majorHAnsi" w:hAnsiTheme="majorHAnsi" w:cstheme="majorHAnsi"/>
                <w:sz w:val="24"/>
                <w:szCs w:val="24"/>
              </w:rPr>
              <w:t>a</w:t>
            </w:r>
            <w:proofErr w:type="spellEnd"/>
            <w:r w:rsidRPr="00D462F0">
              <w:rPr>
                <w:rFonts w:asciiTheme="majorHAnsi" w:hAnsiTheme="majorHAnsi" w:cstheme="majorHAnsi"/>
                <w:sz w:val="24"/>
                <w:szCs w:val="24"/>
              </w:rPr>
              <w:t xml:space="preserve"> sistema de registro e de liquidação financeira ou depositário central, observada a regulamentação do Banco Central do Brasil ou da </w:t>
            </w:r>
            <w:r w:rsidRPr="00D462F0">
              <w:rPr>
                <w:rFonts w:asciiTheme="majorHAnsi" w:hAnsiTheme="majorHAnsi" w:cstheme="majorHAnsi"/>
                <w:sz w:val="24"/>
                <w:szCs w:val="24"/>
              </w:rPr>
              <w:lastRenderedPageBreak/>
              <w:t>Comissão de Valores Mobiliários, nas suas respectivas áreas de competência</w:t>
            </w:r>
          </w:p>
        </w:tc>
        <w:tc>
          <w:tcPr>
            <w:tcW w:w="4074" w:type="dxa"/>
          </w:tcPr>
          <w:p w14:paraId="612D3326" w14:textId="25598E0C"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lastRenderedPageBreak/>
              <w:t xml:space="preserve">Art. 367.  A EFPC deve autorizar os administradores e custodiantes das contas de custódia </w:t>
            </w:r>
            <w:r w:rsidRPr="00D462F0">
              <w:rPr>
                <w:rFonts w:asciiTheme="majorHAnsi" w:hAnsiTheme="majorHAnsi" w:cstheme="majorHAnsi"/>
                <w:bCs/>
                <w:color w:val="0000FF"/>
                <w:sz w:val="24"/>
                <w:szCs w:val="24"/>
              </w:rPr>
              <w:t>das classes de cotas,</w:t>
            </w:r>
            <w:r w:rsidRPr="00D462F0">
              <w:rPr>
                <w:rFonts w:asciiTheme="majorHAnsi" w:hAnsiTheme="majorHAnsi" w:cstheme="majorHAnsi"/>
                <w:bCs/>
                <w:sz w:val="24"/>
                <w:szCs w:val="24"/>
              </w:rPr>
              <w:t xml:space="preserve"> dos fundos de investimentos, da carteira administrada e da carteira própria, para que concedam acesso à Previc aos dados e às informações de operações e de posições em ativos financeiros pertencentes à EFPC, aos planos de benefícios, </w:t>
            </w:r>
            <w:r w:rsidRPr="00D462F0">
              <w:rPr>
                <w:rFonts w:asciiTheme="majorHAnsi" w:hAnsiTheme="majorHAnsi" w:cstheme="majorHAnsi"/>
                <w:bCs/>
                <w:strike/>
                <w:color w:val="EE0000"/>
                <w:sz w:val="24"/>
                <w:szCs w:val="24"/>
              </w:rPr>
              <w:t xml:space="preserve">aos </w:t>
            </w:r>
            <w:r w:rsidRPr="00D462F0">
              <w:rPr>
                <w:rFonts w:asciiTheme="majorHAnsi" w:hAnsiTheme="majorHAnsi" w:cstheme="majorHAnsi"/>
                <w:bCs/>
                <w:color w:val="0000FF"/>
                <w:sz w:val="24"/>
                <w:szCs w:val="24"/>
              </w:rPr>
              <w:t xml:space="preserve">às classes de cotas de </w:t>
            </w:r>
            <w:r w:rsidRPr="00D462F0">
              <w:rPr>
                <w:rFonts w:asciiTheme="majorHAnsi" w:hAnsiTheme="majorHAnsi" w:cstheme="majorHAnsi"/>
                <w:bCs/>
                <w:sz w:val="24"/>
                <w:szCs w:val="24"/>
              </w:rPr>
              <w:t xml:space="preserve">fundos de investimento e às </w:t>
            </w:r>
            <w:r w:rsidRPr="00D462F0">
              <w:rPr>
                <w:rFonts w:asciiTheme="majorHAnsi" w:hAnsiTheme="majorHAnsi" w:cstheme="majorHAnsi"/>
                <w:bCs/>
                <w:color w:val="0000FF"/>
                <w:sz w:val="24"/>
                <w:szCs w:val="24"/>
              </w:rPr>
              <w:t xml:space="preserve">cotas de classe exclusivas de </w:t>
            </w:r>
            <w:r w:rsidRPr="00D462F0">
              <w:rPr>
                <w:rFonts w:asciiTheme="majorHAnsi" w:hAnsiTheme="majorHAnsi" w:cstheme="majorHAnsi"/>
                <w:bCs/>
                <w:sz w:val="24"/>
                <w:szCs w:val="24"/>
              </w:rPr>
              <w:t xml:space="preserve">fundos de </w:t>
            </w:r>
            <w:proofErr w:type="spellStart"/>
            <w:r w:rsidRPr="00D462F0">
              <w:rPr>
                <w:rFonts w:asciiTheme="majorHAnsi" w:hAnsiTheme="majorHAnsi" w:cstheme="majorHAnsi"/>
                <w:bCs/>
                <w:sz w:val="24"/>
                <w:szCs w:val="24"/>
              </w:rPr>
              <w:t>investimento</w:t>
            </w:r>
            <w:r w:rsidRPr="00D462F0">
              <w:rPr>
                <w:rFonts w:asciiTheme="majorHAnsi" w:hAnsiTheme="majorHAnsi" w:cstheme="majorHAnsi"/>
                <w:bCs/>
                <w:strike/>
                <w:color w:val="EE0000"/>
                <w:sz w:val="24"/>
                <w:szCs w:val="24"/>
              </w:rPr>
              <w:t>em</w:t>
            </w:r>
            <w:proofErr w:type="spellEnd"/>
            <w:r w:rsidRPr="00D462F0">
              <w:rPr>
                <w:rFonts w:asciiTheme="majorHAnsi" w:hAnsiTheme="majorHAnsi" w:cstheme="majorHAnsi"/>
                <w:bCs/>
                <w:strike/>
                <w:color w:val="EE0000"/>
                <w:sz w:val="24"/>
                <w:szCs w:val="24"/>
              </w:rPr>
              <w:t xml:space="preserve"> cotas de fundos de investimento exclusivos</w:t>
            </w:r>
            <w:r w:rsidRPr="00D462F0">
              <w:rPr>
                <w:rFonts w:asciiTheme="majorHAnsi" w:hAnsiTheme="majorHAnsi" w:cstheme="majorHAnsi"/>
                <w:bCs/>
                <w:sz w:val="24"/>
                <w:szCs w:val="24"/>
              </w:rPr>
              <w:t xml:space="preserve">, junto </w:t>
            </w:r>
            <w:proofErr w:type="spellStart"/>
            <w:r w:rsidRPr="00D462F0">
              <w:rPr>
                <w:rFonts w:asciiTheme="majorHAnsi" w:hAnsiTheme="majorHAnsi" w:cstheme="majorHAnsi"/>
                <w:bCs/>
                <w:sz w:val="24"/>
                <w:szCs w:val="24"/>
              </w:rPr>
              <w:t>a</w:t>
            </w:r>
            <w:proofErr w:type="spellEnd"/>
            <w:r w:rsidRPr="00D462F0">
              <w:rPr>
                <w:rFonts w:asciiTheme="majorHAnsi" w:hAnsiTheme="majorHAnsi" w:cstheme="majorHAnsi"/>
                <w:bCs/>
                <w:sz w:val="24"/>
                <w:szCs w:val="24"/>
              </w:rPr>
              <w:t xml:space="preserve"> sistema de registro e de liquidação financeira ou depositário central, </w:t>
            </w:r>
            <w:r w:rsidRPr="00D462F0">
              <w:rPr>
                <w:rFonts w:asciiTheme="majorHAnsi" w:hAnsiTheme="majorHAnsi" w:cstheme="majorHAnsi"/>
                <w:bCs/>
                <w:sz w:val="24"/>
                <w:szCs w:val="24"/>
              </w:rPr>
              <w:lastRenderedPageBreak/>
              <w:t>observada a regulamentação do Banco Central do Brasil ou da Comissão de Valores Mobiliários, nas suas respectivas áreas de competência</w:t>
            </w:r>
          </w:p>
        </w:tc>
        <w:tc>
          <w:tcPr>
            <w:tcW w:w="4074" w:type="dxa"/>
          </w:tcPr>
          <w:p w14:paraId="77AB19F4"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 Adaptação Resolução CMN nº 5202 e Resolução CVM nº175 - sem alteração material.</w:t>
            </w:r>
          </w:p>
          <w:p w14:paraId="1E1015F1" w14:textId="77777777" w:rsidR="00A5652D" w:rsidRPr="00D462F0" w:rsidRDefault="00A5652D" w:rsidP="00D462F0">
            <w:pPr>
              <w:jc w:val="both"/>
              <w:rPr>
                <w:rFonts w:asciiTheme="majorHAnsi" w:hAnsiTheme="majorHAnsi" w:cstheme="majorHAnsi"/>
                <w:sz w:val="24"/>
                <w:szCs w:val="24"/>
              </w:rPr>
            </w:pPr>
          </w:p>
        </w:tc>
        <w:tc>
          <w:tcPr>
            <w:tcW w:w="4075" w:type="dxa"/>
          </w:tcPr>
          <w:p w14:paraId="6A268FEC" w14:textId="7A0F9D4C"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Inciso IV do art. 4º do Decreto nº 10.411, de 2020.</w:t>
            </w:r>
          </w:p>
        </w:tc>
      </w:tr>
      <w:tr w:rsidR="00A5652D" w:rsidRPr="00C93770" w14:paraId="6D34588F" w14:textId="77777777" w:rsidTr="1756A420">
        <w:tc>
          <w:tcPr>
            <w:tcW w:w="4074" w:type="dxa"/>
          </w:tcPr>
          <w:p w14:paraId="262B49BF" w14:textId="44126FF5"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Art. 368.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364, §2ª, desta Resolução.</w:t>
            </w:r>
          </w:p>
        </w:tc>
        <w:tc>
          <w:tcPr>
            <w:tcW w:w="4074" w:type="dxa"/>
          </w:tcPr>
          <w:p w14:paraId="65B8EEA4" w14:textId="125DF3E1"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sz w:val="24"/>
                <w:szCs w:val="24"/>
              </w:rPr>
              <w:t xml:space="preserve">Art. 368.  O envio dos extratos mensais de movimentação e de posição de títulos públicos federais custodiados no Sistema Especial de Liquidação e de Custódia (Selic), relativos às contas individualizadas das EFPC e às contas </w:t>
            </w:r>
            <w:r w:rsidRPr="00D462F0">
              <w:rPr>
                <w:rFonts w:asciiTheme="majorHAnsi" w:hAnsiTheme="majorHAnsi" w:cstheme="majorHAnsi"/>
                <w:bCs/>
                <w:strike/>
                <w:color w:val="EE0000"/>
                <w:sz w:val="24"/>
                <w:szCs w:val="24"/>
              </w:rPr>
              <w:t xml:space="preserve">dos </w:t>
            </w:r>
            <w:r w:rsidRPr="00D462F0">
              <w:rPr>
                <w:rFonts w:asciiTheme="majorHAnsi" w:hAnsiTheme="majorHAnsi" w:cstheme="majorHAnsi"/>
                <w:bCs/>
                <w:color w:val="0000FF"/>
                <w:sz w:val="24"/>
                <w:szCs w:val="24"/>
              </w:rPr>
              <w:t>das classes de cota de</w:t>
            </w:r>
            <w:r w:rsidRPr="00D462F0">
              <w:rPr>
                <w:rFonts w:asciiTheme="majorHAnsi" w:hAnsiTheme="majorHAnsi" w:cstheme="majorHAnsi"/>
                <w:bCs/>
                <w:sz w:val="24"/>
                <w:szCs w:val="24"/>
              </w:rPr>
              <w:t xml:space="preserve"> fundos de investimento e </w:t>
            </w:r>
            <w:r w:rsidRPr="00D462F0">
              <w:rPr>
                <w:rFonts w:asciiTheme="majorHAnsi" w:hAnsiTheme="majorHAnsi" w:cstheme="majorHAnsi"/>
                <w:bCs/>
                <w:color w:val="0000FF"/>
                <w:sz w:val="24"/>
                <w:szCs w:val="24"/>
              </w:rPr>
              <w:t>das cotas de classe exclusivas</w:t>
            </w:r>
            <w:r w:rsidRPr="00D462F0">
              <w:rPr>
                <w:rFonts w:asciiTheme="majorHAnsi" w:hAnsiTheme="majorHAnsi" w:cstheme="majorHAnsi"/>
                <w:bCs/>
                <w:sz w:val="24"/>
                <w:szCs w:val="24"/>
              </w:rPr>
              <w:t xml:space="preserve"> dos fundos de investimento </w:t>
            </w:r>
            <w:r w:rsidRPr="00D462F0">
              <w:rPr>
                <w:rFonts w:asciiTheme="majorHAnsi" w:hAnsiTheme="majorHAnsi" w:cstheme="majorHAnsi"/>
                <w:bCs/>
                <w:strike/>
                <w:color w:val="EE0000"/>
                <w:sz w:val="24"/>
                <w:szCs w:val="24"/>
              </w:rPr>
              <w:t>em cotas de fundos de investimento exclusivos</w:t>
            </w:r>
            <w:r w:rsidRPr="00D462F0">
              <w:rPr>
                <w:rFonts w:asciiTheme="majorHAnsi" w:hAnsiTheme="majorHAnsi" w:cstheme="majorHAnsi"/>
                <w:bCs/>
                <w:sz w:val="24"/>
                <w:szCs w:val="24"/>
              </w:rPr>
              <w:t>, deve observar o disposto no art. 364, §2ª, desta Resolução.</w:t>
            </w:r>
          </w:p>
        </w:tc>
        <w:tc>
          <w:tcPr>
            <w:tcW w:w="4074" w:type="dxa"/>
          </w:tcPr>
          <w:p w14:paraId="3961CB77"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Adaptação Resolução CMN nº 5202 e Resolução CVM nº175 - sem alteração material.</w:t>
            </w:r>
          </w:p>
          <w:p w14:paraId="02A7E3A5" w14:textId="77777777" w:rsidR="00A5652D" w:rsidRPr="00D462F0" w:rsidRDefault="00A5652D" w:rsidP="00D462F0">
            <w:pPr>
              <w:jc w:val="both"/>
              <w:rPr>
                <w:rFonts w:asciiTheme="majorHAnsi" w:hAnsiTheme="majorHAnsi" w:cstheme="majorHAnsi"/>
                <w:sz w:val="24"/>
                <w:szCs w:val="24"/>
              </w:rPr>
            </w:pPr>
          </w:p>
        </w:tc>
        <w:tc>
          <w:tcPr>
            <w:tcW w:w="4075" w:type="dxa"/>
          </w:tcPr>
          <w:p w14:paraId="7DD4F127" w14:textId="77C76E11"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Inciso IV do art. 4º do Decreto nº 10.411, de 2020.</w:t>
            </w:r>
          </w:p>
        </w:tc>
      </w:tr>
      <w:tr w:rsidR="00A5652D" w:rsidRPr="00C93770" w:rsidDel="0001369C" w14:paraId="3A26739F" w14:textId="77777777" w:rsidTr="1756A420">
        <w:tc>
          <w:tcPr>
            <w:tcW w:w="4074" w:type="dxa"/>
          </w:tcPr>
          <w:p w14:paraId="26D137E8" w14:textId="4CB733E7" w:rsidR="00A5652D" w:rsidRPr="00D462F0" w:rsidDel="0001369C" w:rsidRDefault="00A5652D" w:rsidP="008F3FAE">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4" w:type="dxa"/>
          </w:tcPr>
          <w:p w14:paraId="435A941A" w14:textId="7132EF55" w:rsidR="00A5652D" w:rsidRPr="00D462F0" w:rsidDel="0001369C" w:rsidRDefault="00A5652D" w:rsidP="008F3FAE">
            <w:pPr>
              <w:jc w:val="center"/>
              <w:rPr>
                <w:rFonts w:asciiTheme="majorHAnsi" w:hAnsiTheme="majorHAnsi" w:cstheme="majorHAnsi"/>
                <w:bCs/>
                <w:sz w:val="24"/>
                <w:szCs w:val="24"/>
              </w:rPr>
            </w:pPr>
            <w:r w:rsidRPr="00D462F0">
              <w:rPr>
                <w:rFonts w:asciiTheme="majorHAnsi" w:hAnsiTheme="majorHAnsi" w:cstheme="majorHAnsi"/>
                <w:bCs/>
                <w:sz w:val="24"/>
                <w:szCs w:val="24"/>
              </w:rPr>
              <w:t>...</w:t>
            </w:r>
          </w:p>
        </w:tc>
        <w:tc>
          <w:tcPr>
            <w:tcW w:w="4074" w:type="dxa"/>
          </w:tcPr>
          <w:p w14:paraId="04F0749A" w14:textId="77777777" w:rsidR="00A5652D" w:rsidRPr="00D462F0" w:rsidDel="0001369C" w:rsidRDefault="00A5652D" w:rsidP="00D462F0">
            <w:pPr>
              <w:jc w:val="both"/>
              <w:rPr>
                <w:rFonts w:asciiTheme="majorHAnsi" w:hAnsiTheme="majorHAnsi" w:cstheme="majorHAnsi"/>
                <w:sz w:val="24"/>
                <w:szCs w:val="24"/>
              </w:rPr>
            </w:pPr>
          </w:p>
        </w:tc>
        <w:tc>
          <w:tcPr>
            <w:tcW w:w="4075" w:type="dxa"/>
          </w:tcPr>
          <w:p w14:paraId="17B5F28B" w14:textId="77777777" w:rsidR="00A5652D" w:rsidRPr="00D462F0" w:rsidDel="0001369C" w:rsidRDefault="00A5652D" w:rsidP="00D462F0">
            <w:pPr>
              <w:jc w:val="both"/>
              <w:rPr>
                <w:rFonts w:asciiTheme="majorHAnsi" w:hAnsiTheme="majorHAnsi" w:cstheme="majorHAnsi"/>
                <w:bCs/>
                <w:sz w:val="24"/>
                <w:szCs w:val="24"/>
              </w:rPr>
            </w:pPr>
          </w:p>
        </w:tc>
      </w:tr>
      <w:tr w:rsidR="00A5652D" w:rsidRPr="00C93770" w14:paraId="0A447FFB" w14:textId="77777777" w:rsidTr="1756A420">
        <w:tc>
          <w:tcPr>
            <w:tcW w:w="4074" w:type="dxa"/>
          </w:tcPr>
          <w:p w14:paraId="6073DDBE" w14:textId="77777777" w:rsidR="00A5652D" w:rsidRPr="00D462F0" w:rsidRDefault="00A5652D" w:rsidP="008F3FAE">
            <w:pPr>
              <w:jc w:val="center"/>
              <w:rPr>
                <w:rFonts w:asciiTheme="majorHAnsi" w:hAnsiTheme="majorHAnsi" w:cstheme="majorHAnsi"/>
                <w:b/>
                <w:bCs/>
                <w:color w:val="000000"/>
                <w:sz w:val="24"/>
                <w:szCs w:val="24"/>
              </w:rPr>
            </w:pPr>
            <w:r w:rsidRPr="00D462F0">
              <w:rPr>
                <w:rFonts w:asciiTheme="majorHAnsi" w:hAnsiTheme="majorHAnsi" w:cstheme="majorHAnsi"/>
                <w:b/>
                <w:bCs/>
                <w:color w:val="000000"/>
                <w:sz w:val="24"/>
                <w:szCs w:val="24"/>
              </w:rPr>
              <w:t>Sem referência anterior.</w:t>
            </w:r>
          </w:p>
          <w:p w14:paraId="31761AAA" w14:textId="77777777" w:rsidR="00A5652D" w:rsidRPr="00D462F0" w:rsidRDefault="00A5652D" w:rsidP="008F3FAE">
            <w:pPr>
              <w:jc w:val="center"/>
              <w:rPr>
                <w:rFonts w:asciiTheme="majorHAnsi" w:hAnsiTheme="majorHAnsi" w:cstheme="majorHAnsi"/>
                <w:b/>
                <w:bCs/>
                <w:color w:val="000000"/>
                <w:sz w:val="24"/>
                <w:szCs w:val="24"/>
              </w:rPr>
            </w:pPr>
          </w:p>
        </w:tc>
        <w:tc>
          <w:tcPr>
            <w:tcW w:w="4074" w:type="dxa"/>
          </w:tcPr>
          <w:p w14:paraId="0BEC31B2" w14:textId="4278D0C8" w:rsidR="00A5652D" w:rsidRPr="00D462F0" w:rsidRDefault="00A5652D" w:rsidP="008F3FAE">
            <w:pPr>
              <w:jc w:val="center"/>
              <w:rPr>
                <w:rFonts w:asciiTheme="majorHAnsi" w:hAnsiTheme="majorHAnsi" w:cstheme="majorHAnsi"/>
                <w:b/>
                <w:bCs/>
                <w:color w:val="0000FF"/>
                <w:sz w:val="24"/>
                <w:szCs w:val="24"/>
              </w:rPr>
            </w:pPr>
            <w:r w:rsidRPr="00D462F0">
              <w:rPr>
                <w:rFonts w:asciiTheme="majorHAnsi" w:hAnsiTheme="majorHAnsi" w:cstheme="majorHAnsi"/>
                <w:b/>
                <w:bCs/>
                <w:color w:val="0000FF"/>
                <w:sz w:val="24"/>
                <w:szCs w:val="24"/>
              </w:rPr>
              <w:t>Subseção III</w:t>
            </w:r>
          </w:p>
          <w:p w14:paraId="1AE9BFD4" w14:textId="74AB42C4" w:rsidR="00A5652D" w:rsidRPr="00D462F0" w:rsidRDefault="00A5652D" w:rsidP="008F3FAE">
            <w:pPr>
              <w:jc w:val="center"/>
              <w:rPr>
                <w:rFonts w:asciiTheme="majorHAnsi" w:hAnsiTheme="majorHAnsi" w:cstheme="majorHAnsi"/>
                <w:b/>
                <w:bCs/>
                <w:color w:val="000000"/>
                <w:sz w:val="24"/>
                <w:szCs w:val="24"/>
              </w:rPr>
            </w:pPr>
            <w:r w:rsidRPr="00D462F0">
              <w:rPr>
                <w:rFonts w:asciiTheme="majorHAnsi" w:hAnsiTheme="majorHAnsi" w:cstheme="majorHAnsi"/>
                <w:b/>
                <w:bCs/>
                <w:color w:val="0000FF"/>
                <w:sz w:val="24"/>
                <w:szCs w:val="24"/>
              </w:rPr>
              <w:t>Riscos e Impactos Ambientais, Sociais e de Governança</w:t>
            </w:r>
            <w:r w:rsidR="009D3088">
              <w:rPr>
                <w:rFonts w:asciiTheme="majorHAnsi" w:hAnsiTheme="majorHAnsi" w:cstheme="majorHAnsi"/>
                <w:b/>
                <w:bCs/>
                <w:color w:val="0000FF"/>
                <w:sz w:val="24"/>
                <w:szCs w:val="24"/>
              </w:rPr>
              <w:t xml:space="preserve"> (ASG)</w:t>
            </w:r>
          </w:p>
        </w:tc>
        <w:tc>
          <w:tcPr>
            <w:tcW w:w="4074" w:type="dxa"/>
          </w:tcPr>
          <w:p w14:paraId="1470FA37" w14:textId="1EA6B414"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Subseção criada para abranger a regulamentação de observância dos §§ 4º e 5º do art. 10 da Resolução CMN nº 4.994, de 2022, alterada pela Resolução CMN nº 5.202, de 2025,</w:t>
            </w:r>
          </w:p>
        </w:tc>
        <w:tc>
          <w:tcPr>
            <w:tcW w:w="4075" w:type="dxa"/>
          </w:tcPr>
          <w:p w14:paraId="67933EBD" w14:textId="77777777" w:rsidR="00A5652D" w:rsidRPr="00D462F0" w:rsidRDefault="00A5652D" w:rsidP="00D462F0">
            <w:pPr>
              <w:jc w:val="both"/>
              <w:rPr>
                <w:rFonts w:asciiTheme="majorHAnsi" w:eastAsia="Calibri" w:hAnsiTheme="majorHAnsi" w:cstheme="majorHAnsi"/>
                <w:bCs/>
                <w:sz w:val="24"/>
                <w:szCs w:val="24"/>
              </w:rPr>
            </w:pP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II</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p w14:paraId="6FC1AE33" w14:textId="5494B291"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A regulamentação dos §§ 4º e 5º do art. 2º da Resolução CMN nº 4.994, de 2022, configura disciplinamento de obrigações expressamente delegadas à Previc pelo Conselho Monetário Nacional. O § 5º estabelece que as EFPC devem avaliar e dar transparência aos impactos ambientais, sociais ou de governança, observando segmentação e critérios definidos pela Previc.</w:t>
            </w:r>
          </w:p>
          <w:p w14:paraId="7444DD0D"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O cumprimento dessa delegação é tecnicamente indissociável da regulamentação dos critérios de materialidade e relevância do § 4º. A expressão 'quando julgar material e relevante' constitui pressuposto essencial para implementar adequadamente a avaliação e transparência determinadas pelo CMN, </w:t>
            </w:r>
            <w:r w:rsidRPr="00D462F0">
              <w:rPr>
                <w:rFonts w:asciiTheme="majorHAnsi" w:hAnsiTheme="majorHAnsi" w:cstheme="majorHAnsi"/>
                <w:bCs/>
                <w:sz w:val="24"/>
                <w:szCs w:val="24"/>
              </w:rPr>
              <w:lastRenderedPageBreak/>
              <w:t>pois a ausência de parâmetros normativos tornaria inexequível o comando superior.</w:t>
            </w:r>
          </w:p>
          <w:p w14:paraId="10E125C0"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Não há alternativa regulatória viável para disciplinar a matéria, tendo em vista que a regulamentação dos critérios dos §§ 4º e </w:t>
            </w:r>
            <w:proofErr w:type="gramStart"/>
            <w:r w:rsidRPr="00D462F0">
              <w:rPr>
                <w:rFonts w:asciiTheme="majorHAnsi" w:hAnsiTheme="majorHAnsi" w:cstheme="majorHAnsi"/>
                <w:bCs/>
                <w:sz w:val="24"/>
                <w:szCs w:val="24"/>
              </w:rPr>
              <w:t>5º demanda</w:t>
            </w:r>
            <w:proofErr w:type="gramEnd"/>
            <w:r w:rsidRPr="00D462F0">
              <w:rPr>
                <w:rFonts w:asciiTheme="majorHAnsi" w:hAnsiTheme="majorHAnsi" w:cstheme="majorHAnsi"/>
                <w:bCs/>
                <w:sz w:val="24"/>
                <w:szCs w:val="24"/>
              </w:rPr>
              <w:t xml:space="preserve"> instrumento normativo de caráter geral e abstrato. A delegação do CMN não pode ser atendida por portarias, notas técnicas ou outros atos administrativos de menor hierarquia normativa. A competência regulamentar da Previc para disciplinar investimentos de EFPC materializa-se exclusivamente por meio de Resolução, configurando ausência de alternativas jurídicas que dispensa a elaboração de AIR nos termos do decreto mencionado."</w:t>
            </w:r>
          </w:p>
          <w:p w14:paraId="4D3BCD6C" w14:textId="77777777" w:rsidR="00A5652D" w:rsidRPr="00D462F0" w:rsidRDefault="00A5652D" w:rsidP="00D462F0">
            <w:pPr>
              <w:jc w:val="both"/>
              <w:rPr>
                <w:rFonts w:asciiTheme="majorHAnsi" w:hAnsiTheme="majorHAnsi" w:cstheme="majorHAnsi"/>
                <w:bCs/>
                <w:sz w:val="24"/>
                <w:szCs w:val="24"/>
              </w:rPr>
            </w:pPr>
          </w:p>
        </w:tc>
      </w:tr>
      <w:tr w:rsidR="00A5652D" w:rsidRPr="00C93770" w14:paraId="00C0CF6E" w14:textId="77777777" w:rsidTr="1756A420">
        <w:tc>
          <w:tcPr>
            <w:tcW w:w="4074" w:type="dxa"/>
          </w:tcPr>
          <w:p w14:paraId="00EE6833" w14:textId="2416219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55201FDA" w14:textId="2871EB20"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368-A.  Para fins desta Subseção considera-se:</w:t>
            </w:r>
          </w:p>
        </w:tc>
        <w:tc>
          <w:tcPr>
            <w:tcW w:w="4074" w:type="dxa"/>
          </w:tcPr>
          <w:p w14:paraId="4C72D84B" w14:textId="35560331"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destas definições visa estabelecer um vocabulário uniforme, fortalecendo a coerência das avaliações e promovendo a adoção de práticas de divulgação consistentes, sem engessar metodologias específicas. Os conceitos de risco social e risco ambiental têm como base a Resolução CMN 4943 (</w:t>
            </w:r>
            <w:r w:rsidRPr="00D462F0">
              <w:rPr>
                <w:rFonts w:asciiTheme="majorHAnsi" w:eastAsia="Calibri" w:hAnsiTheme="majorHAnsi" w:cstheme="majorHAnsi"/>
                <w:sz w:val="24"/>
                <w:szCs w:val="24"/>
              </w:rPr>
              <w:t>dispõe sobre a estrutura de gerenciamento de riscos, a estrutura de gerenciamento de capital e a política de divulgação de informações)</w:t>
            </w:r>
            <w:r w:rsidRPr="00D462F0">
              <w:rPr>
                <w:rFonts w:asciiTheme="majorHAnsi" w:hAnsiTheme="majorHAnsi" w:cstheme="majorHAnsi"/>
                <w:sz w:val="24"/>
                <w:szCs w:val="24"/>
              </w:rPr>
              <w:t xml:space="preserve">. As conceituações de riscos de governança e de integridade vem de pesquisa bibliográfica, contribuições da </w:t>
            </w:r>
            <w:proofErr w:type="spellStart"/>
            <w:r w:rsidRPr="00D462F0">
              <w:rPr>
                <w:rFonts w:asciiTheme="majorHAnsi" w:hAnsiTheme="majorHAnsi" w:cstheme="majorHAnsi"/>
                <w:sz w:val="24"/>
                <w:szCs w:val="24"/>
              </w:rPr>
              <w:t>EFPCs</w:t>
            </w:r>
            <w:proofErr w:type="spellEnd"/>
            <w:r w:rsidRPr="00D462F0">
              <w:rPr>
                <w:rFonts w:asciiTheme="majorHAnsi" w:hAnsiTheme="majorHAnsi" w:cstheme="majorHAnsi"/>
                <w:sz w:val="24"/>
                <w:szCs w:val="24"/>
              </w:rPr>
              <w:t xml:space="preserve"> e resoluções de outros órgãos reguladores.</w:t>
            </w:r>
          </w:p>
        </w:tc>
        <w:tc>
          <w:tcPr>
            <w:tcW w:w="4075" w:type="dxa"/>
          </w:tcPr>
          <w:p w14:paraId="3FC53D1A" w14:textId="77777777" w:rsidR="00A5652D" w:rsidRPr="00D462F0" w:rsidRDefault="00A5652D"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p w14:paraId="6CE0A257" w14:textId="77777777" w:rsidR="00A5652D" w:rsidRPr="00D462F0" w:rsidRDefault="00A5652D" w:rsidP="00D462F0">
            <w:pPr>
              <w:jc w:val="both"/>
              <w:rPr>
                <w:rFonts w:asciiTheme="majorHAnsi" w:hAnsiTheme="majorHAnsi" w:cstheme="majorHAnsi"/>
                <w:bCs/>
                <w:sz w:val="24"/>
                <w:szCs w:val="24"/>
              </w:rPr>
            </w:pPr>
          </w:p>
        </w:tc>
      </w:tr>
      <w:tr w:rsidR="00A5652D" w:rsidRPr="00C93770" w14:paraId="0D4253C6" w14:textId="77777777" w:rsidTr="1756A420">
        <w:tc>
          <w:tcPr>
            <w:tcW w:w="4074" w:type="dxa"/>
          </w:tcPr>
          <w:p w14:paraId="7FE2711E" w14:textId="0014A8E2"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2D1A9B04" w14:textId="0CC5E12B"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aspectos</w:t>
            </w:r>
            <w:proofErr w:type="gramEnd"/>
            <w:r w:rsidRPr="00D462F0">
              <w:rPr>
                <w:rFonts w:asciiTheme="majorHAnsi" w:hAnsiTheme="majorHAnsi" w:cstheme="majorHAnsi"/>
                <w:bCs/>
                <w:color w:val="0000FF"/>
                <w:sz w:val="24"/>
                <w:szCs w:val="24"/>
              </w:rPr>
              <w:t xml:space="preserve"> sociais: fatores e condições relacionados aos direitos e garantias fundamentais, à promoção da equidade e à melhoria do bem-estar coletivo;</w:t>
            </w:r>
          </w:p>
        </w:tc>
        <w:tc>
          <w:tcPr>
            <w:tcW w:w="4074" w:type="dxa"/>
          </w:tcPr>
          <w:p w14:paraId="70B9A4EB" w14:textId="77777777" w:rsidR="00A5652D" w:rsidRPr="00D462F0" w:rsidRDefault="00A5652D" w:rsidP="00D462F0">
            <w:pPr>
              <w:jc w:val="both"/>
              <w:rPr>
                <w:rFonts w:asciiTheme="majorHAnsi" w:hAnsiTheme="majorHAnsi" w:cstheme="majorHAnsi"/>
                <w:sz w:val="24"/>
                <w:szCs w:val="24"/>
              </w:rPr>
            </w:pPr>
          </w:p>
        </w:tc>
        <w:tc>
          <w:tcPr>
            <w:tcW w:w="4075" w:type="dxa"/>
          </w:tcPr>
          <w:p w14:paraId="1E5BF67B" w14:textId="77777777" w:rsidR="00A5652D" w:rsidRPr="00D462F0" w:rsidRDefault="00A5652D" w:rsidP="00D462F0">
            <w:pPr>
              <w:spacing w:after="160"/>
              <w:jc w:val="both"/>
              <w:rPr>
                <w:rFonts w:asciiTheme="majorHAnsi" w:eastAsia="Calibri" w:hAnsiTheme="majorHAnsi" w:cstheme="majorHAnsi"/>
                <w:bCs/>
                <w:sz w:val="24"/>
                <w:szCs w:val="24"/>
              </w:rPr>
            </w:pP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II</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p w14:paraId="1CF8BB9E" w14:textId="77777777" w:rsidR="00A5652D" w:rsidRPr="00D462F0" w:rsidRDefault="00A5652D" w:rsidP="00D462F0">
            <w:pPr>
              <w:jc w:val="both"/>
              <w:rPr>
                <w:rFonts w:asciiTheme="majorHAnsi" w:hAnsiTheme="majorHAnsi" w:cstheme="majorHAnsi"/>
                <w:bCs/>
                <w:sz w:val="24"/>
                <w:szCs w:val="24"/>
              </w:rPr>
            </w:pPr>
          </w:p>
        </w:tc>
      </w:tr>
      <w:tr w:rsidR="00A5652D" w:rsidRPr="00C93770" w14:paraId="356DFE84" w14:textId="77777777" w:rsidTr="1756A420">
        <w:tc>
          <w:tcPr>
            <w:tcW w:w="4074" w:type="dxa"/>
          </w:tcPr>
          <w:p w14:paraId="44948F52" w14:textId="339F8A98"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124B2611" w14:textId="490B8794"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aspectos</w:t>
            </w:r>
            <w:proofErr w:type="gramEnd"/>
            <w:r w:rsidRPr="00D462F0">
              <w:rPr>
                <w:rFonts w:asciiTheme="majorHAnsi" w:hAnsiTheme="majorHAnsi" w:cstheme="majorHAnsi"/>
                <w:bCs/>
                <w:color w:val="0000FF"/>
                <w:sz w:val="24"/>
                <w:szCs w:val="24"/>
              </w:rPr>
              <w:t xml:space="preserve"> ambientais: fatores e condições associados à conservação e ao uso responsável dos recursos naturais, à proteção dos ecossistemas, ao processo de transição para uma economia de baixo carbono e à exposição a eventos climáticos extremos ou a alterações ambientais de longo prazo relacionadas a mudanças em padrões climáticos;</w:t>
            </w:r>
          </w:p>
        </w:tc>
        <w:tc>
          <w:tcPr>
            <w:tcW w:w="4074" w:type="dxa"/>
          </w:tcPr>
          <w:p w14:paraId="68001584" w14:textId="5A5D09C3"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Junção entre os ambientais e os climáticos.</w:t>
            </w:r>
          </w:p>
        </w:tc>
        <w:tc>
          <w:tcPr>
            <w:tcW w:w="4075" w:type="dxa"/>
          </w:tcPr>
          <w:p w14:paraId="664663C2" w14:textId="3E4C653E" w:rsidR="00A5652D" w:rsidRPr="00D462F0" w:rsidRDefault="00A5652D" w:rsidP="00D462F0">
            <w:pPr>
              <w:jc w:val="both"/>
              <w:rPr>
                <w:rFonts w:asciiTheme="majorHAnsi" w:hAnsiTheme="majorHAnsi" w:cstheme="majorHAnsi"/>
                <w:bCs/>
                <w:sz w:val="24"/>
                <w:szCs w:val="24"/>
              </w:rPr>
            </w:pPr>
            <w:r w:rsidRPr="00D462F0">
              <w:rPr>
                <w:rFonts w:asciiTheme="majorHAnsi" w:eastAsia="Times New Roman" w:hAnsiTheme="majorHAnsi" w:cstheme="majorHAnsi"/>
                <w:bCs/>
                <w:sz w:val="24"/>
                <w:szCs w:val="24"/>
              </w:rPr>
              <w:t xml:space="preserve">Inciso </w:t>
            </w:r>
            <w:r w:rsidRPr="00D462F0">
              <w:rPr>
                <w:rFonts w:asciiTheme="majorHAnsi" w:eastAsia="Calibri" w:hAnsiTheme="majorHAnsi" w:cstheme="majorHAnsi"/>
                <w:bCs/>
                <w:sz w:val="24"/>
                <w:szCs w:val="24"/>
              </w:rPr>
              <w:t>II</w:t>
            </w:r>
            <w:r w:rsidRPr="00D462F0">
              <w:rPr>
                <w:rFonts w:asciiTheme="majorHAnsi" w:eastAsia="Times New Roman" w:hAnsiTheme="majorHAnsi" w:cstheme="majorHAnsi"/>
                <w:bCs/>
                <w:sz w:val="24"/>
                <w:szCs w:val="24"/>
              </w:rPr>
              <w:t xml:space="preserve"> do art. </w:t>
            </w:r>
            <w:r w:rsidRPr="00D462F0">
              <w:rPr>
                <w:rFonts w:asciiTheme="majorHAnsi" w:eastAsia="Calibri" w:hAnsiTheme="majorHAnsi" w:cstheme="majorHAnsi"/>
                <w:bCs/>
                <w:sz w:val="24"/>
                <w:szCs w:val="24"/>
              </w:rPr>
              <w:t>4º do Decreto nº 10.411, de 2020.</w:t>
            </w:r>
          </w:p>
        </w:tc>
      </w:tr>
      <w:tr w:rsidR="00A5652D" w:rsidRPr="00C93770" w14:paraId="4218A1E7" w14:textId="77777777" w:rsidTr="1756A420">
        <w:tc>
          <w:tcPr>
            <w:tcW w:w="4074" w:type="dxa"/>
          </w:tcPr>
          <w:p w14:paraId="57C9DD27" w14:textId="0A94AE4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635FAC7" w14:textId="13D4C87A"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III - aspectos de governança, subdivididos nas seguintes vertentes:</w:t>
            </w:r>
          </w:p>
        </w:tc>
        <w:tc>
          <w:tcPr>
            <w:tcW w:w="4074" w:type="dxa"/>
          </w:tcPr>
          <w:p w14:paraId="0FE2ADCA" w14:textId="77777777" w:rsidR="00A5652D" w:rsidRPr="00D462F0" w:rsidRDefault="00A5652D" w:rsidP="00D462F0">
            <w:pPr>
              <w:jc w:val="both"/>
              <w:rPr>
                <w:rFonts w:asciiTheme="majorHAnsi" w:hAnsiTheme="majorHAnsi" w:cstheme="majorHAnsi"/>
                <w:sz w:val="24"/>
                <w:szCs w:val="24"/>
              </w:rPr>
            </w:pPr>
          </w:p>
        </w:tc>
        <w:tc>
          <w:tcPr>
            <w:tcW w:w="4075" w:type="dxa"/>
          </w:tcPr>
          <w:p w14:paraId="651BB8B3" w14:textId="77777777" w:rsidR="00A5652D" w:rsidRPr="00D462F0" w:rsidRDefault="00A5652D" w:rsidP="00D462F0">
            <w:pPr>
              <w:spacing w:after="160"/>
              <w:jc w:val="both"/>
              <w:rPr>
                <w:rFonts w:asciiTheme="majorHAnsi" w:eastAsia="Calibr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p w14:paraId="0631DDDA" w14:textId="77777777" w:rsidR="00A5652D" w:rsidRPr="00D462F0" w:rsidRDefault="00A5652D" w:rsidP="00D462F0">
            <w:pPr>
              <w:jc w:val="both"/>
              <w:rPr>
                <w:rFonts w:asciiTheme="majorHAnsi" w:hAnsiTheme="majorHAnsi" w:cstheme="majorHAnsi"/>
                <w:bCs/>
                <w:sz w:val="24"/>
                <w:szCs w:val="24"/>
              </w:rPr>
            </w:pPr>
          </w:p>
        </w:tc>
      </w:tr>
      <w:tr w:rsidR="00A5652D" w:rsidRPr="00C93770" w14:paraId="05775F72" w14:textId="77777777" w:rsidTr="1756A420">
        <w:tc>
          <w:tcPr>
            <w:tcW w:w="4074" w:type="dxa"/>
          </w:tcPr>
          <w:p w14:paraId="4607ED1D" w14:textId="04EFB996"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39205557" w14:textId="738996B2"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 estruturas de governança: fatores e condições relacionados à estrutura e aos processos de tomada de decisão, à transparência, ao controle interno e à prevenção e tratamento de conflitos de interesse; e</w:t>
            </w:r>
          </w:p>
        </w:tc>
        <w:tc>
          <w:tcPr>
            <w:tcW w:w="4074" w:type="dxa"/>
          </w:tcPr>
          <w:p w14:paraId="2876C259" w14:textId="77777777" w:rsidR="00A5652D" w:rsidRPr="00D462F0" w:rsidRDefault="00A5652D" w:rsidP="00D462F0">
            <w:pPr>
              <w:jc w:val="both"/>
              <w:rPr>
                <w:rFonts w:asciiTheme="majorHAnsi" w:hAnsiTheme="majorHAnsi" w:cstheme="majorHAnsi"/>
                <w:sz w:val="24"/>
                <w:szCs w:val="24"/>
              </w:rPr>
            </w:pPr>
          </w:p>
        </w:tc>
        <w:tc>
          <w:tcPr>
            <w:tcW w:w="4075" w:type="dxa"/>
          </w:tcPr>
          <w:p w14:paraId="6F0A9EB4" w14:textId="00672B8C"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1E376648" w14:textId="77777777" w:rsidTr="1756A420">
        <w:tc>
          <w:tcPr>
            <w:tcW w:w="4074" w:type="dxa"/>
          </w:tcPr>
          <w:p w14:paraId="4F955C39" w14:textId="7BAF5B66"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2FFFDF4F" w14:textId="10FE3729"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b) integridade: fatores e condições relativos à observância de princípios éticos, ao cumprimento de normas de probidade, à prevenção de fraudes, desvios de conduta e práticas de corrupção.</w:t>
            </w:r>
          </w:p>
        </w:tc>
        <w:tc>
          <w:tcPr>
            <w:tcW w:w="4074" w:type="dxa"/>
          </w:tcPr>
          <w:p w14:paraId="0626A30F" w14:textId="77777777" w:rsidR="00A5652D" w:rsidRPr="00D462F0" w:rsidRDefault="00A5652D" w:rsidP="00D462F0">
            <w:pPr>
              <w:jc w:val="both"/>
              <w:rPr>
                <w:rFonts w:asciiTheme="majorHAnsi" w:hAnsiTheme="majorHAnsi" w:cstheme="majorHAnsi"/>
                <w:sz w:val="24"/>
                <w:szCs w:val="24"/>
              </w:rPr>
            </w:pPr>
          </w:p>
        </w:tc>
        <w:tc>
          <w:tcPr>
            <w:tcW w:w="4075" w:type="dxa"/>
          </w:tcPr>
          <w:p w14:paraId="134A2342" w14:textId="0396D433"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2A0BE2A5" w14:textId="77777777" w:rsidTr="1756A420">
        <w:tc>
          <w:tcPr>
            <w:tcW w:w="4074" w:type="dxa"/>
          </w:tcPr>
          <w:p w14:paraId="4E5BA0B0" w14:textId="4C576221"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2C30532F" w14:textId="4F5C6176"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Art. 368-B.  A EFPC deve julgar se os aspectos relacionados à sustentabilidade econômica, ambiental, social e de governança de seus investimentos são materiais e relevantes.</w:t>
            </w:r>
          </w:p>
        </w:tc>
        <w:tc>
          <w:tcPr>
            <w:tcW w:w="4074" w:type="dxa"/>
          </w:tcPr>
          <w:p w14:paraId="4CEFA06F"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Novo artigo para observância da Previc ao §4º do Art. 10 da Resolução CMN nº 4.994, de 2022, </w:t>
            </w:r>
          </w:p>
          <w:p w14:paraId="54F40458" w14:textId="33A14562"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Entendeu-se que a alteração promovida no parágrafo 4º do artigo 10 da Resolução CMN nº 4.994, de 2022, pela Resolução CMN nº 5.202, de 2025, necessita ser regulamentada para </w:t>
            </w:r>
            <w:r w:rsidRPr="00D462F0">
              <w:rPr>
                <w:rFonts w:asciiTheme="majorHAnsi" w:hAnsiTheme="majorHAnsi" w:cstheme="majorHAnsi"/>
                <w:sz w:val="24"/>
                <w:szCs w:val="24"/>
              </w:rPr>
              <w:lastRenderedPageBreak/>
              <w:t>definição quanto à materialidade e relevância mencionadas na norma. Este entendimento se baseou na inserção do §5º no mesmo artigo 10, que delegou para O Previc a definição de procedimento para avaliação e transparência dos impactos ASG da carteira da EFPC.</w:t>
            </w:r>
          </w:p>
        </w:tc>
        <w:tc>
          <w:tcPr>
            <w:tcW w:w="4075" w:type="dxa"/>
          </w:tcPr>
          <w:p w14:paraId="30578EBE" w14:textId="7AF5CF94"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lastRenderedPageBreak/>
              <w:t>Inciso II do art. 4º do Decreto nº 10.411, de 2020.</w:t>
            </w:r>
          </w:p>
        </w:tc>
      </w:tr>
      <w:tr w:rsidR="00A5652D" w:rsidRPr="00C93770" w14:paraId="7376043C" w14:textId="77777777" w:rsidTr="1756A420">
        <w:tc>
          <w:tcPr>
            <w:tcW w:w="4074" w:type="dxa"/>
          </w:tcPr>
          <w:p w14:paraId="2502A2B1" w14:textId="432966D0"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1283677" w14:textId="265A11C1"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w:t>
            </w:r>
            <w:proofErr w:type="gramStart"/>
            <w:r w:rsidRPr="00D462F0">
              <w:rPr>
                <w:rFonts w:asciiTheme="majorHAnsi" w:hAnsiTheme="majorHAnsi" w:cstheme="majorHAnsi"/>
                <w:bCs/>
                <w:color w:val="0000FF"/>
                <w:sz w:val="24"/>
                <w:szCs w:val="24"/>
              </w:rPr>
              <w:t>º  A</w:t>
            </w:r>
            <w:proofErr w:type="gramEnd"/>
            <w:r w:rsidRPr="00D462F0">
              <w:rPr>
                <w:rFonts w:asciiTheme="majorHAnsi" w:hAnsiTheme="majorHAnsi" w:cstheme="majorHAnsi"/>
                <w:bCs/>
                <w:color w:val="0000FF"/>
                <w:sz w:val="24"/>
                <w:szCs w:val="24"/>
              </w:rPr>
              <w:t xml:space="preserve"> análise para determinar a materialidade e relevância dos fatores de sustentabilidade econômica, ambiental e social deve, no mínimo:</w:t>
            </w:r>
          </w:p>
        </w:tc>
        <w:tc>
          <w:tcPr>
            <w:tcW w:w="4074" w:type="dxa"/>
          </w:tcPr>
          <w:p w14:paraId="2EBE6F17" w14:textId="6867EAEF"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O parágrafo 1º define uma espécie de filtro interno que deve ser feito pela própria EFPC. Este “filtro” é um documento da EFPC (que deve ser contemplado alínea “h” do inciso VII do art. 214 da política de investimentos) que vai determinar quais investimentos estarão sujeitos à análise de materialidade e relevância e deve observar o disposto nos incisos abaixo.</w:t>
            </w:r>
          </w:p>
        </w:tc>
        <w:tc>
          <w:tcPr>
            <w:tcW w:w="4075" w:type="dxa"/>
          </w:tcPr>
          <w:p w14:paraId="5AB88292" w14:textId="75ACBA26"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70888911" w14:textId="77777777" w:rsidTr="1756A420">
        <w:tc>
          <w:tcPr>
            <w:tcW w:w="4074" w:type="dxa"/>
          </w:tcPr>
          <w:p w14:paraId="118D72E7" w14:textId="7E6E3026"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A7DBA31" w14:textId="643A14D1"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adotar</w:t>
            </w:r>
            <w:proofErr w:type="gramEnd"/>
            <w:r w:rsidRPr="00D462F0">
              <w:rPr>
                <w:rFonts w:asciiTheme="majorHAnsi" w:hAnsiTheme="majorHAnsi" w:cstheme="majorHAnsi"/>
                <w:bCs/>
                <w:color w:val="0000FF"/>
                <w:sz w:val="24"/>
                <w:szCs w:val="24"/>
              </w:rPr>
              <w:t xml:space="preserve"> conceito de dupla materialidade, considerando:</w:t>
            </w:r>
          </w:p>
        </w:tc>
        <w:tc>
          <w:tcPr>
            <w:tcW w:w="4074" w:type="dxa"/>
          </w:tcPr>
          <w:p w14:paraId="445CE56F" w14:textId="233D8F3D"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Padrão na construção da análise de materialidade na academia e nas contribuições recebidas de EFPC. Consiste na avaliação, em separado, dos impactos internos e externos.</w:t>
            </w:r>
          </w:p>
        </w:tc>
        <w:tc>
          <w:tcPr>
            <w:tcW w:w="4075" w:type="dxa"/>
          </w:tcPr>
          <w:p w14:paraId="3ADAA213" w14:textId="0BACCD90"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61FF4AC3" w14:textId="77777777" w:rsidTr="1756A420">
        <w:tc>
          <w:tcPr>
            <w:tcW w:w="4074" w:type="dxa"/>
          </w:tcPr>
          <w:p w14:paraId="40FF4D08" w14:textId="7F56BBD7"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1D3B0F7D" w14:textId="3D711F97"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a) materialidade de impacto: avaliação de efeitos positivos, negativos ou neutros que os investimentos podem gerar no meio ambiente e na sociedade;</w:t>
            </w:r>
          </w:p>
        </w:tc>
        <w:tc>
          <w:tcPr>
            <w:tcW w:w="4074" w:type="dxa"/>
          </w:tcPr>
          <w:p w14:paraId="7DCDF13E" w14:textId="37D5C0B1"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Dispositivo normativo que busca definir materialidade de impacto.</w:t>
            </w:r>
          </w:p>
        </w:tc>
        <w:tc>
          <w:tcPr>
            <w:tcW w:w="4075" w:type="dxa"/>
          </w:tcPr>
          <w:p w14:paraId="60ACD8A0" w14:textId="1E4E222A"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64FC7E2B" w14:textId="77777777" w:rsidTr="1756A420">
        <w:tc>
          <w:tcPr>
            <w:tcW w:w="4074" w:type="dxa"/>
          </w:tcPr>
          <w:p w14:paraId="19E41679" w14:textId="36817342"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5E3EEE8E" w14:textId="5649D51D"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b) materialidade financeira: análise da influência de fatores </w:t>
            </w:r>
            <w:r w:rsidR="009D3088">
              <w:rPr>
                <w:rFonts w:asciiTheme="majorHAnsi" w:hAnsiTheme="majorHAnsi" w:cstheme="majorHAnsi"/>
                <w:bCs/>
                <w:color w:val="0000FF"/>
                <w:sz w:val="24"/>
                <w:szCs w:val="24"/>
              </w:rPr>
              <w:t xml:space="preserve">ASG </w:t>
            </w:r>
            <w:r w:rsidRPr="00D462F0">
              <w:rPr>
                <w:rFonts w:asciiTheme="majorHAnsi" w:hAnsiTheme="majorHAnsi" w:cstheme="majorHAnsi"/>
                <w:bCs/>
                <w:color w:val="0000FF"/>
                <w:sz w:val="24"/>
                <w:szCs w:val="24"/>
              </w:rPr>
              <w:t>nos resultados financeiros, incluindo riscos e oportunidades que poderiam afetar significativamente a capacidade de honrar os compromissos futuros dos planos de benefícios.</w:t>
            </w:r>
          </w:p>
        </w:tc>
        <w:tc>
          <w:tcPr>
            <w:tcW w:w="4074" w:type="dxa"/>
          </w:tcPr>
          <w:p w14:paraId="2F52AC2E" w14:textId="7D8871C6"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Dispositivo normativo que busca definir materialidade financeira.</w:t>
            </w:r>
          </w:p>
        </w:tc>
        <w:tc>
          <w:tcPr>
            <w:tcW w:w="4075" w:type="dxa"/>
          </w:tcPr>
          <w:p w14:paraId="11A43E73" w14:textId="7681BF0C"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1BE7580D" w14:textId="77777777" w:rsidTr="1756A420">
        <w:tc>
          <w:tcPr>
            <w:tcW w:w="4074" w:type="dxa"/>
          </w:tcPr>
          <w:p w14:paraId="458120E5" w14:textId="6A8B34F4"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05D7D2E7" w14:textId="797B6FBF"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uso</w:t>
            </w:r>
            <w:proofErr w:type="gramEnd"/>
            <w:r w:rsidRPr="00D462F0">
              <w:rPr>
                <w:rFonts w:asciiTheme="majorHAnsi" w:hAnsiTheme="majorHAnsi" w:cstheme="majorHAnsi"/>
                <w:bCs/>
                <w:color w:val="0000FF"/>
                <w:sz w:val="24"/>
                <w:szCs w:val="24"/>
              </w:rPr>
              <w:t xml:space="preserve"> de indicadores e métricas setoriais, notas de riscos temáticos ou ratings especializados disponíveis ou proprietários; e</w:t>
            </w:r>
          </w:p>
        </w:tc>
        <w:tc>
          <w:tcPr>
            <w:tcW w:w="4074" w:type="dxa"/>
          </w:tcPr>
          <w:p w14:paraId="43C29600" w14:textId="0F7ADCF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Dispositivo normativo que busca incentivar a tomada de decisões baseada em dados.</w:t>
            </w:r>
          </w:p>
        </w:tc>
        <w:tc>
          <w:tcPr>
            <w:tcW w:w="4075" w:type="dxa"/>
          </w:tcPr>
          <w:p w14:paraId="1B014CAD" w14:textId="777AA20D"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39F834F8" w14:textId="77777777" w:rsidTr="1756A420">
        <w:tc>
          <w:tcPr>
            <w:tcW w:w="4074" w:type="dxa"/>
          </w:tcPr>
          <w:p w14:paraId="15299DFA" w14:textId="36A7B5C6"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lastRenderedPageBreak/>
              <w:t>Sem referência anterior.</w:t>
            </w:r>
          </w:p>
        </w:tc>
        <w:tc>
          <w:tcPr>
            <w:tcW w:w="4074" w:type="dxa"/>
          </w:tcPr>
          <w:p w14:paraId="789E3C96" w14:textId="5AF539E1"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III - alinhar a relevância do tema frente aos objetivos de longo prazo dos planos de benefícios;</w:t>
            </w:r>
          </w:p>
        </w:tc>
        <w:tc>
          <w:tcPr>
            <w:tcW w:w="4074" w:type="dxa"/>
          </w:tcPr>
          <w:p w14:paraId="69872C3E" w14:textId="0CBA5B7C"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Incentivar que a análise de materialidade cumpra seu papel no alinhamento da seleção de investimentos e a visão dos responsáveis pela gestão</w:t>
            </w:r>
          </w:p>
        </w:tc>
        <w:tc>
          <w:tcPr>
            <w:tcW w:w="4075" w:type="dxa"/>
          </w:tcPr>
          <w:p w14:paraId="01B93A24" w14:textId="6454695B"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095F7CE2" w14:textId="77777777" w:rsidTr="1756A420">
        <w:tc>
          <w:tcPr>
            <w:tcW w:w="4074" w:type="dxa"/>
          </w:tcPr>
          <w:p w14:paraId="0214E94A" w14:textId="155AA293"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746622B" w14:textId="511BA510"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2</w:t>
            </w:r>
            <w:proofErr w:type="gramStart"/>
            <w:r w:rsidRPr="00D462F0">
              <w:rPr>
                <w:rFonts w:asciiTheme="majorHAnsi" w:hAnsiTheme="majorHAnsi" w:cstheme="majorHAnsi"/>
                <w:bCs/>
                <w:color w:val="0000FF"/>
                <w:sz w:val="24"/>
                <w:szCs w:val="24"/>
              </w:rPr>
              <w:t>º  Para</w:t>
            </w:r>
            <w:proofErr w:type="gramEnd"/>
            <w:r w:rsidRPr="00D462F0">
              <w:rPr>
                <w:rFonts w:asciiTheme="majorHAnsi" w:hAnsiTheme="majorHAnsi" w:cstheme="majorHAnsi"/>
                <w:bCs/>
                <w:color w:val="0000FF"/>
                <w:sz w:val="24"/>
                <w:szCs w:val="24"/>
              </w:rPr>
              <w:t xml:space="preserve"> cumprimento do disposto no § 1º, a EFPC pode selecionar uma ou mais carteiras de investimentos ou um ou mais segmentos de aplicação dos recursos garantidores do plano de benefícios.</w:t>
            </w:r>
          </w:p>
        </w:tc>
        <w:tc>
          <w:tcPr>
            <w:tcW w:w="4074" w:type="dxa"/>
          </w:tcPr>
          <w:p w14:paraId="623104DB" w14:textId="2C98317A"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 inclusão do parágrafo visa deixar mais evidente que a EFPC pode realizar a análise de materialidade apenas em parte de sua carteira de investimentos, caso entenda que essa parte é relevante.</w:t>
            </w:r>
          </w:p>
        </w:tc>
        <w:tc>
          <w:tcPr>
            <w:tcW w:w="4075" w:type="dxa"/>
          </w:tcPr>
          <w:p w14:paraId="0D94326F" w14:textId="65AEE6EA"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0F61A071" w14:textId="77777777" w:rsidTr="1756A420">
        <w:tc>
          <w:tcPr>
            <w:tcW w:w="4074" w:type="dxa"/>
          </w:tcPr>
          <w:p w14:paraId="2F469231" w14:textId="01DD97CC"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1631C18" w14:textId="2D151918"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3</w:t>
            </w:r>
            <w:proofErr w:type="gramStart"/>
            <w:r w:rsidRPr="00D462F0">
              <w:rPr>
                <w:rFonts w:asciiTheme="majorHAnsi" w:hAnsiTheme="majorHAnsi" w:cstheme="majorHAnsi"/>
                <w:bCs/>
                <w:color w:val="0000FF"/>
                <w:sz w:val="24"/>
                <w:szCs w:val="24"/>
              </w:rPr>
              <w:t>º  Os</w:t>
            </w:r>
            <w:proofErr w:type="gramEnd"/>
            <w:r w:rsidRPr="00D462F0">
              <w:rPr>
                <w:rFonts w:asciiTheme="majorHAnsi" w:hAnsiTheme="majorHAnsi" w:cstheme="majorHAnsi"/>
                <w:bCs/>
                <w:color w:val="0000FF"/>
                <w:sz w:val="24"/>
                <w:szCs w:val="24"/>
              </w:rPr>
              <w:t xml:space="preserve"> investimentos julgados materiais e relevantes pela EFPC devem ter os riscos relacionados à sustentabilidade econômica, ambiental, social e de governança identificados, analisados, avaliados, controlados e monitorados.</w:t>
            </w:r>
          </w:p>
        </w:tc>
        <w:tc>
          <w:tcPr>
            <w:tcW w:w="4074" w:type="dxa"/>
          </w:tcPr>
          <w:p w14:paraId="1D70791A"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A lógica do dispositivo é que, a partir do filtro criado pela própria EFPC seja utilizado para fazer a triagem dos tipos de ativo que estarão sujeitos a terem aspectos ASG analisados durante a análise de riscos do ativo.</w:t>
            </w:r>
          </w:p>
          <w:p w14:paraId="1239AAB3" w14:textId="77777777" w:rsidR="00A5652D" w:rsidRPr="00D462F0" w:rsidRDefault="00A5652D" w:rsidP="00D462F0">
            <w:pPr>
              <w:jc w:val="both"/>
              <w:rPr>
                <w:rFonts w:asciiTheme="majorHAnsi" w:hAnsiTheme="majorHAnsi" w:cstheme="majorHAnsi"/>
                <w:sz w:val="24"/>
                <w:szCs w:val="24"/>
              </w:rPr>
            </w:pPr>
          </w:p>
        </w:tc>
        <w:tc>
          <w:tcPr>
            <w:tcW w:w="4075" w:type="dxa"/>
          </w:tcPr>
          <w:p w14:paraId="495650AC" w14:textId="7EE29A95"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F03BDC1" w14:textId="77777777" w:rsidTr="1756A420">
        <w:tc>
          <w:tcPr>
            <w:tcW w:w="4074" w:type="dxa"/>
          </w:tcPr>
          <w:p w14:paraId="2F54CD3E" w14:textId="5651328D"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63529438" w14:textId="040D1EC6"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4</w:t>
            </w:r>
            <w:proofErr w:type="gramStart"/>
            <w:r w:rsidRPr="00D462F0">
              <w:rPr>
                <w:rFonts w:asciiTheme="majorHAnsi" w:hAnsiTheme="majorHAnsi" w:cstheme="majorHAnsi"/>
                <w:bCs/>
                <w:color w:val="0000FF"/>
                <w:sz w:val="24"/>
                <w:szCs w:val="24"/>
              </w:rPr>
              <w:t>º  O</w:t>
            </w:r>
            <w:proofErr w:type="gramEnd"/>
            <w:r w:rsidRPr="00D462F0">
              <w:rPr>
                <w:rFonts w:asciiTheme="majorHAnsi" w:hAnsiTheme="majorHAnsi" w:cstheme="majorHAnsi"/>
                <w:bCs/>
                <w:color w:val="0000FF"/>
                <w:sz w:val="24"/>
                <w:szCs w:val="24"/>
              </w:rPr>
              <w:t xml:space="preserve"> gerenciamentos dos riscos de que trata o § 3º devem ser:</w:t>
            </w:r>
          </w:p>
        </w:tc>
        <w:tc>
          <w:tcPr>
            <w:tcW w:w="4074" w:type="dxa"/>
          </w:tcPr>
          <w:p w14:paraId="720D1A3B" w14:textId="0662335A"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Dispositivo normativo que busca disciplinar a análise de risco dos ativos selecionados após aplicação do filtro pela EFPC.</w:t>
            </w:r>
          </w:p>
        </w:tc>
        <w:tc>
          <w:tcPr>
            <w:tcW w:w="4075" w:type="dxa"/>
          </w:tcPr>
          <w:p w14:paraId="7BB44D3B" w14:textId="0058B7A0"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4DFAAB9" w14:textId="77777777" w:rsidTr="1756A420">
        <w:tc>
          <w:tcPr>
            <w:tcW w:w="4074" w:type="dxa"/>
          </w:tcPr>
          <w:p w14:paraId="5D936F8D" w14:textId="668923E1"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C2B5746" w14:textId="3E1D2292"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proporcionais</w:t>
            </w:r>
            <w:proofErr w:type="gramEnd"/>
            <w:r w:rsidRPr="00D462F0">
              <w:rPr>
                <w:rFonts w:asciiTheme="majorHAnsi" w:hAnsiTheme="majorHAnsi" w:cstheme="majorHAnsi"/>
                <w:bCs/>
                <w:color w:val="0000FF"/>
                <w:sz w:val="24"/>
                <w:szCs w:val="24"/>
              </w:rPr>
              <w:t xml:space="preserve"> ao montante investido e à relevância dos riscos dos ativos ou carteiras selecionadas, segundo critérios definidos pela EFPC;</w:t>
            </w:r>
            <w:r w:rsidR="0047766D">
              <w:rPr>
                <w:rFonts w:asciiTheme="majorHAnsi" w:hAnsiTheme="majorHAnsi" w:cstheme="majorHAnsi"/>
                <w:bCs/>
                <w:color w:val="0000FF"/>
                <w:sz w:val="24"/>
                <w:szCs w:val="24"/>
              </w:rPr>
              <w:t xml:space="preserve"> e</w:t>
            </w:r>
          </w:p>
        </w:tc>
        <w:tc>
          <w:tcPr>
            <w:tcW w:w="4074" w:type="dxa"/>
          </w:tcPr>
          <w:p w14:paraId="25C01D94" w14:textId="44111F1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Dispositivo normativo que traz a ideia de proporcionalidade, ou seja, a análise deve ser proporcional ao montante investido e à relevância dos riscos.</w:t>
            </w:r>
          </w:p>
        </w:tc>
        <w:tc>
          <w:tcPr>
            <w:tcW w:w="4075" w:type="dxa"/>
          </w:tcPr>
          <w:p w14:paraId="563B8810" w14:textId="5FE18100"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526B85C6" w14:textId="77777777" w:rsidTr="1756A420">
        <w:tc>
          <w:tcPr>
            <w:tcW w:w="4074" w:type="dxa"/>
          </w:tcPr>
          <w:p w14:paraId="53A55E09" w14:textId="691ED52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0A156F84" w14:textId="5EE55366"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adequados</w:t>
            </w:r>
            <w:proofErr w:type="gramEnd"/>
            <w:r w:rsidRPr="00D462F0">
              <w:rPr>
                <w:rFonts w:asciiTheme="majorHAnsi" w:hAnsiTheme="majorHAnsi" w:cstheme="majorHAnsi"/>
                <w:bCs/>
                <w:color w:val="0000FF"/>
                <w:sz w:val="24"/>
                <w:szCs w:val="24"/>
              </w:rPr>
              <w:t xml:space="preserve"> às características dos planos de benefícios, considerados o porte e complexidade EFPC que os administra.</w:t>
            </w:r>
          </w:p>
        </w:tc>
        <w:tc>
          <w:tcPr>
            <w:tcW w:w="4074" w:type="dxa"/>
          </w:tcPr>
          <w:p w14:paraId="7363D22C" w14:textId="1EBD5C6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Dispositivo normativo também voltado à ideia de proporcionalidade, com objetivo de delimitar que o perfil previdenciário e porte da EFPC devem ser levados em consideração na análise de riscos </w:t>
            </w:r>
          </w:p>
        </w:tc>
        <w:tc>
          <w:tcPr>
            <w:tcW w:w="4075" w:type="dxa"/>
          </w:tcPr>
          <w:p w14:paraId="5782DD2A" w14:textId="618EA7EB"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1F564CE2" w14:textId="77777777" w:rsidTr="1756A420">
        <w:tc>
          <w:tcPr>
            <w:tcW w:w="4074" w:type="dxa"/>
          </w:tcPr>
          <w:p w14:paraId="01F7DDE4" w14:textId="38CCCDAB"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1D0828F4" w14:textId="46E2B353"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Art. 368-C.  A EFPC deve divulgar informações referentes aos impactos ambientais, sociais ou de governança relacionados </w:t>
            </w:r>
            <w:r w:rsidR="0047766D">
              <w:rPr>
                <w:rFonts w:asciiTheme="majorHAnsi" w:hAnsiTheme="majorHAnsi" w:cstheme="majorHAnsi"/>
                <w:bCs/>
                <w:color w:val="0000FF"/>
                <w:sz w:val="24"/>
                <w:szCs w:val="24"/>
              </w:rPr>
              <w:t>à</w:t>
            </w:r>
            <w:r w:rsidRPr="00D462F0">
              <w:rPr>
                <w:rFonts w:asciiTheme="majorHAnsi" w:hAnsiTheme="majorHAnsi" w:cstheme="majorHAnsi"/>
                <w:bCs/>
                <w:color w:val="0000FF"/>
                <w:sz w:val="24"/>
                <w:szCs w:val="24"/>
              </w:rPr>
              <w:t xml:space="preserve"> carteira de investimentos dos planos de benefícios, abrangendo, no mínimo:</w:t>
            </w:r>
          </w:p>
        </w:tc>
        <w:tc>
          <w:tcPr>
            <w:tcW w:w="4074" w:type="dxa"/>
          </w:tcPr>
          <w:p w14:paraId="1BE5F9A4"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Novo artigo para observância da Previc ao §5º do Art. 10 da Resolução CMN nº 4.994, de 2022. O artigo também regulamenta a Resolução CNPC nº 32, de 2019, considerando ser a norma que trata sobre o RAI.</w:t>
            </w:r>
          </w:p>
          <w:p w14:paraId="494E943D"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Optou-se pela utilização do RAI, para que não fosse determinado às EFPC a criação de novo documento de transparência. </w:t>
            </w:r>
          </w:p>
          <w:p w14:paraId="49FC1AC8" w14:textId="7A8B33C9"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Redação alternativa (menos perene, porém mais precisa): </w:t>
            </w:r>
          </w:p>
          <w:p w14:paraId="113F34D0"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Art. X A EFPC enquadrada no segmento S1 deve, nos termos do §5º do Art. 10 da Resolução CMN nº 4.994, de 2022, elaborar capítulo específico no Relatório Anual de Informações, denominado Relatório de Transparência ASG, contendo:</w:t>
            </w:r>
          </w:p>
          <w:p w14:paraId="5D17EA2A" w14:textId="15950721" w:rsidR="00A5652D" w:rsidRPr="00D462F0" w:rsidRDefault="00A5652D" w:rsidP="00D462F0">
            <w:pPr>
              <w:jc w:val="both"/>
              <w:rPr>
                <w:rFonts w:asciiTheme="majorHAnsi" w:hAnsiTheme="majorHAnsi" w:cstheme="majorHAnsi"/>
                <w:sz w:val="24"/>
                <w:szCs w:val="24"/>
              </w:rPr>
            </w:pPr>
          </w:p>
        </w:tc>
        <w:tc>
          <w:tcPr>
            <w:tcW w:w="4075" w:type="dxa"/>
          </w:tcPr>
          <w:p w14:paraId="797F2FB6" w14:textId="4D8B9900"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lastRenderedPageBreak/>
              <w:t>Inciso II do art. 4º do Decreto nº 10.411, de 2020.</w:t>
            </w:r>
          </w:p>
        </w:tc>
      </w:tr>
      <w:tr w:rsidR="00A5652D" w:rsidRPr="00C93770" w14:paraId="65F532B0" w14:textId="77777777" w:rsidTr="1756A420">
        <w:tc>
          <w:tcPr>
            <w:tcW w:w="4074" w:type="dxa"/>
          </w:tcPr>
          <w:p w14:paraId="4CD04601" w14:textId="7F798278"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6D1A6E46" w14:textId="738F34E5"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 - </w:t>
            </w:r>
            <w:proofErr w:type="gramStart"/>
            <w:r w:rsidRPr="00D462F0">
              <w:rPr>
                <w:rFonts w:asciiTheme="majorHAnsi" w:hAnsiTheme="majorHAnsi" w:cstheme="majorHAnsi"/>
                <w:bCs/>
                <w:color w:val="0000FF"/>
                <w:sz w:val="24"/>
                <w:szCs w:val="24"/>
              </w:rPr>
              <w:t>as</w:t>
            </w:r>
            <w:proofErr w:type="gramEnd"/>
            <w:r w:rsidRPr="00D462F0">
              <w:rPr>
                <w:rFonts w:asciiTheme="majorHAnsi" w:hAnsiTheme="majorHAnsi" w:cstheme="majorHAnsi"/>
                <w:bCs/>
                <w:color w:val="0000FF"/>
                <w:sz w:val="24"/>
                <w:szCs w:val="24"/>
              </w:rPr>
              <w:t xml:space="preserve"> estratégias que a EFPC utiliza para gerenciar os riscos e oportunidades relacionados à sustentabilidade nos horizontes de curto, médio e longo prazos;</w:t>
            </w:r>
          </w:p>
        </w:tc>
        <w:tc>
          <w:tcPr>
            <w:tcW w:w="4074" w:type="dxa"/>
          </w:tcPr>
          <w:p w14:paraId="57ED2668"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 Elencar as ações efetivas para prevenção, mitigação ou compensação dos riscos e para aproveitar as oportunidades ASG </w:t>
            </w:r>
          </w:p>
          <w:p w14:paraId="2A05726F" w14:textId="77777777" w:rsidR="00A5652D" w:rsidRPr="00D462F0" w:rsidRDefault="00A5652D" w:rsidP="00D462F0">
            <w:pPr>
              <w:jc w:val="both"/>
              <w:rPr>
                <w:rFonts w:asciiTheme="majorHAnsi" w:hAnsiTheme="majorHAnsi" w:cstheme="majorHAnsi"/>
                <w:sz w:val="24"/>
                <w:szCs w:val="24"/>
              </w:rPr>
            </w:pPr>
          </w:p>
        </w:tc>
        <w:tc>
          <w:tcPr>
            <w:tcW w:w="4075" w:type="dxa"/>
          </w:tcPr>
          <w:p w14:paraId="2E03E1AB" w14:textId="3FE74F4E"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082B993C" w14:textId="77777777" w:rsidTr="1756A420">
        <w:tc>
          <w:tcPr>
            <w:tcW w:w="4074" w:type="dxa"/>
          </w:tcPr>
          <w:p w14:paraId="0AA6746A" w14:textId="27DA2FEA"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2ECCBE41" w14:textId="786CEFE8"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II - </w:t>
            </w:r>
            <w:proofErr w:type="gramStart"/>
            <w:r w:rsidRPr="00D462F0">
              <w:rPr>
                <w:rFonts w:asciiTheme="majorHAnsi" w:hAnsiTheme="majorHAnsi" w:cstheme="majorHAnsi"/>
                <w:bCs/>
                <w:color w:val="0000FF"/>
                <w:sz w:val="24"/>
                <w:szCs w:val="24"/>
              </w:rPr>
              <w:t>o</w:t>
            </w:r>
            <w:proofErr w:type="gramEnd"/>
            <w:r w:rsidRPr="00D462F0">
              <w:rPr>
                <w:rFonts w:asciiTheme="majorHAnsi" w:hAnsiTheme="majorHAnsi" w:cstheme="majorHAnsi"/>
                <w:bCs/>
                <w:color w:val="0000FF"/>
                <w:sz w:val="24"/>
                <w:szCs w:val="24"/>
              </w:rPr>
              <w:t xml:space="preserve"> desempenho da EFPC com relação aos riscos e oportunidades relacionados à sustentabilidade, incluindo o progresso em relação a quaisquer metas que a entidade tenha definido ou cujo cumprimento seja requerido por lei ou regulamento;</w:t>
            </w:r>
          </w:p>
        </w:tc>
        <w:tc>
          <w:tcPr>
            <w:tcW w:w="4074" w:type="dxa"/>
          </w:tcPr>
          <w:p w14:paraId="7FABA2D8" w14:textId="063C979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Objetivo é trazer quantificação mínima das informações. Considerando que não houve ainda a conclusão dos trabalhos de taxonomia sustentável, optou-se por criar obrigação para que as EFPC definam parâmetros quantitativos a seu critério e os cumpra.</w:t>
            </w:r>
          </w:p>
        </w:tc>
        <w:tc>
          <w:tcPr>
            <w:tcW w:w="4075" w:type="dxa"/>
          </w:tcPr>
          <w:p w14:paraId="7693337F" w14:textId="5D8F2197"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A70E391" w14:textId="77777777" w:rsidTr="1756A420">
        <w:tc>
          <w:tcPr>
            <w:tcW w:w="4074" w:type="dxa"/>
          </w:tcPr>
          <w:p w14:paraId="0BA23D49" w14:textId="5708731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6A15CC9E" w14:textId="7A356139"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III - incluir as informações necessárias para a compreensão dos impactos ambientais, sociais ou de governança da carteira de investimento dos planos de benefícios;</w:t>
            </w:r>
          </w:p>
        </w:tc>
        <w:tc>
          <w:tcPr>
            <w:tcW w:w="4074" w:type="dxa"/>
          </w:tcPr>
          <w:p w14:paraId="6157C4F4" w14:textId="6CDFB64C"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Objetivo é trazer o conceito de suficiência. Relatório deve trazer toda informação necessária para a compreensão do cenário.</w:t>
            </w:r>
          </w:p>
        </w:tc>
        <w:tc>
          <w:tcPr>
            <w:tcW w:w="4075" w:type="dxa"/>
          </w:tcPr>
          <w:p w14:paraId="7F2BB2A2" w14:textId="5D6185B5"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3D2F332D" w14:textId="77777777" w:rsidTr="1756A420">
        <w:tc>
          <w:tcPr>
            <w:tcW w:w="4074" w:type="dxa"/>
          </w:tcPr>
          <w:p w14:paraId="67D70F1C" w14:textId="01535397"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06B926B" w14:textId="74BA6B5E"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IV - </w:t>
            </w:r>
            <w:proofErr w:type="gramStart"/>
            <w:r w:rsidRPr="00D462F0">
              <w:rPr>
                <w:rFonts w:asciiTheme="majorHAnsi" w:hAnsiTheme="majorHAnsi" w:cstheme="majorHAnsi"/>
                <w:bCs/>
                <w:color w:val="0000FF"/>
                <w:sz w:val="24"/>
                <w:szCs w:val="24"/>
              </w:rPr>
              <w:t>apresentar</w:t>
            </w:r>
            <w:proofErr w:type="gramEnd"/>
            <w:r w:rsidRPr="00D462F0">
              <w:rPr>
                <w:rFonts w:asciiTheme="majorHAnsi" w:hAnsiTheme="majorHAnsi" w:cstheme="majorHAnsi"/>
                <w:bCs/>
                <w:color w:val="0000FF"/>
                <w:sz w:val="24"/>
                <w:szCs w:val="24"/>
              </w:rPr>
              <w:t xml:space="preserve"> todos os riscos e oportunidades relacionados à sustentabilidade que possam afetar a entidade.</w:t>
            </w:r>
          </w:p>
        </w:tc>
        <w:tc>
          <w:tcPr>
            <w:tcW w:w="4074" w:type="dxa"/>
          </w:tcPr>
          <w:p w14:paraId="79DCE643" w14:textId="2EB5F91A"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Objetiva fazer com que a EFPC avalie os riscos e oportunidades ao qual está sujeita em matéria de sustentabilidade.</w:t>
            </w:r>
          </w:p>
        </w:tc>
        <w:tc>
          <w:tcPr>
            <w:tcW w:w="4075" w:type="dxa"/>
          </w:tcPr>
          <w:p w14:paraId="2A7A9EEA" w14:textId="16221485"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FD7AAF3" w14:textId="77777777" w:rsidTr="1756A420">
        <w:tc>
          <w:tcPr>
            <w:tcW w:w="4074" w:type="dxa"/>
          </w:tcPr>
          <w:p w14:paraId="56CB19B7" w14:textId="3479DD07"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8A66F8D" w14:textId="46A03A7B"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V - </w:t>
            </w:r>
            <w:proofErr w:type="gramStart"/>
            <w:r w:rsidRPr="00D462F0">
              <w:rPr>
                <w:rFonts w:asciiTheme="majorHAnsi" w:hAnsiTheme="majorHAnsi" w:cstheme="majorHAnsi"/>
                <w:bCs/>
                <w:color w:val="0000FF"/>
                <w:sz w:val="24"/>
                <w:szCs w:val="24"/>
              </w:rPr>
              <w:t>adotar</w:t>
            </w:r>
            <w:proofErr w:type="gramEnd"/>
            <w:r w:rsidRPr="00D462F0">
              <w:rPr>
                <w:rFonts w:asciiTheme="majorHAnsi" w:hAnsiTheme="majorHAnsi" w:cstheme="majorHAnsi"/>
                <w:bCs/>
                <w:color w:val="0000FF"/>
                <w:sz w:val="24"/>
                <w:szCs w:val="24"/>
              </w:rPr>
              <w:t xml:space="preserve"> divulgações consistentes no tempo e que observem </w:t>
            </w:r>
            <w:r w:rsidR="009C0A86">
              <w:rPr>
                <w:rFonts w:asciiTheme="majorHAnsi" w:hAnsiTheme="majorHAnsi" w:cstheme="majorHAnsi"/>
                <w:bCs/>
                <w:color w:val="0000FF"/>
                <w:sz w:val="24"/>
                <w:szCs w:val="24"/>
              </w:rPr>
              <w:t>vigentes Taxonomia Sustentável Brasileira</w:t>
            </w:r>
            <w:r w:rsidRPr="00D462F0">
              <w:rPr>
                <w:rFonts w:asciiTheme="majorHAnsi" w:hAnsiTheme="majorHAnsi" w:cstheme="majorHAnsi"/>
                <w:bCs/>
                <w:color w:val="0000FF"/>
                <w:sz w:val="24"/>
                <w:szCs w:val="24"/>
              </w:rPr>
              <w:t xml:space="preserve"> e </w:t>
            </w:r>
            <w:r w:rsidRPr="00D462F0">
              <w:rPr>
                <w:rFonts w:asciiTheme="majorHAnsi" w:hAnsiTheme="majorHAnsi" w:cstheme="majorHAnsi"/>
                <w:bCs/>
                <w:color w:val="0000FF"/>
                <w:sz w:val="24"/>
                <w:szCs w:val="24"/>
              </w:rPr>
              <w:lastRenderedPageBreak/>
              <w:t>padrões de referência nacionais e internacionalmente.</w:t>
            </w:r>
          </w:p>
        </w:tc>
        <w:tc>
          <w:tcPr>
            <w:tcW w:w="4074" w:type="dxa"/>
          </w:tcPr>
          <w:p w14:paraId="7372D09B"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 xml:space="preserve"> Objetiva fazer com que a EFPC seja consistente com sua política de divulgação. Em caso de adoção de </w:t>
            </w:r>
            <w:r w:rsidRPr="00D462F0">
              <w:rPr>
                <w:rFonts w:asciiTheme="majorHAnsi" w:hAnsiTheme="majorHAnsi" w:cstheme="majorHAnsi"/>
                <w:sz w:val="24"/>
                <w:szCs w:val="24"/>
              </w:rPr>
              <w:lastRenderedPageBreak/>
              <w:t>determinada métrica pela EFPC para divulgação, por exemplo, o dispositivo normativo em questão busca fazer com que a EFPC mantenha tal critérios consistentes no tempo. Inclusão de observação de taxonomias vigentes e adoção de padrões de referências (ISSB/CBPS/PRI).</w:t>
            </w:r>
          </w:p>
          <w:p w14:paraId="3412478B" w14:textId="4B861F7D" w:rsidR="00A5652D" w:rsidRPr="00D462F0" w:rsidRDefault="00A5652D" w:rsidP="00D462F0">
            <w:pPr>
              <w:jc w:val="both"/>
              <w:rPr>
                <w:rFonts w:asciiTheme="majorHAnsi" w:hAnsiTheme="majorHAnsi" w:cstheme="majorHAnsi"/>
                <w:sz w:val="24"/>
                <w:szCs w:val="24"/>
              </w:rPr>
            </w:pPr>
          </w:p>
        </w:tc>
        <w:tc>
          <w:tcPr>
            <w:tcW w:w="4075" w:type="dxa"/>
          </w:tcPr>
          <w:p w14:paraId="3C4F78BC" w14:textId="22AB2842"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lastRenderedPageBreak/>
              <w:t>Inciso II do art. 4º do Decreto nº 10.411, de 2020.</w:t>
            </w:r>
          </w:p>
        </w:tc>
      </w:tr>
      <w:tr w:rsidR="00A5652D" w:rsidRPr="00C93770" w14:paraId="5B33C068" w14:textId="77777777" w:rsidTr="1756A420">
        <w:tc>
          <w:tcPr>
            <w:tcW w:w="4074" w:type="dxa"/>
          </w:tcPr>
          <w:p w14:paraId="59C4BC6B" w14:textId="77777777"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p w14:paraId="1FC60046" w14:textId="77777777" w:rsidR="00A5652D" w:rsidRPr="00D462F0" w:rsidRDefault="00A5652D" w:rsidP="00D462F0">
            <w:pPr>
              <w:jc w:val="both"/>
              <w:rPr>
                <w:rFonts w:asciiTheme="majorHAnsi" w:hAnsiTheme="majorHAnsi" w:cstheme="majorHAnsi"/>
                <w:color w:val="000000"/>
                <w:sz w:val="24"/>
                <w:szCs w:val="24"/>
              </w:rPr>
            </w:pPr>
          </w:p>
        </w:tc>
        <w:tc>
          <w:tcPr>
            <w:tcW w:w="4074" w:type="dxa"/>
          </w:tcPr>
          <w:p w14:paraId="0A0548A9" w14:textId="223BA4F8" w:rsidR="00A5652D" w:rsidRPr="00D462F0" w:rsidRDefault="00FE74F0" w:rsidP="00D462F0">
            <w:pPr>
              <w:jc w:val="both"/>
              <w:rPr>
                <w:rFonts w:asciiTheme="majorHAnsi" w:hAnsiTheme="majorHAnsi" w:cstheme="majorHAnsi"/>
                <w:bCs/>
                <w:color w:val="000000"/>
                <w:sz w:val="24"/>
                <w:szCs w:val="24"/>
              </w:rPr>
            </w:pPr>
            <w:r>
              <w:rPr>
                <w:rFonts w:asciiTheme="majorHAnsi" w:hAnsiTheme="majorHAnsi" w:cstheme="majorHAnsi"/>
                <w:bCs/>
                <w:color w:val="0000FF"/>
                <w:sz w:val="24"/>
                <w:szCs w:val="24"/>
              </w:rPr>
              <w:t>Parágrafo único.</w:t>
            </w:r>
            <w:r w:rsidR="00A5652D" w:rsidRPr="00D462F0">
              <w:rPr>
                <w:rFonts w:asciiTheme="majorHAnsi" w:hAnsiTheme="majorHAnsi" w:cstheme="majorHAnsi"/>
                <w:bCs/>
                <w:color w:val="0000FF"/>
                <w:sz w:val="24"/>
                <w:szCs w:val="24"/>
              </w:rPr>
              <w:t xml:space="preserve">  As informações exigidas no </w:t>
            </w:r>
            <w:r w:rsidR="00A5652D" w:rsidRPr="00D462F0">
              <w:rPr>
                <w:rFonts w:asciiTheme="majorHAnsi" w:hAnsiTheme="majorHAnsi" w:cstheme="majorHAnsi"/>
                <w:bCs/>
                <w:i/>
                <w:iCs/>
                <w:color w:val="0000FF"/>
                <w:sz w:val="24"/>
                <w:szCs w:val="24"/>
              </w:rPr>
              <w:t>caput</w:t>
            </w:r>
            <w:r w:rsidR="00A5652D" w:rsidRPr="00D462F0">
              <w:rPr>
                <w:rFonts w:asciiTheme="majorHAnsi" w:hAnsiTheme="majorHAnsi" w:cstheme="majorHAnsi"/>
                <w:bCs/>
                <w:color w:val="0000FF"/>
                <w:sz w:val="24"/>
                <w:szCs w:val="24"/>
              </w:rPr>
              <w:t xml:space="preserve"> podem, a critério da EFPC, serem divulgadas em capítulo específico do RAI, desde que estruturadas de forma a assegurar sua adequada identificação, clareza e acessibilidade.</w:t>
            </w:r>
          </w:p>
        </w:tc>
        <w:tc>
          <w:tcPr>
            <w:tcW w:w="4074" w:type="dxa"/>
          </w:tcPr>
          <w:p w14:paraId="07C13CF6" w14:textId="3C6AA28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A inserção do parágrafo tem por objetivo estabelecer prazos diferenciados para o cumprimento do julgamento da materialidade e relevância dos aspectos de sustentabilidade econômica, ambientais, sociais e de governança, bem como da obrigação de dar transparência aos impactos ambientais, sociais ou de governança na carteira dos investimentos dos planos de benefícios, respeitando o porte a complexidade da EFPC que os administra.</w:t>
            </w:r>
          </w:p>
        </w:tc>
        <w:tc>
          <w:tcPr>
            <w:tcW w:w="4075" w:type="dxa"/>
          </w:tcPr>
          <w:p w14:paraId="1B4C5A5F" w14:textId="61E8E034"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E893E22" w14:textId="77777777" w:rsidTr="1756A420">
        <w:tc>
          <w:tcPr>
            <w:tcW w:w="4074" w:type="dxa"/>
          </w:tcPr>
          <w:p w14:paraId="6B694413" w14:textId="3DEE0900"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0657521" w14:textId="0BF05D87"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Art. 368-D.  As EFPC deverão cumprir o estabelecido nos artigos 368-B e 368-C </w:t>
            </w:r>
            <w:r w:rsidR="0047766D">
              <w:rPr>
                <w:rFonts w:asciiTheme="majorHAnsi" w:hAnsiTheme="majorHAnsi" w:cstheme="majorHAnsi"/>
                <w:bCs/>
                <w:color w:val="0000FF"/>
                <w:sz w:val="24"/>
                <w:szCs w:val="24"/>
              </w:rPr>
              <w:t>até</w:t>
            </w:r>
            <w:r w:rsidRPr="00D462F0">
              <w:rPr>
                <w:rFonts w:asciiTheme="majorHAnsi" w:hAnsiTheme="majorHAnsi" w:cstheme="majorHAnsi"/>
                <w:bCs/>
                <w:color w:val="0000FF"/>
                <w:sz w:val="24"/>
                <w:szCs w:val="24"/>
              </w:rPr>
              <w:t xml:space="preserve">: </w:t>
            </w:r>
          </w:p>
        </w:tc>
        <w:tc>
          <w:tcPr>
            <w:tcW w:w="4074" w:type="dxa"/>
          </w:tcPr>
          <w:p w14:paraId="0F4B3FF1" w14:textId="77777777" w:rsidR="00A5652D" w:rsidRPr="00D462F0" w:rsidRDefault="00A5652D" w:rsidP="00D462F0">
            <w:pPr>
              <w:jc w:val="both"/>
              <w:rPr>
                <w:rFonts w:asciiTheme="majorHAnsi" w:hAnsiTheme="majorHAnsi" w:cstheme="majorHAnsi"/>
                <w:sz w:val="24"/>
                <w:szCs w:val="24"/>
              </w:rPr>
            </w:pPr>
          </w:p>
        </w:tc>
        <w:tc>
          <w:tcPr>
            <w:tcW w:w="4075" w:type="dxa"/>
          </w:tcPr>
          <w:p w14:paraId="54E0C8EE" w14:textId="6B66E677"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4ABD3052" w14:textId="77777777" w:rsidTr="1756A420">
        <w:tc>
          <w:tcPr>
            <w:tcW w:w="4074" w:type="dxa"/>
          </w:tcPr>
          <w:p w14:paraId="022178DE" w14:textId="65A446F5"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5926A04F" w14:textId="0ECD9203"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 </w:t>
            </w:r>
            <w:r w:rsidR="0047766D">
              <w:rPr>
                <w:rFonts w:asciiTheme="majorHAnsi" w:hAnsiTheme="majorHAnsi" w:cstheme="majorHAnsi"/>
                <w:bCs/>
                <w:color w:val="0000FF"/>
                <w:sz w:val="24"/>
                <w:szCs w:val="24"/>
              </w:rPr>
              <w:t>–</w:t>
            </w:r>
            <w:r w:rsidRPr="00D462F0">
              <w:rPr>
                <w:rFonts w:asciiTheme="majorHAnsi" w:hAnsiTheme="majorHAnsi" w:cstheme="majorHAnsi"/>
                <w:bCs/>
                <w:color w:val="0000FF"/>
                <w:sz w:val="24"/>
                <w:szCs w:val="24"/>
              </w:rPr>
              <w:t xml:space="preserve"> </w:t>
            </w:r>
            <w:r w:rsidR="0047766D">
              <w:rPr>
                <w:rFonts w:asciiTheme="majorHAnsi" w:hAnsiTheme="majorHAnsi" w:cstheme="majorHAnsi"/>
                <w:bCs/>
                <w:color w:val="0000FF"/>
                <w:sz w:val="24"/>
                <w:szCs w:val="24"/>
              </w:rPr>
              <w:t>31 de dezembro de 2026</w:t>
            </w:r>
            <w:r w:rsidRPr="00D462F0">
              <w:rPr>
                <w:rFonts w:asciiTheme="majorHAnsi" w:hAnsiTheme="majorHAnsi" w:cstheme="majorHAnsi"/>
                <w:bCs/>
                <w:color w:val="0000FF"/>
                <w:sz w:val="24"/>
                <w:szCs w:val="24"/>
              </w:rPr>
              <w:t xml:space="preserve"> para as EFPC classificadas no segmento S1;</w:t>
            </w:r>
          </w:p>
        </w:tc>
        <w:tc>
          <w:tcPr>
            <w:tcW w:w="4074" w:type="dxa"/>
          </w:tcPr>
          <w:p w14:paraId="39E0D15E" w14:textId="77777777" w:rsidR="00A5652D" w:rsidRPr="00D462F0" w:rsidRDefault="00A5652D" w:rsidP="00D462F0">
            <w:pPr>
              <w:jc w:val="both"/>
              <w:rPr>
                <w:rFonts w:asciiTheme="majorHAnsi" w:hAnsiTheme="majorHAnsi" w:cstheme="majorHAnsi"/>
                <w:sz w:val="24"/>
                <w:szCs w:val="24"/>
              </w:rPr>
            </w:pPr>
          </w:p>
        </w:tc>
        <w:tc>
          <w:tcPr>
            <w:tcW w:w="4075" w:type="dxa"/>
          </w:tcPr>
          <w:p w14:paraId="00CCC564" w14:textId="2B9E4372"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13E59841" w14:textId="77777777" w:rsidTr="1756A420">
        <w:tc>
          <w:tcPr>
            <w:tcW w:w="4074" w:type="dxa"/>
          </w:tcPr>
          <w:p w14:paraId="1269C7EC" w14:textId="718E419B"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7F275C0F" w14:textId="355FF51B"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II - </w:t>
            </w:r>
            <w:r w:rsidR="0047766D">
              <w:rPr>
                <w:rFonts w:asciiTheme="majorHAnsi" w:hAnsiTheme="majorHAnsi" w:cstheme="majorHAnsi"/>
                <w:bCs/>
                <w:color w:val="0000FF"/>
                <w:sz w:val="24"/>
                <w:szCs w:val="24"/>
              </w:rPr>
              <w:t>31 de dezembro de 2027</w:t>
            </w:r>
            <w:r w:rsidRPr="00D462F0">
              <w:rPr>
                <w:rFonts w:asciiTheme="majorHAnsi" w:hAnsiTheme="majorHAnsi" w:cstheme="majorHAnsi"/>
                <w:bCs/>
                <w:color w:val="0000FF"/>
                <w:sz w:val="24"/>
                <w:szCs w:val="24"/>
              </w:rPr>
              <w:t xml:space="preserve"> para as EFPC classificadas nos segmentos S2 e S3; e</w:t>
            </w:r>
          </w:p>
        </w:tc>
        <w:tc>
          <w:tcPr>
            <w:tcW w:w="4074" w:type="dxa"/>
          </w:tcPr>
          <w:p w14:paraId="2403958D" w14:textId="77777777" w:rsidR="00A5652D" w:rsidRPr="00D462F0" w:rsidRDefault="00A5652D" w:rsidP="00D462F0">
            <w:pPr>
              <w:jc w:val="both"/>
              <w:rPr>
                <w:rFonts w:asciiTheme="majorHAnsi" w:hAnsiTheme="majorHAnsi" w:cstheme="majorHAnsi"/>
                <w:sz w:val="24"/>
                <w:szCs w:val="24"/>
              </w:rPr>
            </w:pPr>
          </w:p>
        </w:tc>
        <w:tc>
          <w:tcPr>
            <w:tcW w:w="4075" w:type="dxa"/>
          </w:tcPr>
          <w:p w14:paraId="388CFD7E" w14:textId="02D90DB1"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03A586CB" w14:textId="77777777" w:rsidTr="1756A420">
        <w:tc>
          <w:tcPr>
            <w:tcW w:w="4074" w:type="dxa"/>
          </w:tcPr>
          <w:p w14:paraId="6A0EA20B" w14:textId="5BEEF65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4E6B752F" w14:textId="3D4AE5C0"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xml:space="preserve">III - </w:t>
            </w:r>
            <w:r w:rsidR="0047766D">
              <w:rPr>
                <w:rFonts w:asciiTheme="majorHAnsi" w:hAnsiTheme="majorHAnsi" w:cstheme="majorHAnsi"/>
                <w:bCs/>
                <w:color w:val="0000FF"/>
                <w:sz w:val="24"/>
                <w:szCs w:val="24"/>
              </w:rPr>
              <w:t xml:space="preserve">31 de dezembro de 2028 </w:t>
            </w:r>
            <w:r w:rsidRPr="00D462F0">
              <w:rPr>
                <w:rFonts w:asciiTheme="majorHAnsi" w:hAnsiTheme="majorHAnsi" w:cstheme="majorHAnsi"/>
                <w:bCs/>
                <w:color w:val="0000FF"/>
                <w:sz w:val="24"/>
                <w:szCs w:val="24"/>
              </w:rPr>
              <w:t>para as EFPC classificadas no segmento S4.</w:t>
            </w:r>
          </w:p>
        </w:tc>
        <w:tc>
          <w:tcPr>
            <w:tcW w:w="4074" w:type="dxa"/>
          </w:tcPr>
          <w:p w14:paraId="0B7B6937" w14:textId="77777777" w:rsidR="00A5652D" w:rsidRPr="00D462F0" w:rsidRDefault="00A5652D" w:rsidP="00D462F0">
            <w:pPr>
              <w:jc w:val="both"/>
              <w:rPr>
                <w:rFonts w:asciiTheme="majorHAnsi" w:hAnsiTheme="majorHAnsi" w:cstheme="majorHAnsi"/>
                <w:sz w:val="24"/>
                <w:szCs w:val="24"/>
              </w:rPr>
            </w:pPr>
          </w:p>
        </w:tc>
        <w:tc>
          <w:tcPr>
            <w:tcW w:w="4075" w:type="dxa"/>
          </w:tcPr>
          <w:p w14:paraId="18800DFE" w14:textId="205B07E1"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375C5F63" w14:textId="77777777" w:rsidTr="1756A420">
        <w:tc>
          <w:tcPr>
            <w:tcW w:w="4074" w:type="dxa"/>
          </w:tcPr>
          <w:p w14:paraId="0030D219" w14:textId="5F49F384"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6BF8ACF8" w14:textId="330FF24F"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FF"/>
                <w:sz w:val="24"/>
                <w:szCs w:val="24"/>
              </w:rPr>
              <w:t>§ 1</w:t>
            </w:r>
            <w:proofErr w:type="gramStart"/>
            <w:r w:rsidRPr="00D462F0">
              <w:rPr>
                <w:rFonts w:asciiTheme="majorHAnsi" w:hAnsiTheme="majorHAnsi" w:cstheme="majorHAnsi"/>
                <w:bCs/>
                <w:color w:val="0000FF"/>
                <w:sz w:val="24"/>
                <w:szCs w:val="24"/>
              </w:rPr>
              <w:t>º  As</w:t>
            </w:r>
            <w:proofErr w:type="gramEnd"/>
            <w:r w:rsidRPr="00D462F0">
              <w:rPr>
                <w:rFonts w:asciiTheme="majorHAnsi" w:hAnsiTheme="majorHAnsi" w:cstheme="majorHAnsi"/>
                <w:bCs/>
                <w:color w:val="0000FF"/>
                <w:sz w:val="24"/>
                <w:szCs w:val="24"/>
              </w:rPr>
              <w:t xml:space="preserve"> EFPC que fazem gestão por meio de carteira administrada ou fundo de investimento podem utilizar documentos emitidos pelos prestadores de serviços, como subsídio </w:t>
            </w:r>
            <w:r w:rsidRPr="00D462F0">
              <w:rPr>
                <w:rFonts w:asciiTheme="majorHAnsi" w:hAnsiTheme="majorHAnsi" w:cstheme="majorHAnsi"/>
                <w:bCs/>
                <w:color w:val="0000FF"/>
                <w:sz w:val="24"/>
                <w:szCs w:val="24"/>
              </w:rPr>
              <w:lastRenderedPageBreak/>
              <w:t>para o cumprimento do disposto dos art. 368-B e 368-C, preferencialmente, com acreditação.</w:t>
            </w:r>
          </w:p>
        </w:tc>
        <w:tc>
          <w:tcPr>
            <w:tcW w:w="4074" w:type="dxa"/>
          </w:tcPr>
          <w:p w14:paraId="3E10A686" w14:textId="05CF94FF"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lastRenderedPageBreak/>
              <w:t>Disposição normativa voltada a reduzir eventuais custos de observância ao facultar que a EFPC utilize relatórios de gestores terceirizados como subsídio.</w:t>
            </w:r>
          </w:p>
        </w:tc>
        <w:tc>
          <w:tcPr>
            <w:tcW w:w="4075" w:type="dxa"/>
          </w:tcPr>
          <w:p w14:paraId="1FD13148" w14:textId="0793BB61"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73EB3DD8" w14:textId="77777777" w:rsidTr="1756A420">
        <w:tc>
          <w:tcPr>
            <w:tcW w:w="4074" w:type="dxa"/>
          </w:tcPr>
          <w:p w14:paraId="6DC436B3" w14:textId="49882951"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sz w:val="24"/>
                <w:szCs w:val="24"/>
              </w:rPr>
              <w:t>Sem referência anterior.</w:t>
            </w:r>
          </w:p>
        </w:tc>
        <w:tc>
          <w:tcPr>
            <w:tcW w:w="4074" w:type="dxa"/>
          </w:tcPr>
          <w:p w14:paraId="1B7353C9" w14:textId="59D0A8F0" w:rsidR="00A5652D" w:rsidRPr="00D37958" w:rsidRDefault="00D37958" w:rsidP="00D462F0">
            <w:pPr>
              <w:jc w:val="both"/>
              <w:rPr>
                <w:rFonts w:asciiTheme="majorHAnsi" w:hAnsiTheme="majorHAnsi" w:cstheme="majorHAnsi"/>
                <w:bCs/>
                <w:color w:val="0000FF"/>
                <w:sz w:val="24"/>
                <w:szCs w:val="24"/>
              </w:rPr>
            </w:pPr>
            <w:r w:rsidRPr="00D37958">
              <w:rPr>
                <w:rFonts w:asciiTheme="majorHAnsi" w:hAnsiTheme="majorHAnsi" w:cstheme="majorHAnsi"/>
                <w:bCs/>
                <w:color w:val="0000FF"/>
                <w:sz w:val="24"/>
                <w:szCs w:val="24"/>
              </w:rPr>
              <w:t>§ 2</w:t>
            </w:r>
            <w:proofErr w:type="gramStart"/>
            <w:r w:rsidRPr="00D37958">
              <w:rPr>
                <w:rFonts w:asciiTheme="majorHAnsi" w:hAnsiTheme="majorHAnsi" w:cstheme="majorHAnsi"/>
                <w:bCs/>
                <w:color w:val="0000FF"/>
                <w:sz w:val="24"/>
                <w:szCs w:val="24"/>
              </w:rPr>
              <w:t>º  Os</w:t>
            </w:r>
            <w:proofErr w:type="gramEnd"/>
            <w:r w:rsidRPr="00D37958">
              <w:rPr>
                <w:rFonts w:asciiTheme="majorHAnsi" w:hAnsiTheme="majorHAnsi" w:cstheme="majorHAnsi"/>
                <w:bCs/>
                <w:color w:val="0000FF"/>
                <w:sz w:val="24"/>
                <w:szCs w:val="24"/>
              </w:rPr>
              <w:t xml:space="preserve"> critérios, níveis de exigência, orientações metodológicas e prazos para atendimento ao disposto no </w:t>
            </w:r>
            <w:r w:rsidRPr="00FB3502">
              <w:rPr>
                <w:rFonts w:asciiTheme="majorHAnsi" w:hAnsiTheme="majorHAnsi" w:cstheme="majorHAnsi"/>
                <w:bCs/>
                <w:i/>
                <w:iCs/>
                <w:color w:val="0000FF"/>
                <w:sz w:val="24"/>
                <w:szCs w:val="24"/>
              </w:rPr>
              <w:t>caput</w:t>
            </w:r>
            <w:r w:rsidRPr="00D37958">
              <w:rPr>
                <w:rFonts w:asciiTheme="majorHAnsi" w:hAnsiTheme="majorHAnsi" w:cstheme="majorHAnsi"/>
                <w:bCs/>
                <w:color w:val="0000FF"/>
                <w:sz w:val="24"/>
                <w:szCs w:val="24"/>
              </w:rPr>
              <w:t xml:space="preserve"> serão definidos em Portaria a ser editada pela DINOR.</w:t>
            </w:r>
          </w:p>
        </w:tc>
        <w:tc>
          <w:tcPr>
            <w:tcW w:w="4074" w:type="dxa"/>
          </w:tcPr>
          <w:p w14:paraId="32620915" w14:textId="01C0BE0F"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Definição da forma de atendimento no disposto nos art. 368-B e 368-C a ser definida em Portaria Dinor, de forma a assegurar proporcionalidade regulatória, padronização mínima e alinhamento às melhores práticas de mercado.</w:t>
            </w:r>
          </w:p>
        </w:tc>
        <w:tc>
          <w:tcPr>
            <w:tcW w:w="4075" w:type="dxa"/>
          </w:tcPr>
          <w:p w14:paraId="760333E8" w14:textId="5A4807AF" w:rsidR="00A5652D" w:rsidRPr="00D462F0" w:rsidRDefault="00A5652D" w:rsidP="00D462F0">
            <w:pPr>
              <w:jc w:val="both"/>
              <w:rPr>
                <w:rFonts w:asciiTheme="majorHAnsi" w:hAnsiTheme="majorHAnsi" w:cstheme="majorHAnsi"/>
                <w:bCs/>
                <w:sz w:val="24"/>
                <w:szCs w:val="24"/>
              </w:rPr>
            </w:pPr>
            <w:r w:rsidRPr="00D462F0">
              <w:rPr>
                <w:rFonts w:asciiTheme="majorHAnsi" w:eastAsia="Calibri" w:hAnsiTheme="majorHAnsi" w:cstheme="majorHAnsi"/>
                <w:bCs/>
                <w:sz w:val="24"/>
                <w:szCs w:val="24"/>
              </w:rPr>
              <w:t>Inciso II do art. 4º do Decreto nº 10.411, de 2020.</w:t>
            </w:r>
          </w:p>
        </w:tc>
      </w:tr>
      <w:tr w:rsidR="00A5652D" w:rsidRPr="00C93770" w14:paraId="5B83EDDA" w14:textId="77777777" w:rsidTr="1756A420">
        <w:tc>
          <w:tcPr>
            <w:tcW w:w="4074" w:type="dxa"/>
          </w:tcPr>
          <w:p w14:paraId="23792B3C" w14:textId="0B65BBFC"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7A7C50A5" w14:textId="141073B1"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0E2EBE75" w14:textId="77777777" w:rsidR="00A5652D" w:rsidRPr="00D462F0" w:rsidRDefault="00A5652D" w:rsidP="00D462F0">
            <w:pPr>
              <w:jc w:val="both"/>
              <w:rPr>
                <w:rFonts w:asciiTheme="majorHAnsi" w:hAnsiTheme="majorHAnsi" w:cstheme="majorHAnsi"/>
                <w:sz w:val="24"/>
                <w:szCs w:val="24"/>
              </w:rPr>
            </w:pPr>
          </w:p>
        </w:tc>
        <w:tc>
          <w:tcPr>
            <w:tcW w:w="4075" w:type="dxa"/>
          </w:tcPr>
          <w:p w14:paraId="324D535D" w14:textId="77777777" w:rsidR="00A5652D" w:rsidRPr="00D462F0" w:rsidRDefault="00A5652D" w:rsidP="00D462F0">
            <w:pPr>
              <w:jc w:val="both"/>
              <w:rPr>
                <w:rFonts w:asciiTheme="majorHAnsi" w:hAnsiTheme="majorHAnsi" w:cstheme="majorHAnsi"/>
                <w:bCs/>
                <w:sz w:val="24"/>
                <w:szCs w:val="24"/>
              </w:rPr>
            </w:pPr>
          </w:p>
        </w:tc>
      </w:tr>
      <w:tr w:rsidR="00A5652D" w:rsidRPr="00C93770" w14:paraId="50FB65BF" w14:textId="77777777" w:rsidTr="1756A420">
        <w:tc>
          <w:tcPr>
            <w:tcW w:w="4074" w:type="dxa"/>
          </w:tcPr>
          <w:p w14:paraId="256FAA11" w14:textId="77777777"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CAPÍTULO XV</w:t>
            </w:r>
          </w:p>
          <w:p w14:paraId="5ABE489E" w14:textId="47DC07F2" w:rsidR="00A5652D" w:rsidRPr="00D462F0" w:rsidRDefault="00A5652D" w:rsidP="008F3FAE">
            <w:pPr>
              <w:jc w:val="center"/>
              <w:rPr>
                <w:rFonts w:asciiTheme="majorHAnsi" w:hAnsiTheme="majorHAnsi" w:cstheme="majorHAnsi"/>
                <w:color w:val="000000"/>
                <w:sz w:val="24"/>
                <w:szCs w:val="24"/>
              </w:rPr>
            </w:pPr>
            <w:r w:rsidRPr="00D462F0">
              <w:rPr>
                <w:rFonts w:asciiTheme="majorHAnsi" w:hAnsiTheme="majorHAnsi" w:cstheme="majorHAnsi"/>
                <w:bCs/>
                <w:color w:val="000000"/>
                <w:sz w:val="24"/>
                <w:szCs w:val="24"/>
              </w:rPr>
              <w:t>DAS DISPOSIÇÕES FINAIS</w:t>
            </w:r>
          </w:p>
        </w:tc>
        <w:tc>
          <w:tcPr>
            <w:tcW w:w="4074" w:type="dxa"/>
          </w:tcPr>
          <w:p w14:paraId="05B260AE" w14:textId="77777777"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CAPÍTULO XV</w:t>
            </w:r>
          </w:p>
          <w:p w14:paraId="50F4C916" w14:textId="27339C6D"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DAS DISPOSIÇÕES FINAIS</w:t>
            </w:r>
          </w:p>
        </w:tc>
        <w:tc>
          <w:tcPr>
            <w:tcW w:w="4074" w:type="dxa"/>
          </w:tcPr>
          <w:p w14:paraId="59D33C37" w14:textId="77777777" w:rsidR="00A5652D" w:rsidRPr="00D462F0" w:rsidRDefault="00A5652D" w:rsidP="00D462F0">
            <w:pPr>
              <w:jc w:val="both"/>
              <w:rPr>
                <w:rFonts w:asciiTheme="majorHAnsi" w:hAnsiTheme="majorHAnsi" w:cstheme="majorHAnsi"/>
                <w:sz w:val="24"/>
                <w:szCs w:val="24"/>
              </w:rPr>
            </w:pPr>
          </w:p>
        </w:tc>
        <w:tc>
          <w:tcPr>
            <w:tcW w:w="4075" w:type="dxa"/>
          </w:tcPr>
          <w:p w14:paraId="17B9E10D" w14:textId="77777777" w:rsidR="00A5652D" w:rsidRPr="00D462F0" w:rsidRDefault="00A5652D" w:rsidP="00D462F0">
            <w:pPr>
              <w:jc w:val="both"/>
              <w:rPr>
                <w:rFonts w:asciiTheme="majorHAnsi" w:hAnsiTheme="majorHAnsi" w:cstheme="majorHAnsi"/>
                <w:bCs/>
                <w:sz w:val="24"/>
                <w:szCs w:val="24"/>
              </w:rPr>
            </w:pPr>
          </w:p>
        </w:tc>
      </w:tr>
      <w:tr w:rsidR="007978F1" w:rsidRPr="00C93770" w14:paraId="0EFFB9F9" w14:textId="77777777" w:rsidTr="1756A420">
        <w:tc>
          <w:tcPr>
            <w:tcW w:w="4074" w:type="dxa"/>
          </w:tcPr>
          <w:p w14:paraId="667019FE" w14:textId="042404BA" w:rsidR="007978F1" w:rsidRPr="00D462F0" w:rsidRDefault="007978F1"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75A214D7" w14:textId="524C3DFA" w:rsidR="007978F1" w:rsidRPr="00D462F0" w:rsidRDefault="007978F1"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660667B3" w14:textId="77777777" w:rsidR="007978F1" w:rsidRPr="00D462F0" w:rsidRDefault="007978F1" w:rsidP="00D462F0">
            <w:pPr>
              <w:jc w:val="both"/>
              <w:rPr>
                <w:rFonts w:asciiTheme="majorHAnsi" w:hAnsiTheme="majorHAnsi" w:cstheme="majorHAnsi"/>
                <w:sz w:val="24"/>
                <w:szCs w:val="24"/>
              </w:rPr>
            </w:pPr>
          </w:p>
        </w:tc>
        <w:tc>
          <w:tcPr>
            <w:tcW w:w="4075" w:type="dxa"/>
          </w:tcPr>
          <w:p w14:paraId="1EC537F0" w14:textId="77777777" w:rsidR="007978F1" w:rsidRPr="00D462F0" w:rsidRDefault="007978F1" w:rsidP="00D462F0">
            <w:pPr>
              <w:jc w:val="both"/>
              <w:rPr>
                <w:rFonts w:asciiTheme="majorHAnsi" w:hAnsiTheme="majorHAnsi" w:cstheme="majorHAnsi"/>
                <w:bCs/>
                <w:sz w:val="24"/>
                <w:szCs w:val="24"/>
              </w:rPr>
            </w:pPr>
          </w:p>
        </w:tc>
      </w:tr>
      <w:tr w:rsidR="00A5652D" w:rsidRPr="00C93770" w14:paraId="4E19A866" w14:textId="77777777" w:rsidTr="1756A420">
        <w:tc>
          <w:tcPr>
            <w:tcW w:w="4074" w:type="dxa"/>
          </w:tcPr>
          <w:p w14:paraId="443867EB" w14:textId="6435F390"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color w:val="000000"/>
                <w:sz w:val="24"/>
                <w:szCs w:val="24"/>
              </w:rPr>
              <w:t>Art. 388.  Ficam revogadas as seguintes normas:</w:t>
            </w:r>
          </w:p>
          <w:p w14:paraId="5FD89C36" w14:textId="77777777" w:rsidR="00A5652D" w:rsidRPr="00D462F0" w:rsidRDefault="00A5652D" w:rsidP="00D462F0">
            <w:pPr>
              <w:jc w:val="both"/>
              <w:rPr>
                <w:rFonts w:asciiTheme="majorHAnsi" w:hAnsiTheme="majorHAnsi" w:cstheme="majorHAnsi"/>
                <w:color w:val="000000"/>
                <w:sz w:val="24"/>
                <w:szCs w:val="24"/>
              </w:rPr>
            </w:pPr>
          </w:p>
        </w:tc>
        <w:tc>
          <w:tcPr>
            <w:tcW w:w="4074" w:type="dxa"/>
          </w:tcPr>
          <w:p w14:paraId="679F35CD" w14:textId="66ECD9D3"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color w:val="000000"/>
                <w:sz w:val="24"/>
                <w:szCs w:val="24"/>
              </w:rPr>
              <w:t>Art. 388.  Ficam revogadas as seguintes normas:</w:t>
            </w:r>
          </w:p>
          <w:p w14:paraId="13EDBB95" w14:textId="77777777" w:rsidR="00A5652D" w:rsidRPr="00D462F0" w:rsidRDefault="00A5652D" w:rsidP="00D462F0">
            <w:pPr>
              <w:jc w:val="both"/>
              <w:rPr>
                <w:rFonts w:asciiTheme="majorHAnsi" w:hAnsiTheme="majorHAnsi" w:cstheme="majorHAnsi"/>
                <w:bCs/>
                <w:color w:val="000000"/>
                <w:sz w:val="24"/>
                <w:szCs w:val="24"/>
              </w:rPr>
            </w:pPr>
          </w:p>
        </w:tc>
        <w:tc>
          <w:tcPr>
            <w:tcW w:w="4074" w:type="dxa"/>
          </w:tcPr>
          <w:p w14:paraId="2241EF30" w14:textId="77777777" w:rsidR="00A5652D" w:rsidRPr="00D462F0" w:rsidRDefault="00A5652D" w:rsidP="00D462F0">
            <w:pPr>
              <w:jc w:val="both"/>
              <w:rPr>
                <w:rFonts w:asciiTheme="majorHAnsi" w:hAnsiTheme="majorHAnsi" w:cstheme="majorHAnsi"/>
                <w:sz w:val="24"/>
                <w:szCs w:val="24"/>
              </w:rPr>
            </w:pPr>
          </w:p>
        </w:tc>
        <w:tc>
          <w:tcPr>
            <w:tcW w:w="4075" w:type="dxa"/>
          </w:tcPr>
          <w:p w14:paraId="5681D6C8" w14:textId="77777777" w:rsidR="00A5652D" w:rsidRPr="00D462F0" w:rsidRDefault="00A5652D" w:rsidP="00D462F0">
            <w:pPr>
              <w:jc w:val="both"/>
              <w:rPr>
                <w:rFonts w:asciiTheme="majorHAnsi" w:hAnsiTheme="majorHAnsi" w:cstheme="majorHAnsi"/>
                <w:bCs/>
                <w:sz w:val="24"/>
                <w:szCs w:val="24"/>
              </w:rPr>
            </w:pPr>
          </w:p>
        </w:tc>
      </w:tr>
      <w:tr w:rsidR="00A5652D" w:rsidRPr="00C93770" w14:paraId="679F63A5" w14:textId="77777777" w:rsidTr="1756A420">
        <w:tc>
          <w:tcPr>
            <w:tcW w:w="4074" w:type="dxa"/>
          </w:tcPr>
          <w:p w14:paraId="02FBD2F8" w14:textId="792BEC67" w:rsidR="00A5652D" w:rsidRPr="00D462F0" w:rsidRDefault="00A5652D"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11D91F68" w14:textId="3122EDF3"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51968BCF" w14:textId="77777777" w:rsidR="00A5652D" w:rsidRPr="00D462F0" w:rsidRDefault="00A5652D" w:rsidP="00D462F0">
            <w:pPr>
              <w:jc w:val="both"/>
              <w:rPr>
                <w:rFonts w:asciiTheme="majorHAnsi" w:hAnsiTheme="majorHAnsi" w:cstheme="majorHAnsi"/>
                <w:sz w:val="24"/>
                <w:szCs w:val="24"/>
              </w:rPr>
            </w:pPr>
          </w:p>
        </w:tc>
        <w:tc>
          <w:tcPr>
            <w:tcW w:w="4075" w:type="dxa"/>
          </w:tcPr>
          <w:p w14:paraId="177E696E" w14:textId="77777777" w:rsidR="00A5652D" w:rsidRPr="00D462F0" w:rsidRDefault="00A5652D" w:rsidP="00D462F0">
            <w:pPr>
              <w:jc w:val="both"/>
              <w:rPr>
                <w:rFonts w:asciiTheme="majorHAnsi" w:hAnsiTheme="majorHAnsi" w:cstheme="majorHAnsi"/>
                <w:bCs/>
                <w:sz w:val="24"/>
                <w:szCs w:val="24"/>
              </w:rPr>
            </w:pPr>
          </w:p>
        </w:tc>
      </w:tr>
      <w:tr w:rsidR="00A5652D" w:rsidRPr="00C93770" w14:paraId="001192A0" w14:textId="77777777" w:rsidTr="1756A420">
        <w:tc>
          <w:tcPr>
            <w:tcW w:w="4074" w:type="dxa"/>
          </w:tcPr>
          <w:p w14:paraId="5EAD58E9" w14:textId="276D580F"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XXXVII - Resolução Previc nº 20, de 22 de dezembro de 2022; e</w:t>
            </w:r>
          </w:p>
        </w:tc>
        <w:tc>
          <w:tcPr>
            <w:tcW w:w="4074" w:type="dxa"/>
          </w:tcPr>
          <w:p w14:paraId="16DD3A8A" w14:textId="28EBAFD8"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 xml:space="preserve">XXXVII - Resolução Previc nº 20, de 22 de dezembro de </w:t>
            </w:r>
            <w:proofErr w:type="gramStart"/>
            <w:r w:rsidRPr="00D462F0">
              <w:rPr>
                <w:rFonts w:asciiTheme="majorHAnsi" w:hAnsiTheme="majorHAnsi" w:cstheme="majorHAnsi"/>
                <w:bCs/>
                <w:color w:val="000000"/>
                <w:sz w:val="24"/>
                <w:szCs w:val="24"/>
              </w:rPr>
              <w:t xml:space="preserve">2022; </w:t>
            </w:r>
            <w:r w:rsidRPr="00D462F0">
              <w:rPr>
                <w:rFonts w:asciiTheme="majorHAnsi" w:hAnsiTheme="majorHAnsi" w:cstheme="majorHAnsi"/>
                <w:bCs/>
                <w:strike/>
                <w:color w:val="EE0000"/>
                <w:sz w:val="24"/>
                <w:szCs w:val="24"/>
              </w:rPr>
              <w:t xml:space="preserve"> e</w:t>
            </w:r>
            <w:proofErr w:type="gramEnd"/>
            <w:r w:rsidRPr="00D462F0">
              <w:rPr>
                <w:rFonts w:asciiTheme="majorHAnsi" w:hAnsiTheme="majorHAnsi" w:cstheme="majorHAnsi"/>
                <w:bCs/>
                <w:strike/>
                <w:color w:val="EE0000"/>
                <w:sz w:val="24"/>
                <w:szCs w:val="24"/>
              </w:rPr>
              <w:t xml:space="preserve"> </w:t>
            </w:r>
          </w:p>
          <w:p w14:paraId="3B38C0FB" w14:textId="5C229A91" w:rsidR="00A5652D" w:rsidRPr="00D462F0" w:rsidRDefault="00A5652D" w:rsidP="00D462F0">
            <w:pPr>
              <w:jc w:val="both"/>
              <w:rPr>
                <w:rFonts w:asciiTheme="majorHAnsi" w:hAnsiTheme="majorHAnsi" w:cstheme="majorHAnsi"/>
                <w:bCs/>
                <w:color w:val="000000"/>
                <w:sz w:val="24"/>
                <w:szCs w:val="24"/>
              </w:rPr>
            </w:pPr>
          </w:p>
        </w:tc>
        <w:tc>
          <w:tcPr>
            <w:tcW w:w="4074" w:type="dxa"/>
          </w:tcPr>
          <w:p w14:paraId="0B5041F7" w14:textId="724CB6D3" w:rsidR="00A5652D" w:rsidRPr="00D462F0" w:rsidRDefault="00A5652D" w:rsidP="00D462F0">
            <w:pPr>
              <w:jc w:val="both"/>
              <w:rPr>
                <w:rFonts w:asciiTheme="majorHAnsi" w:hAnsiTheme="majorHAnsi" w:cstheme="majorHAnsi"/>
                <w:sz w:val="24"/>
                <w:szCs w:val="24"/>
              </w:rPr>
            </w:pPr>
          </w:p>
        </w:tc>
        <w:tc>
          <w:tcPr>
            <w:tcW w:w="4075" w:type="dxa"/>
          </w:tcPr>
          <w:p w14:paraId="20FF5FF9" w14:textId="022C2323" w:rsidR="00A5652D" w:rsidRPr="00D462F0" w:rsidRDefault="00A5652D" w:rsidP="00D462F0">
            <w:pPr>
              <w:jc w:val="both"/>
              <w:rPr>
                <w:rFonts w:asciiTheme="majorHAnsi" w:hAnsiTheme="majorHAnsi" w:cstheme="majorHAnsi"/>
                <w:bCs/>
                <w:sz w:val="24"/>
                <w:szCs w:val="24"/>
              </w:rPr>
            </w:pPr>
          </w:p>
        </w:tc>
      </w:tr>
      <w:tr w:rsidR="00A5652D" w:rsidRPr="00C93770" w14:paraId="5A4EFEE3" w14:textId="77777777" w:rsidTr="1756A420">
        <w:tc>
          <w:tcPr>
            <w:tcW w:w="4074" w:type="dxa"/>
          </w:tcPr>
          <w:p w14:paraId="3B80C6D1" w14:textId="0F0BA8B2" w:rsidR="00A5652D" w:rsidRPr="008F3FAE" w:rsidRDefault="00A5652D" w:rsidP="008F3FAE">
            <w:pPr>
              <w:jc w:val="center"/>
              <w:rPr>
                <w:rFonts w:asciiTheme="majorHAnsi" w:hAnsiTheme="majorHAnsi" w:cstheme="majorHAnsi"/>
                <w:sz w:val="24"/>
                <w:szCs w:val="24"/>
              </w:rPr>
            </w:pPr>
            <w:r w:rsidRPr="008F3FAE">
              <w:rPr>
                <w:rFonts w:asciiTheme="majorHAnsi" w:hAnsiTheme="majorHAnsi" w:cstheme="majorHAnsi"/>
                <w:sz w:val="24"/>
                <w:szCs w:val="24"/>
              </w:rPr>
              <w:t>...</w:t>
            </w:r>
          </w:p>
        </w:tc>
        <w:tc>
          <w:tcPr>
            <w:tcW w:w="4074" w:type="dxa"/>
          </w:tcPr>
          <w:p w14:paraId="56580A42" w14:textId="718886E6" w:rsidR="00A5652D" w:rsidRPr="008F3FAE" w:rsidRDefault="00A5652D" w:rsidP="008F3FAE">
            <w:pPr>
              <w:jc w:val="center"/>
              <w:rPr>
                <w:rFonts w:asciiTheme="majorHAnsi" w:hAnsiTheme="majorHAnsi" w:cstheme="majorHAnsi"/>
                <w:bCs/>
                <w:sz w:val="24"/>
                <w:szCs w:val="24"/>
              </w:rPr>
            </w:pPr>
            <w:r w:rsidRPr="008F3FAE">
              <w:rPr>
                <w:rFonts w:asciiTheme="majorHAnsi" w:hAnsiTheme="majorHAnsi" w:cstheme="majorHAnsi"/>
                <w:bCs/>
                <w:sz w:val="24"/>
                <w:szCs w:val="24"/>
              </w:rPr>
              <w:t>...</w:t>
            </w:r>
          </w:p>
        </w:tc>
        <w:tc>
          <w:tcPr>
            <w:tcW w:w="4074" w:type="dxa"/>
          </w:tcPr>
          <w:p w14:paraId="0A8E57A7" w14:textId="77777777" w:rsidR="00A5652D" w:rsidRPr="00D462F0" w:rsidRDefault="00A5652D" w:rsidP="00D462F0">
            <w:pPr>
              <w:jc w:val="both"/>
              <w:rPr>
                <w:rFonts w:asciiTheme="majorHAnsi" w:hAnsiTheme="majorHAnsi" w:cstheme="majorHAnsi"/>
                <w:sz w:val="24"/>
                <w:szCs w:val="24"/>
              </w:rPr>
            </w:pPr>
          </w:p>
        </w:tc>
        <w:tc>
          <w:tcPr>
            <w:tcW w:w="4075" w:type="dxa"/>
          </w:tcPr>
          <w:p w14:paraId="11C554B3" w14:textId="77777777" w:rsidR="00A5652D" w:rsidRPr="00D462F0" w:rsidRDefault="00A5652D" w:rsidP="00D462F0">
            <w:pPr>
              <w:jc w:val="both"/>
              <w:rPr>
                <w:rFonts w:asciiTheme="majorHAnsi" w:hAnsiTheme="majorHAnsi" w:cstheme="majorHAnsi"/>
                <w:bCs/>
                <w:sz w:val="24"/>
                <w:szCs w:val="24"/>
              </w:rPr>
            </w:pPr>
          </w:p>
        </w:tc>
      </w:tr>
      <w:tr w:rsidR="00A5652D" w:rsidRPr="00C93770" w14:paraId="4451F4F9" w14:textId="77777777" w:rsidTr="1756A420">
        <w:tc>
          <w:tcPr>
            <w:tcW w:w="4074" w:type="dxa"/>
          </w:tcPr>
          <w:p w14:paraId="53BA0FBF" w14:textId="1C8D7520"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Sem referência anterior.</w:t>
            </w:r>
          </w:p>
        </w:tc>
        <w:tc>
          <w:tcPr>
            <w:tcW w:w="4074" w:type="dxa"/>
          </w:tcPr>
          <w:p w14:paraId="7B5816FE" w14:textId="77777777" w:rsidR="00A5652D" w:rsidRPr="00D462F0" w:rsidRDefault="00A5652D"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XXXIX - Portaria Previc nº 496, de 27 de julho de 2021;</w:t>
            </w:r>
          </w:p>
          <w:p w14:paraId="23FAF0B9" w14:textId="335CEC22" w:rsidR="00A5652D" w:rsidRPr="00D462F0" w:rsidRDefault="00A5652D" w:rsidP="00D462F0">
            <w:pPr>
              <w:jc w:val="both"/>
              <w:rPr>
                <w:rFonts w:asciiTheme="majorHAnsi" w:hAnsiTheme="majorHAnsi" w:cstheme="majorHAnsi"/>
                <w:bCs/>
                <w:color w:val="000000"/>
                <w:sz w:val="24"/>
                <w:szCs w:val="24"/>
              </w:rPr>
            </w:pPr>
          </w:p>
        </w:tc>
        <w:tc>
          <w:tcPr>
            <w:tcW w:w="4074" w:type="dxa"/>
          </w:tcPr>
          <w:p w14:paraId="6CF1B6FB" w14:textId="206D70E1"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Revogação de portarias desatualizadas.</w:t>
            </w:r>
          </w:p>
        </w:tc>
        <w:tc>
          <w:tcPr>
            <w:tcW w:w="4075" w:type="dxa"/>
          </w:tcPr>
          <w:p w14:paraId="21902209"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p w14:paraId="317672E3"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 xml:space="preserve">Trata-se de normas consideradas obsoletas por se tratar de portarias desatualizadas. </w:t>
            </w:r>
          </w:p>
          <w:p w14:paraId="1005A9DB" w14:textId="28222A1C"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a alteração do artigo em questão dispensa-se a realização de AIR por se tratar de artigo que visa “(...) a atualização ou à revogação de normas consideradas obsoletas, sem alteração de mérito”, conforme disposto no inciso IV, do art. 4º do Decreto nº 10.411, de 2020</w:t>
            </w:r>
          </w:p>
        </w:tc>
      </w:tr>
      <w:tr w:rsidR="00A5652D" w:rsidRPr="00C93770" w14:paraId="431CA60C" w14:textId="77777777" w:rsidTr="1756A420">
        <w:tc>
          <w:tcPr>
            <w:tcW w:w="4074" w:type="dxa"/>
          </w:tcPr>
          <w:p w14:paraId="28CE11EC" w14:textId="77777777" w:rsidR="00A5652D" w:rsidRPr="00D462F0" w:rsidRDefault="00A5652D" w:rsidP="00D462F0">
            <w:pPr>
              <w:jc w:val="both"/>
              <w:rPr>
                <w:rFonts w:asciiTheme="majorHAnsi" w:hAnsiTheme="majorHAnsi" w:cstheme="majorHAnsi"/>
                <w:color w:val="000000"/>
                <w:sz w:val="24"/>
                <w:szCs w:val="24"/>
              </w:rPr>
            </w:pPr>
          </w:p>
        </w:tc>
        <w:tc>
          <w:tcPr>
            <w:tcW w:w="4074" w:type="dxa"/>
          </w:tcPr>
          <w:p w14:paraId="04925717" w14:textId="7BCDF6CC" w:rsidR="00A5652D" w:rsidRPr="00D462F0" w:rsidRDefault="00A5652D"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XL - Portaria Previc nº 859, de 29 de outubro de 2010; e</w:t>
            </w:r>
          </w:p>
        </w:tc>
        <w:tc>
          <w:tcPr>
            <w:tcW w:w="4074" w:type="dxa"/>
          </w:tcPr>
          <w:p w14:paraId="7D23C459" w14:textId="77777777" w:rsidR="00A5652D" w:rsidRPr="00D462F0" w:rsidRDefault="00A5652D" w:rsidP="00D462F0">
            <w:pPr>
              <w:jc w:val="both"/>
              <w:rPr>
                <w:rFonts w:asciiTheme="majorHAnsi" w:hAnsiTheme="majorHAnsi" w:cstheme="majorHAnsi"/>
                <w:sz w:val="24"/>
                <w:szCs w:val="24"/>
              </w:rPr>
            </w:pPr>
          </w:p>
        </w:tc>
        <w:tc>
          <w:tcPr>
            <w:tcW w:w="4075" w:type="dxa"/>
          </w:tcPr>
          <w:p w14:paraId="603096F9" w14:textId="77777777" w:rsidR="00A5652D" w:rsidRPr="00D462F0" w:rsidRDefault="00A5652D" w:rsidP="00D462F0">
            <w:pPr>
              <w:jc w:val="both"/>
              <w:rPr>
                <w:rFonts w:asciiTheme="majorHAnsi" w:hAnsiTheme="majorHAnsi" w:cstheme="majorHAnsi"/>
                <w:bCs/>
                <w:sz w:val="24"/>
                <w:szCs w:val="24"/>
              </w:rPr>
            </w:pPr>
          </w:p>
        </w:tc>
      </w:tr>
      <w:tr w:rsidR="00A5652D" w:rsidRPr="00C93770" w14:paraId="66D9429B" w14:textId="77777777" w:rsidTr="1756A420">
        <w:tc>
          <w:tcPr>
            <w:tcW w:w="4074" w:type="dxa"/>
          </w:tcPr>
          <w:p w14:paraId="0062741F" w14:textId="302C4B3A"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lastRenderedPageBreak/>
              <w:t>Sem referência anterior.</w:t>
            </w:r>
          </w:p>
        </w:tc>
        <w:tc>
          <w:tcPr>
            <w:tcW w:w="4074" w:type="dxa"/>
          </w:tcPr>
          <w:p w14:paraId="5C0D8B92" w14:textId="0EDBA8B9" w:rsidR="00A5652D" w:rsidRPr="00D462F0" w:rsidRDefault="00A5652D" w:rsidP="00D462F0">
            <w:pPr>
              <w:jc w:val="both"/>
              <w:rPr>
                <w:rFonts w:asciiTheme="majorHAnsi" w:hAnsiTheme="majorHAnsi" w:cstheme="majorHAnsi"/>
                <w:bCs/>
                <w:color w:val="0000FF"/>
                <w:sz w:val="24"/>
                <w:szCs w:val="24"/>
              </w:rPr>
            </w:pPr>
            <w:r w:rsidRPr="00D462F0">
              <w:rPr>
                <w:rFonts w:asciiTheme="majorHAnsi" w:hAnsiTheme="majorHAnsi" w:cstheme="majorHAnsi"/>
                <w:bCs/>
                <w:color w:val="0000FF"/>
                <w:sz w:val="24"/>
                <w:szCs w:val="24"/>
              </w:rPr>
              <w:t>XLI - Portaria Previc nº 1.107, de 23 de dezembro de 2019.</w:t>
            </w:r>
          </w:p>
        </w:tc>
        <w:tc>
          <w:tcPr>
            <w:tcW w:w="4074" w:type="dxa"/>
          </w:tcPr>
          <w:p w14:paraId="0EB056BB" w14:textId="77777777" w:rsidR="00A5652D" w:rsidRPr="00D462F0" w:rsidRDefault="00A5652D" w:rsidP="00D462F0">
            <w:pPr>
              <w:jc w:val="both"/>
              <w:rPr>
                <w:rFonts w:asciiTheme="majorHAnsi" w:hAnsiTheme="majorHAnsi" w:cstheme="majorHAnsi"/>
                <w:sz w:val="24"/>
                <w:szCs w:val="24"/>
              </w:rPr>
            </w:pPr>
          </w:p>
        </w:tc>
        <w:tc>
          <w:tcPr>
            <w:tcW w:w="4075" w:type="dxa"/>
          </w:tcPr>
          <w:p w14:paraId="1DFBFB02" w14:textId="4E1A739C"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4º, inciso IV.</w:t>
            </w:r>
          </w:p>
        </w:tc>
      </w:tr>
      <w:tr w:rsidR="00A5652D" w:rsidRPr="00C93770" w14:paraId="5A5E353D" w14:textId="77777777" w:rsidTr="1756A420">
        <w:tc>
          <w:tcPr>
            <w:tcW w:w="4074" w:type="dxa"/>
          </w:tcPr>
          <w:p w14:paraId="038A33B3" w14:textId="596ED4B4" w:rsidR="00A5652D" w:rsidRPr="00D462F0" w:rsidRDefault="00A5652D" w:rsidP="008F3FAE">
            <w:pPr>
              <w:jc w:val="center"/>
              <w:rPr>
                <w:rFonts w:asciiTheme="majorHAnsi" w:hAnsiTheme="majorHAnsi" w:cstheme="majorHAnsi"/>
                <w:color w:val="000000"/>
                <w:sz w:val="24"/>
                <w:szCs w:val="24"/>
              </w:rPr>
            </w:pPr>
            <w:r w:rsidRPr="00D462F0">
              <w:rPr>
                <w:rFonts w:asciiTheme="majorHAnsi" w:hAnsiTheme="majorHAnsi" w:cstheme="majorHAnsi"/>
                <w:color w:val="000000"/>
                <w:sz w:val="24"/>
                <w:szCs w:val="24"/>
              </w:rPr>
              <w:t>...</w:t>
            </w:r>
          </w:p>
        </w:tc>
        <w:tc>
          <w:tcPr>
            <w:tcW w:w="4074" w:type="dxa"/>
          </w:tcPr>
          <w:p w14:paraId="67EDFB12" w14:textId="0BE2E53F" w:rsidR="00A5652D" w:rsidRPr="00D462F0" w:rsidRDefault="00A5652D" w:rsidP="008F3FAE">
            <w:pPr>
              <w:jc w:val="center"/>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w:t>
            </w:r>
          </w:p>
        </w:tc>
        <w:tc>
          <w:tcPr>
            <w:tcW w:w="4074" w:type="dxa"/>
          </w:tcPr>
          <w:p w14:paraId="2FC5BF5A" w14:textId="1A814BED" w:rsidR="00A5652D" w:rsidRPr="00D462F0" w:rsidRDefault="00A5652D" w:rsidP="008F3FAE">
            <w:pPr>
              <w:jc w:val="center"/>
              <w:rPr>
                <w:rFonts w:asciiTheme="majorHAnsi" w:hAnsiTheme="majorHAnsi" w:cstheme="majorHAnsi"/>
                <w:sz w:val="24"/>
                <w:szCs w:val="24"/>
              </w:rPr>
            </w:pPr>
            <w:r w:rsidRPr="00D462F0">
              <w:rPr>
                <w:rFonts w:asciiTheme="majorHAnsi" w:hAnsiTheme="majorHAnsi" w:cstheme="majorHAnsi"/>
                <w:sz w:val="24"/>
                <w:szCs w:val="24"/>
              </w:rPr>
              <w:t>...</w:t>
            </w:r>
          </w:p>
        </w:tc>
        <w:tc>
          <w:tcPr>
            <w:tcW w:w="4075" w:type="dxa"/>
          </w:tcPr>
          <w:p w14:paraId="504AA30E" w14:textId="77777777" w:rsidR="00A5652D" w:rsidRPr="00D462F0" w:rsidRDefault="00A5652D" w:rsidP="00D462F0">
            <w:pPr>
              <w:jc w:val="both"/>
              <w:rPr>
                <w:rFonts w:asciiTheme="majorHAnsi" w:hAnsiTheme="majorHAnsi" w:cstheme="majorHAnsi"/>
                <w:bCs/>
                <w:sz w:val="24"/>
                <w:szCs w:val="24"/>
              </w:rPr>
            </w:pPr>
          </w:p>
        </w:tc>
      </w:tr>
      <w:tr w:rsidR="00A5652D" w:rsidRPr="00C93770" w14:paraId="0E98EFD1" w14:textId="77777777" w:rsidTr="1756A420">
        <w:tc>
          <w:tcPr>
            <w:tcW w:w="4074" w:type="dxa"/>
          </w:tcPr>
          <w:p w14:paraId="089A819B" w14:textId="5E0DC301" w:rsidR="00A5652D" w:rsidRPr="00D462F0" w:rsidRDefault="00A5652D" w:rsidP="00D462F0">
            <w:pPr>
              <w:jc w:val="both"/>
              <w:rPr>
                <w:rFonts w:asciiTheme="majorHAnsi" w:hAnsiTheme="majorHAnsi" w:cstheme="majorHAnsi"/>
                <w:color w:val="000000"/>
                <w:sz w:val="24"/>
                <w:szCs w:val="24"/>
              </w:rPr>
            </w:pPr>
            <w:r w:rsidRPr="00D462F0">
              <w:rPr>
                <w:rFonts w:asciiTheme="majorHAnsi" w:hAnsiTheme="majorHAnsi" w:cstheme="majorHAnsi"/>
                <w:color w:val="000000"/>
                <w:sz w:val="24"/>
                <w:szCs w:val="24"/>
              </w:rPr>
              <w:t>Alterações dos prazos do Anexo III</w:t>
            </w:r>
          </w:p>
        </w:tc>
        <w:tc>
          <w:tcPr>
            <w:tcW w:w="4074" w:type="dxa"/>
          </w:tcPr>
          <w:p w14:paraId="2A6ACD1C" w14:textId="50FEDB9F" w:rsidR="00A5652D" w:rsidRPr="00D462F0" w:rsidRDefault="00A5652D" w:rsidP="00D462F0">
            <w:pPr>
              <w:jc w:val="both"/>
              <w:rPr>
                <w:rFonts w:asciiTheme="majorHAnsi" w:hAnsiTheme="majorHAnsi" w:cstheme="majorHAnsi"/>
                <w:bCs/>
                <w:color w:val="000000"/>
                <w:sz w:val="24"/>
                <w:szCs w:val="24"/>
              </w:rPr>
            </w:pPr>
            <w:r w:rsidRPr="00D462F0">
              <w:rPr>
                <w:rFonts w:asciiTheme="majorHAnsi" w:hAnsiTheme="majorHAnsi" w:cstheme="majorHAnsi"/>
                <w:bCs/>
                <w:color w:val="000000"/>
                <w:sz w:val="24"/>
                <w:szCs w:val="24"/>
              </w:rPr>
              <w:t>Alterações dos prazos do Anexo III</w:t>
            </w:r>
          </w:p>
        </w:tc>
        <w:tc>
          <w:tcPr>
            <w:tcW w:w="4074" w:type="dxa"/>
          </w:tcPr>
          <w:p w14:paraId="5C3C4FEE" w14:textId="77777777"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Trata-se de alteração de impacto operacional interno que tem objetivo de estabelecer prazo mínimo para tramitação das análises de requerimento.</w:t>
            </w:r>
          </w:p>
          <w:p w14:paraId="5E4B6EAE" w14:textId="10D35041" w:rsidR="00A5652D" w:rsidRPr="00D462F0" w:rsidRDefault="00A5652D" w:rsidP="00D462F0">
            <w:pPr>
              <w:jc w:val="both"/>
              <w:rPr>
                <w:rFonts w:asciiTheme="majorHAnsi" w:hAnsiTheme="majorHAnsi" w:cstheme="majorHAnsi"/>
                <w:sz w:val="24"/>
                <w:szCs w:val="24"/>
              </w:rPr>
            </w:pPr>
            <w:r w:rsidRPr="00D462F0">
              <w:rPr>
                <w:rFonts w:asciiTheme="majorHAnsi" w:hAnsiTheme="majorHAnsi" w:cstheme="majorHAnsi"/>
                <w:sz w:val="24"/>
                <w:szCs w:val="24"/>
              </w:rPr>
              <w:t xml:space="preserve">Nesse sentido, por se tratar de artigo de natureza administrativa, com efeitos diretos à Previc, o caso se enquadra em não aplicabilidade para a realização de AIR. </w:t>
            </w:r>
          </w:p>
        </w:tc>
        <w:tc>
          <w:tcPr>
            <w:tcW w:w="4075" w:type="dxa"/>
          </w:tcPr>
          <w:p w14:paraId="392558C4"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Decreto nº 10.411, de 2020, art. 2º, § 2º, inciso I.</w:t>
            </w:r>
          </w:p>
          <w:p w14:paraId="68CB2B58" w14:textId="77777777"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Trata-se de alteração de impacto operacional interno que tem objetivo de estabelecer prazo mínimo para tramitação das análises de requerimento.</w:t>
            </w:r>
          </w:p>
          <w:p w14:paraId="0EE1FC4E" w14:textId="554ACE7F" w:rsidR="00A5652D" w:rsidRPr="00D462F0" w:rsidRDefault="00A5652D" w:rsidP="00D462F0">
            <w:pPr>
              <w:jc w:val="both"/>
              <w:rPr>
                <w:rFonts w:asciiTheme="majorHAnsi" w:hAnsiTheme="majorHAnsi" w:cstheme="majorHAnsi"/>
                <w:bCs/>
                <w:sz w:val="24"/>
                <w:szCs w:val="24"/>
              </w:rPr>
            </w:pPr>
            <w:r w:rsidRPr="00D462F0">
              <w:rPr>
                <w:rFonts w:asciiTheme="majorHAnsi" w:hAnsiTheme="majorHAnsi" w:cstheme="majorHAnsi"/>
                <w:bCs/>
                <w:sz w:val="24"/>
                <w:szCs w:val="24"/>
              </w:rPr>
              <w:t>Nesse sentido, por se tratar de artigo de natureza administrativa, com efeitos diretos à Previc, o caso se enquadra em não aplicabilidade para a realização de AIR.</w:t>
            </w:r>
          </w:p>
        </w:tc>
      </w:tr>
    </w:tbl>
    <w:p w14:paraId="146B4441" w14:textId="77777777" w:rsidR="001F7F30" w:rsidRPr="00E17468" w:rsidRDefault="001F7F30">
      <w:pPr>
        <w:rPr>
          <w:sz w:val="24"/>
          <w:szCs w:val="24"/>
        </w:rPr>
      </w:pPr>
      <w:r w:rsidRPr="00E17468">
        <w:rPr>
          <w:sz w:val="24"/>
          <w:szCs w:val="24"/>
        </w:rPr>
        <w:br w:type="page"/>
      </w:r>
    </w:p>
    <w:p w14:paraId="1E47CB58" w14:textId="62647D76" w:rsidR="00C96878" w:rsidRPr="00460126" w:rsidRDefault="00C96878" w:rsidP="00E461A7">
      <w:pPr>
        <w:jc w:val="both"/>
        <w:rPr>
          <w:b/>
          <w:sz w:val="36"/>
          <w:szCs w:val="36"/>
        </w:rPr>
      </w:pPr>
      <w:r w:rsidRPr="00460126">
        <w:rPr>
          <w:b/>
          <w:sz w:val="36"/>
          <w:szCs w:val="36"/>
        </w:rPr>
        <w:lastRenderedPageBreak/>
        <w:t>Alterações do prazo do Anexo III</w:t>
      </w:r>
    </w:p>
    <w:p w14:paraId="2F65C540" w14:textId="77777777" w:rsidR="00C96878" w:rsidRPr="002E3FB9" w:rsidRDefault="00C96878" w:rsidP="00C96878">
      <w:pPr>
        <w:jc w:val="center"/>
        <w:rPr>
          <w:b/>
          <w:bCs/>
          <w:sz w:val="24"/>
          <w:szCs w:val="24"/>
        </w:rPr>
      </w:pPr>
      <w:r w:rsidRPr="002E3FB9">
        <w:rPr>
          <w:b/>
          <w:bCs/>
          <w:sz w:val="24"/>
          <w:szCs w:val="24"/>
        </w:rPr>
        <w:t>ANEXO III</w:t>
      </w:r>
    </w:p>
    <w:p w14:paraId="6E4CFE87" w14:textId="77777777" w:rsidR="00C96878" w:rsidRPr="002E3FB9" w:rsidRDefault="00C96878" w:rsidP="00C96878">
      <w:pPr>
        <w:jc w:val="center"/>
        <w:rPr>
          <w:sz w:val="24"/>
          <w:szCs w:val="24"/>
        </w:rPr>
      </w:pPr>
      <w:r w:rsidRPr="002E3FB9">
        <w:rPr>
          <w:sz w:val="24"/>
          <w:szCs w:val="24"/>
        </w:rPr>
        <w:t>PRAZOS DE ANÁLISE DE REQUERIMENTOS</w:t>
      </w:r>
    </w:p>
    <w:p w14:paraId="1ACD742C" w14:textId="77777777" w:rsidR="00C96878" w:rsidRPr="002E3FB9" w:rsidRDefault="00C96878" w:rsidP="00C96878">
      <w:pPr>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3"/>
        <w:gridCol w:w="5148"/>
        <w:gridCol w:w="1990"/>
        <w:gridCol w:w="1828"/>
        <w:gridCol w:w="2315"/>
        <w:gridCol w:w="1457"/>
        <w:gridCol w:w="2429"/>
      </w:tblGrid>
      <w:tr w:rsidR="00C96878" w:rsidRPr="002E3FB9" w14:paraId="6D45B619" w14:textId="77777777" w:rsidTr="00CD5175">
        <w:trPr>
          <w:trHeight w:val="679"/>
        </w:trPr>
        <w:tc>
          <w:tcPr>
            <w:tcW w:w="336" w:type="pct"/>
            <w:vMerge w:val="restart"/>
            <w:vAlign w:val="center"/>
          </w:tcPr>
          <w:p w14:paraId="56EE863D" w14:textId="671C9421" w:rsidR="00C96878" w:rsidRPr="002E3FB9" w:rsidRDefault="00C96878" w:rsidP="00CD5175">
            <w:pPr>
              <w:pStyle w:val="Default"/>
              <w:jc w:val="center"/>
              <w:rPr>
                <w:rFonts w:ascii="Aptos" w:hAnsi="Aptos"/>
                <w:b/>
                <w:bCs/>
              </w:rPr>
            </w:pPr>
            <w:r w:rsidRPr="002E3FB9">
              <w:rPr>
                <w:rFonts w:ascii="Aptos" w:hAnsi="Aptos"/>
                <w:b/>
                <w:bCs/>
              </w:rPr>
              <w:t>Item</w:t>
            </w:r>
          </w:p>
        </w:tc>
        <w:tc>
          <w:tcPr>
            <w:tcW w:w="1583" w:type="pct"/>
            <w:vMerge w:val="restart"/>
            <w:vAlign w:val="center"/>
          </w:tcPr>
          <w:p w14:paraId="17A0AC3A" w14:textId="4E6BA4BB" w:rsidR="00C96878" w:rsidRPr="002E3FB9" w:rsidRDefault="00C96878" w:rsidP="00CD5175">
            <w:pPr>
              <w:pStyle w:val="Default"/>
              <w:jc w:val="center"/>
              <w:rPr>
                <w:rFonts w:ascii="Aptos" w:hAnsi="Aptos"/>
                <w:b/>
                <w:bCs/>
              </w:rPr>
            </w:pPr>
            <w:r w:rsidRPr="002E3FB9">
              <w:rPr>
                <w:rFonts w:ascii="Aptos" w:hAnsi="Aptos"/>
                <w:b/>
                <w:bCs/>
              </w:rPr>
              <w:t>Tipo de Requerimento</w:t>
            </w:r>
          </w:p>
        </w:tc>
        <w:tc>
          <w:tcPr>
            <w:tcW w:w="1174" w:type="pct"/>
            <w:gridSpan w:val="2"/>
            <w:vAlign w:val="center"/>
          </w:tcPr>
          <w:p w14:paraId="09FBED4A" w14:textId="77777777" w:rsidR="00C96878" w:rsidRPr="002E3FB9" w:rsidRDefault="00C96878" w:rsidP="00CD5175">
            <w:pPr>
              <w:pStyle w:val="Default"/>
              <w:jc w:val="center"/>
              <w:rPr>
                <w:rFonts w:ascii="Aptos" w:hAnsi="Aptos"/>
                <w:b/>
                <w:bCs/>
              </w:rPr>
            </w:pPr>
            <w:r w:rsidRPr="002E3FB9">
              <w:rPr>
                <w:rFonts w:ascii="Aptos" w:hAnsi="Aptos"/>
                <w:b/>
                <w:bCs/>
              </w:rPr>
              <w:t>Prazo de análise</w:t>
            </w:r>
          </w:p>
          <w:p w14:paraId="20CAD68C" w14:textId="77777777" w:rsidR="00C96878" w:rsidRPr="002E3FB9" w:rsidRDefault="00C96878" w:rsidP="00CD5175">
            <w:pPr>
              <w:pStyle w:val="Default"/>
              <w:jc w:val="center"/>
              <w:rPr>
                <w:rFonts w:ascii="Aptos" w:hAnsi="Aptos"/>
                <w:b/>
                <w:bCs/>
              </w:rPr>
            </w:pPr>
            <w:r w:rsidRPr="002E3FB9">
              <w:rPr>
                <w:rFonts w:ascii="Aptos" w:hAnsi="Aptos"/>
                <w:b/>
                <w:bCs/>
              </w:rPr>
              <w:t>FASE DE INSTRUÇÃO</w:t>
            </w:r>
          </w:p>
          <w:p w14:paraId="20958836" w14:textId="2E9AB89F" w:rsidR="00C96878" w:rsidRPr="002E3FB9" w:rsidRDefault="00C96878" w:rsidP="00CD5175">
            <w:pPr>
              <w:pStyle w:val="Default"/>
              <w:jc w:val="center"/>
              <w:rPr>
                <w:rFonts w:ascii="Aptos" w:hAnsi="Aptos"/>
                <w:b/>
                <w:bCs/>
              </w:rPr>
            </w:pPr>
            <w:r w:rsidRPr="002E3FB9">
              <w:rPr>
                <w:rFonts w:ascii="Aptos" w:hAnsi="Aptos"/>
                <w:b/>
                <w:bCs/>
              </w:rPr>
              <w:t>(em dias)</w:t>
            </w:r>
          </w:p>
        </w:tc>
        <w:tc>
          <w:tcPr>
            <w:tcW w:w="712" w:type="pct"/>
            <w:vMerge w:val="restart"/>
            <w:vAlign w:val="center"/>
          </w:tcPr>
          <w:p w14:paraId="239740CF" w14:textId="77777777" w:rsidR="00C96878" w:rsidRPr="002E3FB9" w:rsidRDefault="00C96878" w:rsidP="00CD5175">
            <w:pPr>
              <w:pStyle w:val="Default"/>
              <w:jc w:val="center"/>
              <w:rPr>
                <w:rFonts w:ascii="Aptos" w:hAnsi="Aptos"/>
                <w:b/>
                <w:bCs/>
              </w:rPr>
            </w:pPr>
            <w:r w:rsidRPr="002E3FB9">
              <w:rPr>
                <w:rFonts w:ascii="Aptos" w:hAnsi="Aptos"/>
                <w:b/>
                <w:bCs/>
              </w:rPr>
              <w:t>Prazo de decisão</w:t>
            </w:r>
          </w:p>
          <w:p w14:paraId="7C9DF9B8" w14:textId="77777777" w:rsidR="00C96878" w:rsidRPr="002E3FB9" w:rsidRDefault="00C96878" w:rsidP="00CD5175">
            <w:pPr>
              <w:pStyle w:val="Default"/>
              <w:jc w:val="center"/>
              <w:rPr>
                <w:rFonts w:ascii="Aptos" w:hAnsi="Aptos"/>
                <w:b/>
                <w:bCs/>
              </w:rPr>
            </w:pPr>
            <w:r w:rsidRPr="002E3FB9">
              <w:rPr>
                <w:rFonts w:ascii="Aptos" w:hAnsi="Aptos"/>
                <w:b/>
                <w:bCs/>
              </w:rPr>
              <w:t>FASE DE DECISÃO</w:t>
            </w:r>
          </w:p>
          <w:p w14:paraId="538214B5" w14:textId="00A968E8" w:rsidR="00C96878" w:rsidRPr="002E3FB9" w:rsidRDefault="00C96878" w:rsidP="00CD5175">
            <w:pPr>
              <w:pStyle w:val="Default"/>
              <w:jc w:val="center"/>
              <w:rPr>
                <w:rFonts w:ascii="Aptos" w:hAnsi="Aptos"/>
                <w:b/>
                <w:bCs/>
              </w:rPr>
            </w:pPr>
            <w:r w:rsidRPr="002E3FB9">
              <w:rPr>
                <w:rFonts w:ascii="Aptos" w:hAnsi="Aptos"/>
                <w:b/>
                <w:bCs/>
              </w:rPr>
              <w:t>(em dias)</w:t>
            </w:r>
          </w:p>
        </w:tc>
        <w:tc>
          <w:tcPr>
            <w:tcW w:w="448" w:type="pct"/>
            <w:vMerge w:val="restart"/>
            <w:vAlign w:val="center"/>
          </w:tcPr>
          <w:p w14:paraId="4061502D" w14:textId="77777777" w:rsidR="00C96878" w:rsidRPr="002E3FB9" w:rsidRDefault="00C96878" w:rsidP="00CD5175">
            <w:pPr>
              <w:pStyle w:val="Default"/>
              <w:jc w:val="center"/>
              <w:rPr>
                <w:rFonts w:ascii="Aptos" w:hAnsi="Aptos"/>
                <w:b/>
                <w:bCs/>
              </w:rPr>
            </w:pPr>
            <w:r w:rsidRPr="002E3FB9">
              <w:rPr>
                <w:rFonts w:ascii="Aptos" w:hAnsi="Aptos"/>
                <w:b/>
                <w:bCs/>
              </w:rPr>
              <w:t>Nível de Risco</w:t>
            </w:r>
          </w:p>
        </w:tc>
        <w:tc>
          <w:tcPr>
            <w:tcW w:w="747" w:type="pct"/>
            <w:vMerge w:val="restart"/>
            <w:vAlign w:val="center"/>
          </w:tcPr>
          <w:p w14:paraId="704DA1D1" w14:textId="77777777" w:rsidR="00C96878" w:rsidRPr="002E3FB9" w:rsidRDefault="00C96878" w:rsidP="00CD5175">
            <w:pPr>
              <w:pStyle w:val="Default"/>
              <w:jc w:val="center"/>
              <w:rPr>
                <w:rFonts w:ascii="Aptos" w:hAnsi="Aptos"/>
                <w:b/>
                <w:bCs/>
              </w:rPr>
            </w:pPr>
            <w:r w:rsidRPr="002E3FB9">
              <w:rPr>
                <w:rFonts w:ascii="Aptos" w:hAnsi="Aptos"/>
                <w:b/>
                <w:bCs/>
              </w:rPr>
              <w:t>Base Normativa</w:t>
            </w:r>
          </w:p>
        </w:tc>
      </w:tr>
      <w:tr w:rsidR="00C96878" w:rsidRPr="002E3FB9" w14:paraId="0C1F7CC9" w14:textId="77777777" w:rsidTr="00D1730A">
        <w:trPr>
          <w:trHeight w:val="337"/>
        </w:trPr>
        <w:tc>
          <w:tcPr>
            <w:tcW w:w="336" w:type="pct"/>
            <w:vMerge/>
          </w:tcPr>
          <w:p w14:paraId="2667E1EF" w14:textId="77777777" w:rsidR="00C96878" w:rsidRPr="002E3FB9" w:rsidRDefault="00C96878" w:rsidP="00D1730A">
            <w:pPr>
              <w:pStyle w:val="Default"/>
              <w:rPr>
                <w:rFonts w:ascii="Aptos" w:hAnsi="Aptos"/>
                <w:b/>
                <w:bCs/>
              </w:rPr>
            </w:pPr>
          </w:p>
        </w:tc>
        <w:tc>
          <w:tcPr>
            <w:tcW w:w="1583" w:type="pct"/>
            <w:vMerge/>
          </w:tcPr>
          <w:p w14:paraId="7A53433F" w14:textId="77777777" w:rsidR="00C96878" w:rsidRPr="002E3FB9" w:rsidRDefault="00C96878" w:rsidP="00D1730A">
            <w:pPr>
              <w:pStyle w:val="Default"/>
              <w:rPr>
                <w:rFonts w:ascii="Aptos" w:hAnsi="Aptos"/>
                <w:b/>
                <w:bCs/>
              </w:rPr>
            </w:pPr>
          </w:p>
        </w:tc>
        <w:tc>
          <w:tcPr>
            <w:tcW w:w="612" w:type="pct"/>
          </w:tcPr>
          <w:p w14:paraId="6747B548" w14:textId="77777777" w:rsidR="00C96878" w:rsidRPr="002E3FB9" w:rsidRDefault="00C96878" w:rsidP="002E3FB9">
            <w:pPr>
              <w:spacing w:after="0" w:line="240" w:lineRule="auto"/>
              <w:jc w:val="center"/>
              <w:rPr>
                <w:b/>
                <w:bCs/>
              </w:rPr>
            </w:pPr>
            <w:r w:rsidRPr="002E3FB9">
              <w:rPr>
                <w:b/>
                <w:color w:val="0000FF"/>
                <w:sz w:val="24"/>
                <w:szCs w:val="24"/>
              </w:rPr>
              <w:t>Mínimo</w:t>
            </w:r>
          </w:p>
        </w:tc>
        <w:tc>
          <w:tcPr>
            <w:tcW w:w="562" w:type="pct"/>
          </w:tcPr>
          <w:p w14:paraId="45026C7D" w14:textId="77777777" w:rsidR="00C96878" w:rsidRPr="002E3FB9" w:rsidRDefault="00C96878" w:rsidP="002E3FB9">
            <w:pPr>
              <w:spacing w:after="0" w:line="240" w:lineRule="auto"/>
              <w:jc w:val="center"/>
              <w:rPr>
                <w:b/>
              </w:rPr>
            </w:pPr>
            <w:r w:rsidRPr="003F0A4C">
              <w:rPr>
                <w:b/>
                <w:color w:val="0000FF"/>
                <w:sz w:val="24"/>
                <w:szCs w:val="24"/>
              </w:rPr>
              <w:t>Máximo</w:t>
            </w:r>
          </w:p>
        </w:tc>
        <w:tc>
          <w:tcPr>
            <w:tcW w:w="712" w:type="pct"/>
            <w:vMerge/>
          </w:tcPr>
          <w:p w14:paraId="0908CF61" w14:textId="77777777" w:rsidR="00C96878" w:rsidRPr="002E3FB9" w:rsidRDefault="00C96878" w:rsidP="00D1730A">
            <w:pPr>
              <w:pStyle w:val="Default"/>
              <w:rPr>
                <w:rFonts w:ascii="Aptos" w:hAnsi="Aptos"/>
                <w:b/>
                <w:bCs/>
              </w:rPr>
            </w:pPr>
          </w:p>
        </w:tc>
        <w:tc>
          <w:tcPr>
            <w:tcW w:w="448" w:type="pct"/>
            <w:vMerge/>
          </w:tcPr>
          <w:p w14:paraId="32087928" w14:textId="77777777" w:rsidR="00C96878" w:rsidRPr="002E3FB9" w:rsidRDefault="00C96878" w:rsidP="00D1730A">
            <w:pPr>
              <w:pStyle w:val="Default"/>
              <w:rPr>
                <w:rFonts w:ascii="Aptos" w:hAnsi="Aptos"/>
                <w:b/>
                <w:bCs/>
              </w:rPr>
            </w:pPr>
          </w:p>
        </w:tc>
        <w:tc>
          <w:tcPr>
            <w:tcW w:w="747" w:type="pct"/>
            <w:vMerge/>
          </w:tcPr>
          <w:p w14:paraId="0A1CC0DC" w14:textId="77777777" w:rsidR="00C96878" w:rsidRPr="002E3FB9" w:rsidRDefault="00C96878" w:rsidP="00D1730A">
            <w:pPr>
              <w:pStyle w:val="Default"/>
              <w:rPr>
                <w:rFonts w:ascii="Aptos" w:hAnsi="Aptos"/>
                <w:b/>
                <w:bCs/>
              </w:rPr>
            </w:pPr>
          </w:p>
        </w:tc>
      </w:tr>
      <w:tr w:rsidR="00BA32FC" w:rsidRPr="002E3FB9" w14:paraId="204DAF48" w14:textId="77777777" w:rsidTr="00D1730A">
        <w:trPr>
          <w:trHeight w:val="472"/>
        </w:trPr>
        <w:tc>
          <w:tcPr>
            <w:tcW w:w="336" w:type="pct"/>
          </w:tcPr>
          <w:p w14:paraId="2F02DBB9" w14:textId="666369F2" w:rsidR="00BA32FC" w:rsidRPr="002E3FB9" w:rsidRDefault="00BA32FC" w:rsidP="00BA32FC">
            <w:pPr>
              <w:pStyle w:val="Default"/>
              <w:rPr>
                <w:rFonts w:ascii="Aptos" w:hAnsi="Aptos"/>
              </w:rPr>
            </w:pPr>
            <w:r>
              <w:t>1</w:t>
            </w:r>
          </w:p>
        </w:tc>
        <w:tc>
          <w:tcPr>
            <w:tcW w:w="1583" w:type="pct"/>
          </w:tcPr>
          <w:p w14:paraId="1BB42499" w14:textId="663DB3A5" w:rsidR="00BA32FC" w:rsidRPr="002E3FB9" w:rsidRDefault="00BA32FC" w:rsidP="00BA32FC">
            <w:pPr>
              <w:pStyle w:val="Default"/>
              <w:rPr>
                <w:rFonts w:ascii="Aptos" w:hAnsi="Aptos"/>
              </w:rPr>
            </w:pPr>
            <w:r>
              <w:t>Constituição de EFPC</w:t>
            </w:r>
          </w:p>
        </w:tc>
        <w:tc>
          <w:tcPr>
            <w:tcW w:w="612" w:type="pct"/>
          </w:tcPr>
          <w:p w14:paraId="68ECB3A2" w14:textId="6F6657DB"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5BB43494" w14:textId="34A9DAC3"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2B51ECBB" w14:textId="1CFF3DAC"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00F3890B" w14:textId="655DCB5D" w:rsidR="00BA32FC" w:rsidRPr="002E3FB9" w:rsidRDefault="00BA32FC" w:rsidP="00BA32FC">
            <w:pPr>
              <w:pStyle w:val="Default"/>
              <w:jc w:val="center"/>
              <w:rPr>
                <w:rFonts w:ascii="Aptos" w:hAnsi="Aptos"/>
              </w:rPr>
            </w:pPr>
            <w:r>
              <w:t>III</w:t>
            </w:r>
          </w:p>
        </w:tc>
        <w:tc>
          <w:tcPr>
            <w:tcW w:w="747" w:type="pct"/>
          </w:tcPr>
          <w:p w14:paraId="3D85F6C1"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5511A0AB" w14:textId="57582EE4"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7114DC25" w14:textId="77777777" w:rsidTr="00D1730A">
        <w:trPr>
          <w:trHeight w:val="473"/>
        </w:trPr>
        <w:tc>
          <w:tcPr>
            <w:tcW w:w="336" w:type="pct"/>
          </w:tcPr>
          <w:p w14:paraId="5F4A0F35" w14:textId="77C84F7C" w:rsidR="00BA32FC" w:rsidRPr="002E3FB9" w:rsidRDefault="00BA32FC" w:rsidP="00BA32FC">
            <w:pPr>
              <w:pStyle w:val="Default"/>
              <w:rPr>
                <w:rFonts w:ascii="Aptos" w:hAnsi="Aptos"/>
              </w:rPr>
            </w:pPr>
            <w:r>
              <w:t>2</w:t>
            </w:r>
          </w:p>
        </w:tc>
        <w:tc>
          <w:tcPr>
            <w:tcW w:w="1583" w:type="pct"/>
          </w:tcPr>
          <w:p w14:paraId="37364AFB" w14:textId="05FE88B9" w:rsidR="00BA32FC" w:rsidRPr="002E3FB9" w:rsidRDefault="00BA32FC" w:rsidP="00BA32FC">
            <w:pPr>
              <w:pStyle w:val="Default"/>
              <w:rPr>
                <w:rFonts w:ascii="Aptos" w:hAnsi="Aptos"/>
              </w:rPr>
            </w:pPr>
            <w:r>
              <w:t>Alteração de estatuto</w:t>
            </w:r>
          </w:p>
        </w:tc>
        <w:tc>
          <w:tcPr>
            <w:tcW w:w="612" w:type="pct"/>
          </w:tcPr>
          <w:p w14:paraId="38E75A26" w14:textId="11D11BB9"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1E7A2AEA" w14:textId="7AA569A2" w:rsidR="00BA32FC" w:rsidRPr="00CD5175" w:rsidRDefault="00BA32FC" w:rsidP="00BA32FC">
            <w:pPr>
              <w:pStyle w:val="Default"/>
              <w:jc w:val="center"/>
              <w:rPr>
                <w:rFonts w:ascii="Aptos" w:hAnsi="Aptos"/>
                <w:b/>
                <w:bCs/>
                <w:color w:val="0000FF"/>
              </w:rPr>
            </w:pPr>
            <w:r w:rsidRPr="00CD5175">
              <w:rPr>
                <w:rStyle w:val="Forte"/>
                <w:b w:val="0"/>
                <w:bCs w:val="0"/>
                <w:color w:val="0000FF"/>
              </w:rPr>
              <w:t>75</w:t>
            </w:r>
          </w:p>
        </w:tc>
        <w:tc>
          <w:tcPr>
            <w:tcW w:w="712" w:type="pct"/>
          </w:tcPr>
          <w:p w14:paraId="4FCD14F2" w14:textId="4037D60A"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09A95BC3" w14:textId="5EEA73EE" w:rsidR="00BA32FC" w:rsidRPr="002E3FB9" w:rsidRDefault="00BA32FC" w:rsidP="00BA32FC">
            <w:pPr>
              <w:pStyle w:val="Default"/>
              <w:jc w:val="center"/>
              <w:rPr>
                <w:rFonts w:ascii="Aptos" w:hAnsi="Aptos"/>
              </w:rPr>
            </w:pPr>
            <w:r>
              <w:t>III</w:t>
            </w:r>
          </w:p>
        </w:tc>
        <w:tc>
          <w:tcPr>
            <w:tcW w:w="747" w:type="pct"/>
          </w:tcPr>
          <w:p w14:paraId="1B8D60A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6FBB328" w14:textId="19C1A95B"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5669228B" w14:textId="77777777" w:rsidTr="00D1730A">
        <w:trPr>
          <w:trHeight w:val="473"/>
        </w:trPr>
        <w:tc>
          <w:tcPr>
            <w:tcW w:w="336" w:type="pct"/>
          </w:tcPr>
          <w:p w14:paraId="484E76BF" w14:textId="2A14DCBB" w:rsidR="00BA32FC" w:rsidRPr="002E3FB9" w:rsidRDefault="00BA32FC" w:rsidP="00BA32FC">
            <w:pPr>
              <w:pStyle w:val="Default"/>
              <w:rPr>
                <w:rFonts w:ascii="Aptos" w:hAnsi="Aptos"/>
              </w:rPr>
            </w:pPr>
            <w:r>
              <w:t>3</w:t>
            </w:r>
          </w:p>
        </w:tc>
        <w:tc>
          <w:tcPr>
            <w:tcW w:w="1583" w:type="pct"/>
          </w:tcPr>
          <w:p w14:paraId="052E483E" w14:textId="1D12D1D0" w:rsidR="00BA32FC" w:rsidRPr="002E3FB9" w:rsidRDefault="00BA32FC" w:rsidP="00BA32FC">
            <w:pPr>
              <w:spacing w:after="0" w:line="240" w:lineRule="auto"/>
            </w:pPr>
            <w:r>
              <w:rPr>
                <w:rFonts w:ascii="Calibri" w:hAnsi="Calibri" w:cs="Calibri"/>
                <w:b/>
                <w:bCs/>
                <w:color w:val="0000FF"/>
              </w:rPr>
              <w:t>Implantação</w:t>
            </w:r>
            <w:r>
              <w:rPr>
                <w:rFonts w:ascii="Calibri" w:hAnsi="Calibri" w:cs="Calibri"/>
                <w:color w:val="0000FF"/>
              </w:rPr>
              <w:t> </w:t>
            </w:r>
            <w:r>
              <w:rPr>
                <w:rFonts w:ascii="Calibri" w:hAnsi="Calibri" w:cs="Calibri"/>
                <w:color w:val="000000"/>
              </w:rPr>
              <w:t>de plano de benefícios</w:t>
            </w:r>
          </w:p>
        </w:tc>
        <w:tc>
          <w:tcPr>
            <w:tcW w:w="612" w:type="pct"/>
          </w:tcPr>
          <w:p w14:paraId="5B96379B" w14:textId="27AC44F5"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2CE02148" w14:textId="650186CC" w:rsidR="00BA32FC" w:rsidRPr="00CD5175" w:rsidRDefault="00BA32FC" w:rsidP="00BA32FC">
            <w:pPr>
              <w:pStyle w:val="Default"/>
              <w:jc w:val="center"/>
              <w:rPr>
                <w:rFonts w:ascii="Aptos" w:hAnsi="Aptos"/>
                <w:b/>
                <w:bCs/>
                <w:color w:val="0000FF"/>
              </w:rPr>
            </w:pPr>
            <w:r w:rsidRPr="00CD5175">
              <w:rPr>
                <w:rStyle w:val="Forte"/>
                <w:b w:val="0"/>
                <w:bCs w:val="0"/>
                <w:color w:val="0000FF"/>
              </w:rPr>
              <w:t>75</w:t>
            </w:r>
          </w:p>
        </w:tc>
        <w:tc>
          <w:tcPr>
            <w:tcW w:w="712" w:type="pct"/>
          </w:tcPr>
          <w:p w14:paraId="2D69972E" w14:textId="58715D7A"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46D99940" w14:textId="1B72460D" w:rsidR="00BA32FC" w:rsidRPr="002E3FB9" w:rsidRDefault="00BA32FC" w:rsidP="00BA32FC">
            <w:pPr>
              <w:pStyle w:val="Default"/>
              <w:jc w:val="center"/>
              <w:rPr>
                <w:rFonts w:ascii="Aptos" w:hAnsi="Aptos"/>
              </w:rPr>
            </w:pPr>
            <w:r>
              <w:t>III</w:t>
            </w:r>
          </w:p>
        </w:tc>
        <w:tc>
          <w:tcPr>
            <w:tcW w:w="747" w:type="pct"/>
          </w:tcPr>
          <w:p w14:paraId="410173BC"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5248E05" w14:textId="6FC1BE73"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609E2B8" w14:textId="77777777" w:rsidTr="00D1730A">
        <w:trPr>
          <w:trHeight w:val="705"/>
        </w:trPr>
        <w:tc>
          <w:tcPr>
            <w:tcW w:w="336" w:type="pct"/>
          </w:tcPr>
          <w:p w14:paraId="1A5F0856" w14:textId="77A561EE" w:rsidR="00BA32FC" w:rsidRPr="002E3FB9" w:rsidRDefault="00BA32FC" w:rsidP="00BA32FC">
            <w:pPr>
              <w:pStyle w:val="Default"/>
              <w:rPr>
                <w:rFonts w:ascii="Aptos" w:hAnsi="Aptos"/>
              </w:rPr>
            </w:pPr>
            <w:r>
              <w:t>4</w:t>
            </w:r>
          </w:p>
        </w:tc>
        <w:tc>
          <w:tcPr>
            <w:tcW w:w="1583" w:type="pct"/>
          </w:tcPr>
          <w:p w14:paraId="4ACF9CEA" w14:textId="1E60ACAE" w:rsidR="00BA32FC" w:rsidRPr="002E3FB9" w:rsidRDefault="00BA32FC" w:rsidP="00BA32FC">
            <w:pPr>
              <w:spacing w:after="0" w:line="240" w:lineRule="auto"/>
            </w:pPr>
            <w:r>
              <w:rPr>
                <w:rFonts w:ascii="Calibri" w:hAnsi="Calibri" w:cs="Calibri"/>
                <w:b/>
                <w:bCs/>
                <w:color w:val="0000FF"/>
              </w:rPr>
              <w:t>Implantação</w:t>
            </w:r>
            <w:r>
              <w:rPr>
                <w:rFonts w:ascii="Calibri" w:hAnsi="Calibri" w:cs="Calibri"/>
                <w:color w:val="0000FF"/>
              </w:rPr>
              <w:t> </w:t>
            </w:r>
            <w:r>
              <w:rPr>
                <w:rFonts w:ascii="Calibri" w:hAnsi="Calibri" w:cs="Calibri"/>
                <w:color w:val="000000"/>
              </w:rPr>
              <w:t>de plano de benefícios (com base em modelo certificado ou modelo padronizado)</w:t>
            </w:r>
          </w:p>
        </w:tc>
        <w:tc>
          <w:tcPr>
            <w:tcW w:w="612" w:type="pct"/>
          </w:tcPr>
          <w:p w14:paraId="19C39666" w14:textId="468CCB39"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w:t>
            </w:r>
          </w:p>
        </w:tc>
        <w:tc>
          <w:tcPr>
            <w:tcW w:w="562" w:type="pct"/>
          </w:tcPr>
          <w:p w14:paraId="7F6D9547" w14:textId="6840D984"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712" w:type="pct"/>
          </w:tcPr>
          <w:p w14:paraId="2A04B6E9" w14:textId="717B0ADD"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448" w:type="pct"/>
          </w:tcPr>
          <w:p w14:paraId="11E9D4B3" w14:textId="34F03F98" w:rsidR="00BA32FC" w:rsidRPr="002E3FB9" w:rsidRDefault="00BA32FC" w:rsidP="00BA32FC">
            <w:pPr>
              <w:pStyle w:val="Default"/>
              <w:jc w:val="center"/>
              <w:rPr>
                <w:rFonts w:ascii="Aptos" w:hAnsi="Aptos"/>
              </w:rPr>
            </w:pPr>
            <w:r>
              <w:t>II</w:t>
            </w:r>
          </w:p>
        </w:tc>
        <w:tc>
          <w:tcPr>
            <w:tcW w:w="747" w:type="pct"/>
          </w:tcPr>
          <w:p w14:paraId="3169E0D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694D05A" w14:textId="45E3F61E"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2CAE8153" w14:textId="77777777" w:rsidTr="00D1730A">
        <w:trPr>
          <w:trHeight w:val="472"/>
        </w:trPr>
        <w:tc>
          <w:tcPr>
            <w:tcW w:w="336" w:type="pct"/>
          </w:tcPr>
          <w:p w14:paraId="444B4E09" w14:textId="3B485503" w:rsidR="00BA32FC" w:rsidRPr="002E3FB9" w:rsidRDefault="00BA32FC" w:rsidP="00BA32FC">
            <w:pPr>
              <w:pStyle w:val="Default"/>
              <w:rPr>
                <w:rFonts w:ascii="Aptos" w:hAnsi="Aptos"/>
              </w:rPr>
            </w:pPr>
            <w:r>
              <w:t>5</w:t>
            </w:r>
          </w:p>
        </w:tc>
        <w:tc>
          <w:tcPr>
            <w:tcW w:w="1583" w:type="pct"/>
          </w:tcPr>
          <w:p w14:paraId="17FD9B05" w14:textId="4568BA2D" w:rsidR="00BA32FC" w:rsidRPr="002E3FB9" w:rsidRDefault="00BA32FC" w:rsidP="00BA32FC">
            <w:pPr>
              <w:pStyle w:val="Default"/>
              <w:rPr>
                <w:rFonts w:ascii="Aptos" w:hAnsi="Aptos"/>
              </w:rPr>
            </w:pPr>
            <w:r>
              <w:t>Alteração de regulamento de plano de benefícios</w:t>
            </w:r>
          </w:p>
        </w:tc>
        <w:tc>
          <w:tcPr>
            <w:tcW w:w="612" w:type="pct"/>
          </w:tcPr>
          <w:p w14:paraId="7730C9EF" w14:textId="7153D957"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10</w:t>
            </w:r>
          </w:p>
        </w:tc>
        <w:tc>
          <w:tcPr>
            <w:tcW w:w="562" w:type="pct"/>
          </w:tcPr>
          <w:p w14:paraId="25BFBBBB" w14:textId="157B10FE" w:rsidR="00BA32FC" w:rsidRPr="00CD5175" w:rsidRDefault="00BA32FC" w:rsidP="00BA32FC">
            <w:pPr>
              <w:pStyle w:val="Default"/>
              <w:jc w:val="center"/>
              <w:rPr>
                <w:rFonts w:ascii="Aptos" w:hAnsi="Aptos"/>
                <w:b/>
                <w:bCs/>
                <w:color w:val="0000FF"/>
              </w:rPr>
            </w:pPr>
            <w:r w:rsidRPr="00CD5175">
              <w:rPr>
                <w:rStyle w:val="Forte"/>
                <w:b w:val="0"/>
                <w:bCs w:val="0"/>
                <w:color w:val="0000FF"/>
              </w:rPr>
              <w:t>35</w:t>
            </w:r>
          </w:p>
        </w:tc>
        <w:tc>
          <w:tcPr>
            <w:tcW w:w="712" w:type="pct"/>
          </w:tcPr>
          <w:p w14:paraId="4791A99C" w14:textId="2F970BEE"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3A2493BF" w14:textId="42E1EB59" w:rsidR="00BA32FC" w:rsidRPr="002E3FB9" w:rsidRDefault="00BA32FC" w:rsidP="00BA32FC">
            <w:pPr>
              <w:pStyle w:val="Default"/>
              <w:jc w:val="center"/>
              <w:rPr>
                <w:rFonts w:ascii="Aptos" w:hAnsi="Aptos"/>
              </w:rPr>
            </w:pPr>
            <w:r>
              <w:t>III</w:t>
            </w:r>
          </w:p>
        </w:tc>
        <w:tc>
          <w:tcPr>
            <w:tcW w:w="747" w:type="pct"/>
          </w:tcPr>
          <w:p w14:paraId="76C01D5F"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76E790E4" w14:textId="4333CC28"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4C312550" w14:textId="77777777" w:rsidTr="00D1730A">
        <w:trPr>
          <w:trHeight w:val="472"/>
        </w:trPr>
        <w:tc>
          <w:tcPr>
            <w:tcW w:w="336" w:type="pct"/>
          </w:tcPr>
          <w:p w14:paraId="3DA428CA" w14:textId="74A65706" w:rsidR="00BA32FC" w:rsidRPr="002E3FB9" w:rsidRDefault="00BA32FC" w:rsidP="00BA32FC">
            <w:pPr>
              <w:pStyle w:val="Default"/>
              <w:rPr>
                <w:rFonts w:ascii="Aptos" w:hAnsi="Aptos"/>
              </w:rPr>
            </w:pPr>
            <w:r>
              <w:t>6</w:t>
            </w:r>
          </w:p>
        </w:tc>
        <w:tc>
          <w:tcPr>
            <w:tcW w:w="1583" w:type="pct"/>
          </w:tcPr>
          <w:p w14:paraId="5DBDACD7" w14:textId="49DA041C" w:rsidR="00BA32FC" w:rsidRPr="002E3FB9" w:rsidRDefault="00BA32FC" w:rsidP="00BA32FC">
            <w:pPr>
              <w:pStyle w:val="Default"/>
              <w:rPr>
                <w:rFonts w:ascii="Aptos" w:hAnsi="Aptos"/>
              </w:rPr>
            </w:pPr>
            <w:r>
              <w:t>Alteração de regulamento de plano de benefícios por licenciamento automático</w:t>
            </w:r>
          </w:p>
        </w:tc>
        <w:tc>
          <w:tcPr>
            <w:tcW w:w="612" w:type="pct"/>
          </w:tcPr>
          <w:p w14:paraId="509C9DAE" w14:textId="683E4132"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w:t>
            </w:r>
          </w:p>
        </w:tc>
        <w:tc>
          <w:tcPr>
            <w:tcW w:w="562" w:type="pct"/>
          </w:tcPr>
          <w:p w14:paraId="2359F36E" w14:textId="46F13B6B"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712" w:type="pct"/>
          </w:tcPr>
          <w:p w14:paraId="4CDC86EC" w14:textId="11648B0E"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448" w:type="pct"/>
          </w:tcPr>
          <w:p w14:paraId="4330DBE8" w14:textId="3CDE5C82" w:rsidR="00BA32FC" w:rsidRPr="002E3FB9" w:rsidRDefault="00BA32FC" w:rsidP="00BA32FC">
            <w:pPr>
              <w:pStyle w:val="Default"/>
              <w:jc w:val="center"/>
              <w:rPr>
                <w:rFonts w:ascii="Aptos" w:hAnsi="Aptos"/>
              </w:rPr>
            </w:pPr>
            <w:r>
              <w:t>II</w:t>
            </w:r>
          </w:p>
        </w:tc>
        <w:tc>
          <w:tcPr>
            <w:tcW w:w="747" w:type="pct"/>
          </w:tcPr>
          <w:p w14:paraId="574844E1"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46E7F865" w14:textId="0A8741C2"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7D09A60D" w14:textId="77777777" w:rsidTr="00D1730A">
        <w:trPr>
          <w:trHeight w:val="472"/>
        </w:trPr>
        <w:tc>
          <w:tcPr>
            <w:tcW w:w="336" w:type="pct"/>
          </w:tcPr>
          <w:p w14:paraId="14715A1D" w14:textId="4DCD59A7" w:rsidR="00BA32FC" w:rsidRPr="002E3FB9" w:rsidRDefault="00BA32FC" w:rsidP="00BA32FC">
            <w:pPr>
              <w:pStyle w:val="Default"/>
              <w:rPr>
                <w:rFonts w:ascii="Aptos" w:hAnsi="Aptos"/>
              </w:rPr>
            </w:pPr>
            <w:r>
              <w:t>7</w:t>
            </w:r>
          </w:p>
        </w:tc>
        <w:tc>
          <w:tcPr>
            <w:tcW w:w="1583" w:type="pct"/>
          </w:tcPr>
          <w:p w14:paraId="5B9ABB2A" w14:textId="3037D7B6" w:rsidR="00BA32FC" w:rsidRPr="002E3FB9" w:rsidRDefault="00BA32FC" w:rsidP="00BA32FC">
            <w:pPr>
              <w:pStyle w:val="Default"/>
              <w:rPr>
                <w:rFonts w:ascii="Aptos" w:hAnsi="Aptos"/>
              </w:rPr>
            </w:pPr>
            <w:r>
              <w:t>Aprovação de convênio de adesão</w:t>
            </w:r>
          </w:p>
        </w:tc>
        <w:tc>
          <w:tcPr>
            <w:tcW w:w="612" w:type="pct"/>
          </w:tcPr>
          <w:p w14:paraId="5A0B0FAD" w14:textId="6AC3C841"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75653C62" w14:textId="64A6E518" w:rsidR="00BA32FC" w:rsidRPr="00CD5175" w:rsidRDefault="00BA32FC" w:rsidP="00BA32FC">
            <w:pPr>
              <w:pStyle w:val="Default"/>
              <w:jc w:val="center"/>
              <w:rPr>
                <w:rFonts w:ascii="Aptos" w:hAnsi="Aptos"/>
                <w:b/>
                <w:bCs/>
                <w:color w:val="0000FF"/>
              </w:rPr>
            </w:pPr>
            <w:r w:rsidRPr="00CD5175">
              <w:rPr>
                <w:rStyle w:val="Forte"/>
                <w:b w:val="0"/>
                <w:bCs w:val="0"/>
                <w:color w:val="0000FF"/>
              </w:rPr>
              <w:t>55</w:t>
            </w:r>
          </w:p>
        </w:tc>
        <w:tc>
          <w:tcPr>
            <w:tcW w:w="712" w:type="pct"/>
          </w:tcPr>
          <w:p w14:paraId="47CA61F4" w14:textId="7BB4E483"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3A1CAC47" w14:textId="1701C199" w:rsidR="00BA32FC" w:rsidRPr="002E3FB9" w:rsidRDefault="00BA32FC" w:rsidP="00BA32FC">
            <w:pPr>
              <w:pStyle w:val="Default"/>
              <w:jc w:val="center"/>
              <w:rPr>
                <w:rFonts w:ascii="Aptos" w:hAnsi="Aptos"/>
              </w:rPr>
            </w:pPr>
            <w:r>
              <w:t>III</w:t>
            </w:r>
          </w:p>
        </w:tc>
        <w:tc>
          <w:tcPr>
            <w:tcW w:w="747" w:type="pct"/>
          </w:tcPr>
          <w:p w14:paraId="2011059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B595474" w14:textId="481045C6"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362B2CA3" w14:textId="77777777" w:rsidTr="00D1730A">
        <w:trPr>
          <w:trHeight w:val="472"/>
        </w:trPr>
        <w:tc>
          <w:tcPr>
            <w:tcW w:w="336" w:type="pct"/>
          </w:tcPr>
          <w:p w14:paraId="76343E99" w14:textId="5E95B845" w:rsidR="00BA32FC" w:rsidRPr="002E3FB9" w:rsidRDefault="00BA32FC" w:rsidP="00BA32FC">
            <w:pPr>
              <w:pStyle w:val="Default"/>
              <w:rPr>
                <w:rFonts w:ascii="Aptos" w:hAnsi="Aptos"/>
              </w:rPr>
            </w:pPr>
            <w:r>
              <w:lastRenderedPageBreak/>
              <w:t>8</w:t>
            </w:r>
          </w:p>
        </w:tc>
        <w:tc>
          <w:tcPr>
            <w:tcW w:w="1583" w:type="pct"/>
          </w:tcPr>
          <w:p w14:paraId="4D5279C7" w14:textId="77B442DD" w:rsidR="00BA32FC" w:rsidRPr="002E3FB9" w:rsidRDefault="00BA32FC" w:rsidP="00BA32FC">
            <w:pPr>
              <w:pStyle w:val="Default"/>
              <w:rPr>
                <w:rFonts w:ascii="Aptos" w:hAnsi="Aptos"/>
              </w:rPr>
            </w:pPr>
            <w:r>
              <w:t>Aprovação de convênio de adesão (com base em modelo certificado ou modelo padronizado)</w:t>
            </w:r>
          </w:p>
        </w:tc>
        <w:tc>
          <w:tcPr>
            <w:tcW w:w="612" w:type="pct"/>
          </w:tcPr>
          <w:p w14:paraId="7016AD6B" w14:textId="22FDC081"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w:t>
            </w:r>
          </w:p>
        </w:tc>
        <w:tc>
          <w:tcPr>
            <w:tcW w:w="562" w:type="pct"/>
          </w:tcPr>
          <w:p w14:paraId="3107D1D1" w14:textId="48A60F3B"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712" w:type="pct"/>
          </w:tcPr>
          <w:p w14:paraId="140900CA" w14:textId="00A78C9A"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448" w:type="pct"/>
          </w:tcPr>
          <w:p w14:paraId="38701243" w14:textId="7244243F" w:rsidR="00BA32FC" w:rsidRPr="002E3FB9" w:rsidRDefault="00BA32FC" w:rsidP="00BA32FC">
            <w:pPr>
              <w:pStyle w:val="Default"/>
              <w:jc w:val="center"/>
              <w:rPr>
                <w:rFonts w:ascii="Aptos" w:hAnsi="Aptos"/>
              </w:rPr>
            </w:pPr>
            <w:r>
              <w:t>II</w:t>
            </w:r>
          </w:p>
        </w:tc>
        <w:tc>
          <w:tcPr>
            <w:tcW w:w="747" w:type="pct"/>
          </w:tcPr>
          <w:p w14:paraId="28D537E5"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4FDB968B" w14:textId="16CE16F9"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21273C92" w14:textId="77777777" w:rsidTr="00D1730A">
        <w:trPr>
          <w:trHeight w:val="472"/>
        </w:trPr>
        <w:tc>
          <w:tcPr>
            <w:tcW w:w="336" w:type="pct"/>
          </w:tcPr>
          <w:p w14:paraId="315C3066" w14:textId="62732D21" w:rsidR="00BA32FC" w:rsidRPr="002E3FB9" w:rsidRDefault="00BA32FC" w:rsidP="00BA32FC">
            <w:pPr>
              <w:pStyle w:val="Default"/>
              <w:rPr>
                <w:rFonts w:ascii="Aptos" w:hAnsi="Aptos"/>
              </w:rPr>
            </w:pPr>
            <w:r>
              <w:t>9</w:t>
            </w:r>
          </w:p>
        </w:tc>
        <w:tc>
          <w:tcPr>
            <w:tcW w:w="1583" w:type="pct"/>
          </w:tcPr>
          <w:p w14:paraId="38B981F6" w14:textId="00A57A11" w:rsidR="00BA32FC" w:rsidRPr="002E3FB9" w:rsidRDefault="00BA32FC" w:rsidP="00BA32FC">
            <w:pPr>
              <w:pStyle w:val="Default"/>
              <w:rPr>
                <w:rFonts w:ascii="Aptos" w:hAnsi="Aptos"/>
              </w:rPr>
            </w:pPr>
            <w:r>
              <w:t>Alteração de convênio de adesão</w:t>
            </w:r>
          </w:p>
        </w:tc>
        <w:tc>
          <w:tcPr>
            <w:tcW w:w="612" w:type="pct"/>
          </w:tcPr>
          <w:p w14:paraId="3FBB8A17" w14:textId="63BE1FB9"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10</w:t>
            </w:r>
          </w:p>
        </w:tc>
        <w:tc>
          <w:tcPr>
            <w:tcW w:w="562" w:type="pct"/>
          </w:tcPr>
          <w:p w14:paraId="18AD7863" w14:textId="4DEF6EB6" w:rsidR="00BA32FC" w:rsidRPr="00CD5175" w:rsidRDefault="00BA32FC" w:rsidP="00BA32FC">
            <w:pPr>
              <w:pStyle w:val="Default"/>
              <w:jc w:val="center"/>
              <w:rPr>
                <w:rFonts w:ascii="Aptos" w:hAnsi="Aptos"/>
                <w:b/>
                <w:bCs/>
                <w:color w:val="0000FF"/>
              </w:rPr>
            </w:pPr>
            <w:r w:rsidRPr="00CD5175">
              <w:rPr>
                <w:rStyle w:val="Forte"/>
                <w:b w:val="0"/>
                <w:bCs w:val="0"/>
                <w:color w:val="0000FF"/>
              </w:rPr>
              <w:t>35</w:t>
            </w:r>
          </w:p>
        </w:tc>
        <w:tc>
          <w:tcPr>
            <w:tcW w:w="712" w:type="pct"/>
          </w:tcPr>
          <w:p w14:paraId="51F0343F" w14:textId="74220EB7"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07113D44" w14:textId="3EF9B96C" w:rsidR="00BA32FC" w:rsidRPr="002E3FB9" w:rsidRDefault="00BA32FC" w:rsidP="00BA32FC">
            <w:pPr>
              <w:pStyle w:val="Default"/>
              <w:jc w:val="center"/>
              <w:rPr>
                <w:rFonts w:ascii="Aptos" w:hAnsi="Aptos"/>
              </w:rPr>
            </w:pPr>
            <w:r>
              <w:t>III</w:t>
            </w:r>
          </w:p>
        </w:tc>
        <w:tc>
          <w:tcPr>
            <w:tcW w:w="747" w:type="pct"/>
          </w:tcPr>
          <w:p w14:paraId="1C3FBD91"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21F3CDB4" w14:textId="54581EB8"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2EB8613" w14:textId="77777777" w:rsidTr="00D1730A">
        <w:trPr>
          <w:trHeight w:val="472"/>
        </w:trPr>
        <w:tc>
          <w:tcPr>
            <w:tcW w:w="336" w:type="pct"/>
          </w:tcPr>
          <w:p w14:paraId="794B8022" w14:textId="22F74C74" w:rsidR="00BA32FC" w:rsidRPr="002E3FB9" w:rsidRDefault="00BA32FC" w:rsidP="00BA32FC">
            <w:pPr>
              <w:pStyle w:val="Default"/>
              <w:rPr>
                <w:rFonts w:ascii="Aptos" w:hAnsi="Aptos"/>
              </w:rPr>
            </w:pPr>
            <w:r>
              <w:t>10</w:t>
            </w:r>
          </w:p>
        </w:tc>
        <w:tc>
          <w:tcPr>
            <w:tcW w:w="1583" w:type="pct"/>
          </w:tcPr>
          <w:p w14:paraId="607F830C" w14:textId="2B64DECF" w:rsidR="00BA32FC" w:rsidRPr="002E3FB9" w:rsidRDefault="00BA32FC" w:rsidP="00BA32FC">
            <w:pPr>
              <w:pStyle w:val="Default"/>
              <w:rPr>
                <w:rFonts w:ascii="Aptos" w:hAnsi="Aptos"/>
              </w:rPr>
            </w:pPr>
            <w:r>
              <w:t>Alteração de convênio de adesão por licenciamento automático</w:t>
            </w:r>
          </w:p>
        </w:tc>
        <w:tc>
          <w:tcPr>
            <w:tcW w:w="612" w:type="pct"/>
          </w:tcPr>
          <w:p w14:paraId="16D35661" w14:textId="25AFCAA8"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w:t>
            </w:r>
          </w:p>
        </w:tc>
        <w:tc>
          <w:tcPr>
            <w:tcW w:w="562" w:type="pct"/>
          </w:tcPr>
          <w:p w14:paraId="44A573BF" w14:textId="2F2FE589"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712" w:type="pct"/>
          </w:tcPr>
          <w:p w14:paraId="1A563C2F" w14:textId="2A28EC74" w:rsidR="00BA32FC" w:rsidRPr="00CD5175" w:rsidRDefault="00BA32FC" w:rsidP="00BA32FC">
            <w:pPr>
              <w:pStyle w:val="Default"/>
              <w:jc w:val="center"/>
              <w:rPr>
                <w:rFonts w:ascii="Aptos" w:hAnsi="Aptos"/>
                <w:b/>
                <w:bCs/>
                <w:color w:val="0000FF"/>
              </w:rPr>
            </w:pPr>
            <w:r w:rsidRPr="00CD5175">
              <w:rPr>
                <w:rStyle w:val="Forte"/>
                <w:b w:val="0"/>
                <w:bCs w:val="0"/>
                <w:color w:val="0000FF"/>
              </w:rPr>
              <w:t>-</w:t>
            </w:r>
          </w:p>
        </w:tc>
        <w:tc>
          <w:tcPr>
            <w:tcW w:w="448" w:type="pct"/>
          </w:tcPr>
          <w:p w14:paraId="794F89B9" w14:textId="56026D38" w:rsidR="00BA32FC" w:rsidRPr="002E3FB9" w:rsidRDefault="00BA32FC" w:rsidP="00BA32FC">
            <w:pPr>
              <w:pStyle w:val="Default"/>
              <w:jc w:val="center"/>
              <w:rPr>
                <w:rFonts w:ascii="Aptos" w:hAnsi="Aptos"/>
              </w:rPr>
            </w:pPr>
            <w:r>
              <w:t>II</w:t>
            </w:r>
          </w:p>
        </w:tc>
        <w:tc>
          <w:tcPr>
            <w:tcW w:w="747" w:type="pct"/>
          </w:tcPr>
          <w:p w14:paraId="3D1E063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1BEE1DC" w14:textId="43E1E006"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71D19A29" w14:textId="77777777" w:rsidTr="00D1730A">
        <w:trPr>
          <w:trHeight w:val="472"/>
        </w:trPr>
        <w:tc>
          <w:tcPr>
            <w:tcW w:w="336" w:type="pct"/>
          </w:tcPr>
          <w:p w14:paraId="20832F84" w14:textId="25FDABBE" w:rsidR="00BA32FC" w:rsidRPr="002E3FB9" w:rsidRDefault="00BA32FC" w:rsidP="00BA32FC">
            <w:pPr>
              <w:pStyle w:val="Default"/>
              <w:rPr>
                <w:rFonts w:ascii="Aptos" w:hAnsi="Aptos"/>
              </w:rPr>
            </w:pPr>
            <w:r>
              <w:t>11</w:t>
            </w:r>
          </w:p>
        </w:tc>
        <w:tc>
          <w:tcPr>
            <w:tcW w:w="1583" w:type="pct"/>
          </w:tcPr>
          <w:p w14:paraId="63C29FAA" w14:textId="4A992A89" w:rsidR="00BA32FC" w:rsidRPr="002E3FB9" w:rsidRDefault="00BA32FC" w:rsidP="00BA32FC">
            <w:pPr>
              <w:pStyle w:val="Default"/>
              <w:rPr>
                <w:rFonts w:ascii="Aptos" w:hAnsi="Aptos"/>
              </w:rPr>
            </w:pPr>
            <w:proofErr w:type="spellStart"/>
            <w:r>
              <w:t>Saldamento</w:t>
            </w:r>
            <w:proofErr w:type="spellEnd"/>
            <w:r>
              <w:t xml:space="preserve"> de plano de benefícios</w:t>
            </w:r>
          </w:p>
        </w:tc>
        <w:tc>
          <w:tcPr>
            <w:tcW w:w="612" w:type="pct"/>
          </w:tcPr>
          <w:p w14:paraId="3C741CE4" w14:textId="687837A0"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4D853264" w14:textId="4075194C"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09EAFED2" w14:textId="42151AD0"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173E85A0" w14:textId="5E598A93" w:rsidR="00BA32FC" w:rsidRPr="002E3FB9" w:rsidRDefault="00BA32FC" w:rsidP="00BA32FC">
            <w:pPr>
              <w:pStyle w:val="Default"/>
              <w:jc w:val="center"/>
              <w:rPr>
                <w:rFonts w:ascii="Aptos" w:hAnsi="Aptos"/>
              </w:rPr>
            </w:pPr>
            <w:r>
              <w:t>III</w:t>
            </w:r>
          </w:p>
        </w:tc>
        <w:tc>
          <w:tcPr>
            <w:tcW w:w="747" w:type="pct"/>
          </w:tcPr>
          <w:p w14:paraId="4973F1E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BF930CB" w14:textId="00140177"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13E70E0C" w14:textId="77777777" w:rsidTr="00D1730A">
        <w:trPr>
          <w:trHeight w:val="472"/>
        </w:trPr>
        <w:tc>
          <w:tcPr>
            <w:tcW w:w="336" w:type="pct"/>
          </w:tcPr>
          <w:p w14:paraId="1113FC80" w14:textId="0FB35002" w:rsidR="00BA32FC" w:rsidRPr="002E3FB9" w:rsidRDefault="00BA32FC" w:rsidP="00BA32FC">
            <w:pPr>
              <w:pStyle w:val="Default"/>
              <w:rPr>
                <w:rFonts w:ascii="Aptos" w:hAnsi="Aptos"/>
              </w:rPr>
            </w:pPr>
            <w:r>
              <w:t>12</w:t>
            </w:r>
          </w:p>
        </w:tc>
        <w:tc>
          <w:tcPr>
            <w:tcW w:w="1583" w:type="pct"/>
          </w:tcPr>
          <w:p w14:paraId="46CA79AA" w14:textId="463D1B46" w:rsidR="00BA32FC" w:rsidRPr="002E3FB9" w:rsidRDefault="00BA32FC" w:rsidP="00BA32FC">
            <w:pPr>
              <w:pStyle w:val="Default"/>
              <w:rPr>
                <w:rFonts w:ascii="Aptos" w:hAnsi="Aptos"/>
              </w:rPr>
            </w:pPr>
            <w:r>
              <w:t>Transferência de gerenciamento de plano de benefícios</w:t>
            </w:r>
          </w:p>
        </w:tc>
        <w:tc>
          <w:tcPr>
            <w:tcW w:w="612" w:type="pct"/>
          </w:tcPr>
          <w:p w14:paraId="60AA4D51" w14:textId="53F45940"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0064FF1C" w14:textId="0166512F" w:rsidR="00BA32FC" w:rsidRPr="00CD5175" w:rsidRDefault="00BA32FC" w:rsidP="00BA32FC">
            <w:pPr>
              <w:pStyle w:val="Default"/>
              <w:jc w:val="center"/>
              <w:rPr>
                <w:rFonts w:ascii="Aptos" w:hAnsi="Aptos"/>
                <w:b/>
                <w:bCs/>
                <w:color w:val="0000FF"/>
              </w:rPr>
            </w:pPr>
            <w:r w:rsidRPr="00CD5175">
              <w:rPr>
                <w:rStyle w:val="Forte"/>
                <w:b w:val="0"/>
                <w:bCs w:val="0"/>
                <w:color w:val="0000FF"/>
              </w:rPr>
              <w:t>75</w:t>
            </w:r>
          </w:p>
        </w:tc>
        <w:tc>
          <w:tcPr>
            <w:tcW w:w="712" w:type="pct"/>
          </w:tcPr>
          <w:p w14:paraId="3D9B911D" w14:textId="6FEFA58D"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141AEB5E" w14:textId="702C6AE5" w:rsidR="00BA32FC" w:rsidRPr="002E3FB9" w:rsidRDefault="00BA32FC" w:rsidP="00BA32FC">
            <w:pPr>
              <w:pStyle w:val="Default"/>
              <w:jc w:val="center"/>
              <w:rPr>
                <w:rFonts w:ascii="Aptos" w:hAnsi="Aptos"/>
              </w:rPr>
            </w:pPr>
            <w:r>
              <w:t>III</w:t>
            </w:r>
          </w:p>
        </w:tc>
        <w:tc>
          <w:tcPr>
            <w:tcW w:w="747" w:type="pct"/>
          </w:tcPr>
          <w:p w14:paraId="71A7DBB6"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4FA4D937"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xml:space="preserve">- </w:t>
            </w:r>
            <w:proofErr w:type="spellStart"/>
            <w:r>
              <w:rPr>
                <w:rFonts w:ascii="Calibri" w:hAnsi="Calibri" w:cs="Calibri"/>
                <w:color w:val="000000"/>
              </w:rPr>
              <w:t>Resol</w:t>
            </w:r>
            <w:proofErr w:type="spellEnd"/>
            <w:r>
              <w:rPr>
                <w:rFonts w:ascii="Calibri" w:hAnsi="Calibri" w:cs="Calibri"/>
                <w:color w:val="000000"/>
              </w:rPr>
              <w:t>. CNPC nº 25/2017;</w:t>
            </w:r>
          </w:p>
          <w:p w14:paraId="19D823EE" w14:textId="022DF5D1" w:rsidR="00BA32FC" w:rsidRPr="002E3FB9" w:rsidRDefault="00BA32FC" w:rsidP="00BA32FC">
            <w:pPr>
              <w:pStyle w:val="Default"/>
              <w:rPr>
                <w:rFonts w:ascii="Aptos" w:hAnsi="Aptos"/>
              </w:rPr>
            </w:pPr>
            <w:r>
              <w:t xml:space="preserve">- </w:t>
            </w:r>
            <w:proofErr w:type="spellStart"/>
            <w:r>
              <w:t>Resol</w:t>
            </w:r>
            <w:proofErr w:type="spellEnd"/>
            <w:r>
              <w:t>. CNPC nº 51/2022.</w:t>
            </w:r>
          </w:p>
        </w:tc>
      </w:tr>
      <w:tr w:rsidR="00BA32FC" w:rsidRPr="002E3FB9" w14:paraId="41B49220" w14:textId="77777777" w:rsidTr="00D1730A">
        <w:trPr>
          <w:trHeight w:val="472"/>
        </w:trPr>
        <w:tc>
          <w:tcPr>
            <w:tcW w:w="336" w:type="pct"/>
          </w:tcPr>
          <w:p w14:paraId="221298C2" w14:textId="6F6A2AA3" w:rsidR="00BA32FC" w:rsidRPr="002E3FB9" w:rsidRDefault="00BA32FC" w:rsidP="00BA32FC">
            <w:pPr>
              <w:pStyle w:val="Default"/>
              <w:rPr>
                <w:rFonts w:ascii="Aptos" w:hAnsi="Aptos"/>
              </w:rPr>
            </w:pPr>
            <w:r>
              <w:t>13</w:t>
            </w:r>
          </w:p>
        </w:tc>
        <w:tc>
          <w:tcPr>
            <w:tcW w:w="1583" w:type="pct"/>
          </w:tcPr>
          <w:p w14:paraId="3E7B1F5F" w14:textId="343290CC" w:rsidR="00BA32FC" w:rsidRPr="002E3FB9" w:rsidRDefault="00BA32FC" w:rsidP="00BA32FC">
            <w:pPr>
              <w:pStyle w:val="Default"/>
              <w:rPr>
                <w:rFonts w:ascii="Aptos" w:hAnsi="Aptos"/>
              </w:rPr>
            </w:pPr>
            <w:r>
              <w:t>Fusão, cisão ou incorporação de planos de benefícios ou de EFPC</w:t>
            </w:r>
          </w:p>
        </w:tc>
        <w:tc>
          <w:tcPr>
            <w:tcW w:w="612" w:type="pct"/>
          </w:tcPr>
          <w:p w14:paraId="146F51A3" w14:textId="2858736E"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0D9B90B1" w14:textId="148EAFE2"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240A8BCD" w14:textId="72E79B40"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43A20579" w14:textId="26722869" w:rsidR="00BA32FC" w:rsidRPr="002E3FB9" w:rsidRDefault="00BA32FC" w:rsidP="00BA32FC">
            <w:pPr>
              <w:pStyle w:val="Default"/>
              <w:jc w:val="center"/>
              <w:rPr>
                <w:rFonts w:ascii="Aptos" w:hAnsi="Aptos"/>
              </w:rPr>
            </w:pPr>
            <w:r>
              <w:t>III</w:t>
            </w:r>
          </w:p>
        </w:tc>
        <w:tc>
          <w:tcPr>
            <w:tcW w:w="747" w:type="pct"/>
          </w:tcPr>
          <w:p w14:paraId="7ECB6185"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216D9F7" w14:textId="5B693795"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62DBB82" w14:textId="77777777" w:rsidTr="00D1730A">
        <w:trPr>
          <w:trHeight w:val="472"/>
        </w:trPr>
        <w:tc>
          <w:tcPr>
            <w:tcW w:w="336" w:type="pct"/>
          </w:tcPr>
          <w:p w14:paraId="4756B4B6" w14:textId="2C0C81B3" w:rsidR="00BA32FC" w:rsidRPr="002E3FB9" w:rsidRDefault="00BA32FC" w:rsidP="00BA32FC">
            <w:pPr>
              <w:pStyle w:val="Default"/>
              <w:rPr>
                <w:rFonts w:ascii="Aptos" w:hAnsi="Aptos"/>
              </w:rPr>
            </w:pPr>
            <w:r>
              <w:t>14</w:t>
            </w:r>
          </w:p>
        </w:tc>
        <w:tc>
          <w:tcPr>
            <w:tcW w:w="1583" w:type="pct"/>
          </w:tcPr>
          <w:p w14:paraId="645F87DA" w14:textId="68008B6D" w:rsidR="00BA32FC" w:rsidRPr="002E3FB9" w:rsidRDefault="00BA32FC" w:rsidP="00BA32FC">
            <w:pPr>
              <w:pStyle w:val="Default"/>
              <w:rPr>
                <w:rFonts w:ascii="Aptos" w:hAnsi="Aptos"/>
              </w:rPr>
            </w:pPr>
            <w:r>
              <w:t>Migração</w:t>
            </w:r>
          </w:p>
        </w:tc>
        <w:tc>
          <w:tcPr>
            <w:tcW w:w="612" w:type="pct"/>
          </w:tcPr>
          <w:p w14:paraId="3FEB98F3" w14:textId="13389140"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4C578B8D" w14:textId="4DFBC67A"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559181EE" w14:textId="6DE29D2E"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4A325BE8" w14:textId="1ADED55D" w:rsidR="00BA32FC" w:rsidRPr="002E3FB9" w:rsidRDefault="00BA32FC" w:rsidP="00BA32FC">
            <w:pPr>
              <w:pStyle w:val="Default"/>
              <w:jc w:val="center"/>
              <w:rPr>
                <w:rFonts w:ascii="Aptos" w:hAnsi="Aptos"/>
              </w:rPr>
            </w:pPr>
            <w:r>
              <w:t>III</w:t>
            </w:r>
          </w:p>
        </w:tc>
        <w:tc>
          <w:tcPr>
            <w:tcW w:w="747" w:type="pct"/>
          </w:tcPr>
          <w:p w14:paraId="71B312E9"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5EDE0334" w14:textId="7DE96DF3"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6E9FA18E" w14:textId="77777777" w:rsidTr="00D1730A">
        <w:trPr>
          <w:trHeight w:val="472"/>
        </w:trPr>
        <w:tc>
          <w:tcPr>
            <w:tcW w:w="336" w:type="pct"/>
          </w:tcPr>
          <w:p w14:paraId="237F26FF" w14:textId="57015242" w:rsidR="00BA32FC" w:rsidRPr="002E3FB9" w:rsidRDefault="00BA32FC" w:rsidP="00BA32FC">
            <w:pPr>
              <w:pStyle w:val="Default"/>
              <w:rPr>
                <w:rFonts w:ascii="Aptos" w:hAnsi="Aptos"/>
              </w:rPr>
            </w:pPr>
            <w:r>
              <w:t>15</w:t>
            </w:r>
          </w:p>
        </w:tc>
        <w:tc>
          <w:tcPr>
            <w:tcW w:w="1583" w:type="pct"/>
          </w:tcPr>
          <w:p w14:paraId="6007C406" w14:textId="495836E0" w:rsidR="00BA32FC" w:rsidRPr="002E3FB9" w:rsidRDefault="00BA32FC" w:rsidP="00BA32FC">
            <w:pPr>
              <w:pStyle w:val="Default"/>
              <w:rPr>
                <w:rFonts w:ascii="Aptos" w:hAnsi="Aptos"/>
              </w:rPr>
            </w:pPr>
            <w:r>
              <w:t>Operações estruturais relacionadas</w:t>
            </w:r>
          </w:p>
        </w:tc>
        <w:tc>
          <w:tcPr>
            <w:tcW w:w="612" w:type="pct"/>
          </w:tcPr>
          <w:p w14:paraId="24F80DA5" w14:textId="5E2B1DB4"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5B304942" w14:textId="4C0D737B"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66774C68" w14:textId="0BFA957A"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09BB0D0C" w14:textId="20159F4D" w:rsidR="00BA32FC" w:rsidRPr="002E3FB9" w:rsidRDefault="00BA32FC" w:rsidP="00BA32FC">
            <w:pPr>
              <w:pStyle w:val="Default"/>
              <w:jc w:val="center"/>
              <w:rPr>
                <w:rFonts w:ascii="Aptos" w:hAnsi="Aptos"/>
              </w:rPr>
            </w:pPr>
            <w:r>
              <w:t>III</w:t>
            </w:r>
          </w:p>
        </w:tc>
        <w:tc>
          <w:tcPr>
            <w:tcW w:w="747" w:type="pct"/>
          </w:tcPr>
          <w:p w14:paraId="59649340"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071FEBA4" w14:textId="0271F0F8"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5B436981" w14:textId="77777777" w:rsidTr="00D1730A">
        <w:trPr>
          <w:trHeight w:val="472"/>
        </w:trPr>
        <w:tc>
          <w:tcPr>
            <w:tcW w:w="336" w:type="pct"/>
          </w:tcPr>
          <w:p w14:paraId="7D05C084" w14:textId="7D3A85A2" w:rsidR="00BA32FC" w:rsidRPr="002E3FB9" w:rsidRDefault="00BA32FC" w:rsidP="00BA32FC">
            <w:pPr>
              <w:pStyle w:val="Default"/>
              <w:rPr>
                <w:rFonts w:ascii="Aptos" w:hAnsi="Aptos"/>
              </w:rPr>
            </w:pPr>
            <w:r>
              <w:t>16</w:t>
            </w:r>
          </w:p>
        </w:tc>
        <w:tc>
          <w:tcPr>
            <w:tcW w:w="1583" w:type="pct"/>
          </w:tcPr>
          <w:p w14:paraId="60B77293" w14:textId="3FA0C15B" w:rsidR="00BA32FC" w:rsidRPr="002E3FB9" w:rsidRDefault="00BA32FC" w:rsidP="00BA32FC">
            <w:pPr>
              <w:pStyle w:val="Default"/>
              <w:rPr>
                <w:rFonts w:ascii="Aptos" w:hAnsi="Aptos"/>
              </w:rPr>
            </w:pPr>
            <w:r>
              <w:t>Destinação de reserva especial em requerimento que envolva reversão de valores</w:t>
            </w:r>
          </w:p>
        </w:tc>
        <w:tc>
          <w:tcPr>
            <w:tcW w:w="612" w:type="pct"/>
          </w:tcPr>
          <w:p w14:paraId="78B35D85" w14:textId="022A9DEA"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1417BBA5" w14:textId="60B32B6A"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6D865406" w14:textId="0505C728"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55525507" w14:textId="671C775C" w:rsidR="00BA32FC" w:rsidRPr="002E3FB9" w:rsidRDefault="00BA32FC" w:rsidP="00BA32FC">
            <w:pPr>
              <w:pStyle w:val="Default"/>
              <w:jc w:val="center"/>
              <w:rPr>
                <w:rFonts w:ascii="Aptos" w:hAnsi="Aptos"/>
              </w:rPr>
            </w:pPr>
            <w:r>
              <w:t>III</w:t>
            </w:r>
          </w:p>
        </w:tc>
        <w:tc>
          <w:tcPr>
            <w:tcW w:w="747" w:type="pct"/>
          </w:tcPr>
          <w:p w14:paraId="2E0195C9"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0D44AB9" w14:textId="0DDBFD17" w:rsidR="00BA32FC" w:rsidRPr="002E3FB9" w:rsidRDefault="00BA32FC" w:rsidP="00BA32FC">
            <w:pPr>
              <w:pStyle w:val="Default"/>
              <w:rPr>
                <w:rFonts w:ascii="Aptos" w:hAnsi="Aptos"/>
              </w:rPr>
            </w:pPr>
            <w:r>
              <w:t xml:space="preserve">- </w:t>
            </w:r>
            <w:proofErr w:type="spellStart"/>
            <w:r>
              <w:t>Resol</w:t>
            </w:r>
            <w:proofErr w:type="spellEnd"/>
            <w:r>
              <w:t>. CNPC nº 30/2018.</w:t>
            </w:r>
          </w:p>
        </w:tc>
      </w:tr>
      <w:tr w:rsidR="00BA32FC" w:rsidRPr="002E3FB9" w14:paraId="241F045D" w14:textId="77777777" w:rsidTr="00D1730A">
        <w:trPr>
          <w:trHeight w:val="472"/>
        </w:trPr>
        <w:tc>
          <w:tcPr>
            <w:tcW w:w="336" w:type="pct"/>
          </w:tcPr>
          <w:p w14:paraId="443372F3" w14:textId="64417097" w:rsidR="00BA32FC" w:rsidRPr="002E3FB9" w:rsidRDefault="00BA32FC" w:rsidP="00BA32FC">
            <w:pPr>
              <w:pStyle w:val="Default"/>
              <w:rPr>
                <w:rFonts w:ascii="Aptos" w:hAnsi="Aptos"/>
              </w:rPr>
            </w:pPr>
            <w:r>
              <w:lastRenderedPageBreak/>
              <w:t>17</w:t>
            </w:r>
          </w:p>
        </w:tc>
        <w:tc>
          <w:tcPr>
            <w:tcW w:w="1583" w:type="pct"/>
          </w:tcPr>
          <w:p w14:paraId="04CD9C23" w14:textId="57A9E19D" w:rsidR="00BA32FC" w:rsidRPr="002E3FB9" w:rsidRDefault="00BA32FC" w:rsidP="00BA32FC">
            <w:pPr>
              <w:pStyle w:val="Default"/>
              <w:rPr>
                <w:rFonts w:ascii="Aptos" w:hAnsi="Aptos"/>
              </w:rPr>
            </w:pPr>
            <w:r>
              <w:t>Retirada de patrocínio</w:t>
            </w:r>
          </w:p>
        </w:tc>
        <w:tc>
          <w:tcPr>
            <w:tcW w:w="612" w:type="pct"/>
          </w:tcPr>
          <w:p w14:paraId="5EEBA59B" w14:textId="7B80136A"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113D22AC" w14:textId="716BF56A"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7167E185" w14:textId="4A1317A8"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39439EA2" w14:textId="0994FA43" w:rsidR="00BA32FC" w:rsidRPr="002E3FB9" w:rsidRDefault="00BA32FC" w:rsidP="00BA32FC">
            <w:pPr>
              <w:pStyle w:val="Default"/>
              <w:jc w:val="center"/>
              <w:rPr>
                <w:rFonts w:ascii="Aptos" w:hAnsi="Aptos"/>
              </w:rPr>
            </w:pPr>
            <w:r>
              <w:t>III</w:t>
            </w:r>
          </w:p>
        </w:tc>
        <w:tc>
          <w:tcPr>
            <w:tcW w:w="747" w:type="pct"/>
          </w:tcPr>
          <w:p w14:paraId="5A5D7E3A"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3B8623FA" w14:textId="4FC05D6C" w:rsidR="00BA32FC" w:rsidRPr="002E3FB9" w:rsidRDefault="00BA32FC" w:rsidP="00BA32FC">
            <w:pPr>
              <w:pStyle w:val="Default"/>
              <w:rPr>
                <w:rFonts w:ascii="Aptos" w:hAnsi="Aptos"/>
              </w:rPr>
            </w:pPr>
            <w:r>
              <w:t xml:space="preserve">- </w:t>
            </w:r>
            <w:proofErr w:type="spellStart"/>
            <w:r>
              <w:t>Resol</w:t>
            </w:r>
            <w:proofErr w:type="spellEnd"/>
            <w:r>
              <w:t>. CNPC nº 11/2013;</w:t>
            </w:r>
          </w:p>
        </w:tc>
      </w:tr>
      <w:tr w:rsidR="00BA32FC" w:rsidRPr="002E3FB9" w14:paraId="088DD0CB" w14:textId="77777777" w:rsidTr="00D1730A">
        <w:trPr>
          <w:trHeight w:val="472"/>
        </w:trPr>
        <w:tc>
          <w:tcPr>
            <w:tcW w:w="336" w:type="pct"/>
          </w:tcPr>
          <w:p w14:paraId="54F735C1" w14:textId="4A562C8E" w:rsidR="00BA32FC" w:rsidRPr="002E3FB9" w:rsidRDefault="00BA32FC" w:rsidP="00BA32FC">
            <w:pPr>
              <w:pStyle w:val="Default"/>
              <w:rPr>
                <w:rFonts w:ascii="Aptos" w:hAnsi="Aptos"/>
              </w:rPr>
            </w:pPr>
            <w:r>
              <w:t>18</w:t>
            </w:r>
          </w:p>
        </w:tc>
        <w:tc>
          <w:tcPr>
            <w:tcW w:w="1583" w:type="pct"/>
          </w:tcPr>
          <w:p w14:paraId="2AD62261" w14:textId="59709A8B" w:rsidR="00BA32FC" w:rsidRPr="002E3FB9" w:rsidRDefault="00BA32FC" w:rsidP="00BA32FC">
            <w:pPr>
              <w:pStyle w:val="Default"/>
              <w:rPr>
                <w:rFonts w:ascii="Aptos" w:hAnsi="Aptos"/>
              </w:rPr>
            </w:pPr>
            <w:r>
              <w:t>Rescisão de convênio de adesão por iniciativa da EFPC (Redação dada pela Resolução Previc nº 25, de 15 de outubro de 2024)</w:t>
            </w:r>
          </w:p>
        </w:tc>
        <w:tc>
          <w:tcPr>
            <w:tcW w:w="612" w:type="pct"/>
          </w:tcPr>
          <w:p w14:paraId="73F1A0FA" w14:textId="36EE98CB"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20</w:t>
            </w:r>
          </w:p>
        </w:tc>
        <w:tc>
          <w:tcPr>
            <w:tcW w:w="562" w:type="pct"/>
          </w:tcPr>
          <w:p w14:paraId="17B98A70" w14:textId="16DD2733" w:rsidR="00BA32FC" w:rsidRPr="00CD5175" w:rsidRDefault="00BA32FC" w:rsidP="00BA32FC">
            <w:pPr>
              <w:pStyle w:val="Default"/>
              <w:jc w:val="center"/>
              <w:rPr>
                <w:rFonts w:ascii="Aptos" w:hAnsi="Aptos"/>
                <w:b/>
                <w:bCs/>
                <w:color w:val="0000FF"/>
              </w:rPr>
            </w:pPr>
            <w:r w:rsidRPr="00CD5175">
              <w:rPr>
                <w:rStyle w:val="Forte"/>
                <w:b w:val="0"/>
                <w:bCs w:val="0"/>
                <w:color w:val="0000FF"/>
              </w:rPr>
              <w:t>110</w:t>
            </w:r>
          </w:p>
        </w:tc>
        <w:tc>
          <w:tcPr>
            <w:tcW w:w="712" w:type="pct"/>
          </w:tcPr>
          <w:p w14:paraId="4400A8A7" w14:textId="4B2E752B"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6852F0D2" w14:textId="70033B2C" w:rsidR="00BA32FC" w:rsidRPr="002E3FB9" w:rsidRDefault="00BA32FC" w:rsidP="00BA32FC">
            <w:pPr>
              <w:pStyle w:val="Default"/>
              <w:jc w:val="center"/>
              <w:rPr>
                <w:rFonts w:ascii="Aptos" w:hAnsi="Aptos"/>
              </w:rPr>
            </w:pPr>
            <w:r>
              <w:t>III</w:t>
            </w:r>
          </w:p>
        </w:tc>
        <w:tc>
          <w:tcPr>
            <w:tcW w:w="747" w:type="pct"/>
          </w:tcPr>
          <w:p w14:paraId="2FAD3E4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243BA21B"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xml:space="preserve">- </w:t>
            </w:r>
            <w:proofErr w:type="spellStart"/>
            <w:r>
              <w:rPr>
                <w:rFonts w:ascii="Calibri" w:hAnsi="Calibri" w:cs="Calibri"/>
                <w:color w:val="000000"/>
              </w:rPr>
              <w:t>Resol</w:t>
            </w:r>
            <w:proofErr w:type="spellEnd"/>
            <w:r>
              <w:rPr>
                <w:rFonts w:ascii="Calibri" w:hAnsi="Calibri" w:cs="Calibri"/>
                <w:color w:val="000000"/>
              </w:rPr>
              <w:t>. CNPC nº 11/2013;</w:t>
            </w:r>
          </w:p>
          <w:p w14:paraId="4EAE1CA5" w14:textId="1EC6BE00" w:rsidR="00BA32FC" w:rsidRPr="002E3FB9" w:rsidRDefault="00BA32FC" w:rsidP="00BA32FC">
            <w:pPr>
              <w:pStyle w:val="Default"/>
              <w:rPr>
                <w:rFonts w:ascii="Aptos" w:hAnsi="Aptos"/>
              </w:rPr>
            </w:pPr>
            <w:r>
              <w:t xml:space="preserve">- </w:t>
            </w:r>
            <w:proofErr w:type="spellStart"/>
            <w:r>
              <w:t>Resol</w:t>
            </w:r>
            <w:proofErr w:type="spellEnd"/>
            <w:r>
              <w:t>. CNPC nº 53/2022.</w:t>
            </w:r>
          </w:p>
        </w:tc>
      </w:tr>
      <w:tr w:rsidR="00BA32FC" w:rsidRPr="002E3FB9" w14:paraId="6E89BCAE" w14:textId="77777777" w:rsidTr="00D1730A">
        <w:trPr>
          <w:trHeight w:val="472"/>
        </w:trPr>
        <w:tc>
          <w:tcPr>
            <w:tcW w:w="336" w:type="pct"/>
          </w:tcPr>
          <w:p w14:paraId="438FAFF9" w14:textId="7C2B7A9D" w:rsidR="00BA32FC" w:rsidRPr="002E3FB9" w:rsidRDefault="00BA32FC" w:rsidP="00BA32FC">
            <w:pPr>
              <w:pStyle w:val="Default"/>
              <w:rPr>
                <w:rFonts w:ascii="Aptos" w:hAnsi="Aptos"/>
              </w:rPr>
            </w:pPr>
            <w:r>
              <w:t>19</w:t>
            </w:r>
          </w:p>
        </w:tc>
        <w:tc>
          <w:tcPr>
            <w:tcW w:w="1583" w:type="pct"/>
          </w:tcPr>
          <w:p w14:paraId="7A5EAE15" w14:textId="7DA00D40" w:rsidR="00BA32FC" w:rsidRPr="002E3FB9" w:rsidRDefault="00BA32FC" w:rsidP="00BA32FC">
            <w:pPr>
              <w:pStyle w:val="Default"/>
              <w:rPr>
                <w:rFonts w:ascii="Aptos" w:hAnsi="Aptos"/>
              </w:rPr>
            </w:pPr>
            <w:r>
              <w:t>Encerramento de plano de benefícios</w:t>
            </w:r>
          </w:p>
        </w:tc>
        <w:tc>
          <w:tcPr>
            <w:tcW w:w="612" w:type="pct"/>
          </w:tcPr>
          <w:p w14:paraId="1D495889" w14:textId="4AF4EFFD"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10</w:t>
            </w:r>
          </w:p>
        </w:tc>
        <w:tc>
          <w:tcPr>
            <w:tcW w:w="562" w:type="pct"/>
          </w:tcPr>
          <w:p w14:paraId="21D651D1" w14:textId="07462D2E" w:rsidR="00BA32FC" w:rsidRPr="00CD5175" w:rsidRDefault="00BA32FC" w:rsidP="00BA32FC">
            <w:pPr>
              <w:pStyle w:val="Default"/>
              <w:jc w:val="center"/>
              <w:rPr>
                <w:rFonts w:ascii="Aptos" w:hAnsi="Aptos"/>
                <w:b/>
                <w:bCs/>
                <w:color w:val="0000FF"/>
              </w:rPr>
            </w:pPr>
            <w:r w:rsidRPr="00CD5175">
              <w:rPr>
                <w:rStyle w:val="Forte"/>
                <w:b w:val="0"/>
                <w:bCs w:val="0"/>
                <w:color w:val="0000FF"/>
              </w:rPr>
              <w:t>35</w:t>
            </w:r>
          </w:p>
        </w:tc>
        <w:tc>
          <w:tcPr>
            <w:tcW w:w="712" w:type="pct"/>
          </w:tcPr>
          <w:p w14:paraId="360D94CB" w14:textId="72736BD7"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42120FBB" w14:textId="1540C862" w:rsidR="00BA32FC" w:rsidRPr="002E3FB9" w:rsidRDefault="00BA32FC" w:rsidP="00BA32FC">
            <w:pPr>
              <w:pStyle w:val="Default"/>
              <w:jc w:val="center"/>
              <w:rPr>
                <w:rFonts w:ascii="Aptos" w:hAnsi="Aptos"/>
              </w:rPr>
            </w:pPr>
            <w:r>
              <w:t>III</w:t>
            </w:r>
          </w:p>
        </w:tc>
        <w:tc>
          <w:tcPr>
            <w:tcW w:w="747" w:type="pct"/>
          </w:tcPr>
          <w:p w14:paraId="49F2468F" w14:textId="4008F223" w:rsidR="00BA32FC" w:rsidRPr="002E3FB9" w:rsidRDefault="00BA32FC" w:rsidP="00BA32FC">
            <w:pPr>
              <w:pStyle w:val="Default"/>
              <w:rPr>
                <w:rFonts w:ascii="Aptos" w:hAnsi="Aptos"/>
              </w:rPr>
            </w:pPr>
            <w:r>
              <w:t>- LC nº 109/2001.</w:t>
            </w:r>
          </w:p>
        </w:tc>
      </w:tr>
      <w:tr w:rsidR="008557E4" w:rsidRPr="002E3FB9" w14:paraId="5D386905" w14:textId="77777777" w:rsidTr="00D1730A">
        <w:trPr>
          <w:trHeight w:val="472"/>
        </w:trPr>
        <w:tc>
          <w:tcPr>
            <w:tcW w:w="336" w:type="pct"/>
          </w:tcPr>
          <w:p w14:paraId="35184C28" w14:textId="0EE69F6B" w:rsidR="008557E4" w:rsidRPr="002E3FB9" w:rsidRDefault="008557E4" w:rsidP="008557E4">
            <w:pPr>
              <w:pStyle w:val="Default"/>
              <w:rPr>
                <w:rFonts w:ascii="Aptos" w:hAnsi="Aptos"/>
              </w:rPr>
            </w:pPr>
            <w:r>
              <w:t>20</w:t>
            </w:r>
          </w:p>
        </w:tc>
        <w:tc>
          <w:tcPr>
            <w:tcW w:w="1583" w:type="pct"/>
          </w:tcPr>
          <w:p w14:paraId="002E7892" w14:textId="5066C550" w:rsidR="008557E4" w:rsidRPr="002E3FB9" w:rsidRDefault="008557E4" w:rsidP="008557E4">
            <w:pPr>
              <w:pStyle w:val="Default"/>
              <w:rPr>
                <w:rFonts w:ascii="Aptos" w:hAnsi="Aptos"/>
              </w:rPr>
            </w:pPr>
            <w:r>
              <w:t>Encerramento de EFPC</w:t>
            </w:r>
          </w:p>
        </w:tc>
        <w:tc>
          <w:tcPr>
            <w:tcW w:w="612" w:type="pct"/>
          </w:tcPr>
          <w:p w14:paraId="11D42AF2" w14:textId="7D5CC186" w:rsidR="008557E4" w:rsidRPr="00CD5175" w:rsidRDefault="008557E4" w:rsidP="008557E4">
            <w:pPr>
              <w:spacing w:after="0" w:line="240" w:lineRule="auto"/>
              <w:jc w:val="center"/>
              <w:rPr>
                <w:b/>
                <w:bCs/>
                <w:color w:val="0000FF"/>
                <w:sz w:val="24"/>
                <w:szCs w:val="24"/>
              </w:rPr>
            </w:pPr>
            <w:r w:rsidRPr="00CD5175">
              <w:rPr>
                <w:rStyle w:val="Forte"/>
                <w:rFonts w:ascii="Calibri" w:hAnsi="Calibri" w:cs="Calibri"/>
                <w:b w:val="0"/>
                <w:bCs w:val="0"/>
                <w:color w:val="0000FF"/>
              </w:rPr>
              <w:t>10</w:t>
            </w:r>
          </w:p>
        </w:tc>
        <w:tc>
          <w:tcPr>
            <w:tcW w:w="562" w:type="pct"/>
          </w:tcPr>
          <w:p w14:paraId="13803858" w14:textId="6A793C85" w:rsidR="008557E4" w:rsidRPr="00CD5175" w:rsidRDefault="008557E4" w:rsidP="008557E4">
            <w:pPr>
              <w:pStyle w:val="Default"/>
              <w:jc w:val="center"/>
              <w:rPr>
                <w:rFonts w:ascii="Aptos" w:hAnsi="Aptos"/>
                <w:b/>
                <w:bCs/>
                <w:color w:val="0000FF"/>
              </w:rPr>
            </w:pPr>
            <w:r w:rsidRPr="00CD5175">
              <w:rPr>
                <w:rStyle w:val="Forte"/>
                <w:b w:val="0"/>
                <w:bCs w:val="0"/>
                <w:color w:val="0000FF"/>
              </w:rPr>
              <w:t>35</w:t>
            </w:r>
          </w:p>
        </w:tc>
        <w:tc>
          <w:tcPr>
            <w:tcW w:w="712" w:type="pct"/>
          </w:tcPr>
          <w:p w14:paraId="38FE532E" w14:textId="01CECF54" w:rsidR="008557E4" w:rsidRPr="00CD5175" w:rsidRDefault="008557E4" w:rsidP="008557E4">
            <w:pPr>
              <w:pStyle w:val="Default"/>
              <w:jc w:val="center"/>
              <w:rPr>
                <w:rFonts w:ascii="Aptos" w:hAnsi="Aptos"/>
                <w:b/>
                <w:bCs/>
                <w:color w:val="0000FF"/>
              </w:rPr>
            </w:pPr>
            <w:r w:rsidRPr="00CD5175">
              <w:rPr>
                <w:rStyle w:val="Forte"/>
                <w:b w:val="0"/>
                <w:bCs w:val="0"/>
                <w:color w:val="0000FF"/>
              </w:rPr>
              <w:t>30</w:t>
            </w:r>
          </w:p>
        </w:tc>
        <w:tc>
          <w:tcPr>
            <w:tcW w:w="448" w:type="pct"/>
          </w:tcPr>
          <w:p w14:paraId="0FC9D520" w14:textId="3DD9800E" w:rsidR="008557E4" w:rsidRPr="002E3FB9" w:rsidRDefault="008557E4" w:rsidP="008557E4">
            <w:pPr>
              <w:pStyle w:val="Default"/>
              <w:jc w:val="center"/>
              <w:rPr>
                <w:rFonts w:ascii="Aptos" w:hAnsi="Aptos"/>
              </w:rPr>
            </w:pPr>
            <w:r>
              <w:t>III</w:t>
            </w:r>
          </w:p>
        </w:tc>
        <w:tc>
          <w:tcPr>
            <w:tcW w:w="747" w:type="pct"/>
          </w:tcPr>
          <w:p w14:paraId="4D01E844" w14:textId="48AD9857" w:rsidR="008557E4" w:rsidRPr="002E3FB9" w:rsidRDefault="008557E4" w:rsidP="008557E4">
            <w:pPr>
              <w:pStyle w:val="Default"/>
              <w:rPr>
                <w:rFonts w:ascii="Aptos" w:hAnsi="Aptos"/>
              </w:rPr>
            </w:pPr>
            <w:r>
              <w:t>- LC nº 109/2001.</w:t>
            </w:r>
          </w:p>
        </w:tc>
      </w:tr>
      <w:tr w:rsidR="00BA32FC" w:rsidRPr="002E3FB9" w14:paraId="106DC92C" w14:textId="77777777" w:rsidTr="00D1730A">
        <w:trPr>
          <w:trHeight w:val="472"/>
        </w:trPr>
        <w:tc>
          <w:tcPr>
            <w:tcW w:w="336" w:type="pct"/>
          </w:tcPr>
          <w:p w14:paraId="5821C95E" w14:textId="6F061BB3" w:rsidR="00BA32FC" w:rsidRPr="002E3FB9" w:rsidRDefault="00BA32FC" w:rsidP="00BA32FC">
            <w:pPr>
              <w:pStyle w:val="Default"/>
              <w:rPr>
                <w:rFonts w:ascii="Aptos" w:hAnsi="Aptos"/>
              </w:rPr>
            </w:pPr>
            <w:r>
              <w:t>21</w:t>
            </w:r>
          </w:p>
        </w:tc>
        <w:tc>
          <w:tcPr>
            <w:tcW w:w="1583" w:type="pct"/>
          </w:tcPr>
          <w:p w14:paraId="23371236" w14:textId="3506BE44" w:rsidR="00BA32FC" w:rsidRPr="002E3FB9" w:rsidRDefault="00BA32FC" w:rsidP="00BA32FC">
            <w:pPr>
              <w:pStyle w:val="Default"/>
              <w:rPr>
                <w:rFonts w:ascii="Aptos" w:hAnsi="Aptos"/>
              </w:rPr>
            </w:pPr>
            <w:r>
              <w:t>Certificação de modelo de regulamento de plano de benefícios</w:t>
            </w:r>
          </w:p>
        </w:tc>
        <w:tc>
          <w:tcPr>
            <w:tcW w:w="612" w:type="pct"/>
          </w:tcPr>
          <w:p w14:paraId="12C26D26" w14:textId="3D0ED059"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47E201E0" w14:textId="67CB3F70" w:rsidR="00BA32FC" w:rsidRPr="00CD5175" w:rsidRDefault="00BA32FC" w:rsidP="00BA32FC">
            <w:pPr>
              <w:pStyle w:val="Default"/>
              <w:jc w:val="center"/>
              <w:rPr>
                <w:rFonts w:ascii="Aptos" w:hAnsi="Aptos"/>
                <w:b/>
                <w:bCs/>
                <w:color w:val="0000FF"/>
              </w:rPr>
            </w:pPr>
            <w:r w:rsidRPr="00CD5175">
              <w:rPr>
                <w:rStyle w:val="Forte"/>
                <w:b w:val="0"/>
                <w:bCs w:val="0"/>
                <w:color w:val="0000FF"/>
              </w:rPr>
              <w:t>75</w:t>
            </w:r>
          </w:p>
        </w:tc>
        <w:tc>
          <w:tcPr>
            <w:tcW w:w="712" w:type="pct"/>
          </w:tcPr>
          <w:p w14:paraId="446EDB9F" w14:textId="6AEDFC59"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6BEC3628" w14:textId="043023A1" w:rsidR="00BA32FC" w:rsidRPr="002E3FB9" w:rsidRDefault="00BA32FC" w:rsidP="00BA32FC">
            <w:pPr>
              <w:pStyle w:val="Default"/>
              <w:jc w:val="center"/>
              <w:rPr>
                <w:rFonts w:ascii="Aptos" w:hAnsi="Aptos"/>
              </w:rPr>
            </w:pPr>
            <w:r>
              <w:t>III</w:t>
            </w:r>
          </w:p>
        </w:tc>
        <w:tc>
          <w:tcPr>
            <w:tcW w:w="747" w:type="pct"/>
          </w:tcPr>
          <w:p w14:paraId="60478EBC"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284C4131" w14:textId="343BBA7C"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01563A0B" w14:textId="77777777" w:rsidTr="00D1730A">
        <w:trPr>
          <w:trHeight w:val="472"/>
        </w:trPr>
        <w:tc>
          <w:tcPr>
            <w:tcW w:w="336" w:type="pct"/>
          </w:tcPr>
          <w:p w14:paraId="5ECB64B0" w14:textId="7D6A8112" w:rsidR="00BA32FC" w:rsidRPr="002E3FB9" w:rsidRDefault="00BA32FC" w:rsidP="00BA32FC">
            <w:pPr>
              <w:pStyle w:val="Default"/>
              <w:rPr>
                <w:rFonts w:ascii="Aptos" w:hAnsi="Aptos"/>
              </w:rPr>
            </w:pPr>
            <w:r>
              <w:t>22</w:t>
            </w:r>
          </w:p>
        </w:tc>
        <w:tc>
          <w:tcPr>
            <w:tcW w:w="1583" w:type="pct"/>
          </w:tcPr>
          <w:p w14:paraId="3BE2AD9F" w14:textId="1B2B5489" w:rsidR="00BA32FC" w:rsidRPr="002E3FB9" w:rsidRDefault="00BA32FC" w:rsidP="00BA32FC">
            <w:pPr>
              <w:pStyle w:val="Default"/>
              <w:rPr>
                <w:rFonts w:ascii="Aptos" w:hAnsi="Aptos"/>
              </w:rPr>
            </w:pPr>
            <w:r>
              <w:t>Certificação de modelo de convênio de adesão</w:t>
            </w:r>
          </w:p>
        </w:tc>
        <w:tc>
          <w:tcPr>
            <w:tcW w:w="612" w:type="pct"/>
          </w:tcPr>
          <w:p w14:paraId="022B8601" w14:textId="6366A062"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5AC094A7" w14:textId="3E21B7F1" w:rsidR="00BA32FC" w:rsidRPr="00CD5175" w:rsidRDefault="00BA32FC" w:rsidP="00BA32FC">
            <w:pPr>
              <w:pStyle w:val="Default"/>
              <w:jc w:val="center"/>
              <w:rPr>
                <w:rFonts w:ascii="Aptos" w:hAnsi="Aptos"/>
                <w:b/>
                <w:bCs/>
                <w:color w:val="0000FF"/>
              </w:rPr>
            </w:pPr>
            <w:r w:rsidRPr="00CD5175">
              <w:rPr>
                <w:rStyle w:val="Forte"/>
                <w:b w:val="0"/>
                <w:bCs w:val="0"/>
                <w:color w:val="0000FF"/>
              </w:rPr>
              <w:t>55</w:t>
            </w:r>
          </w:p>
        </w:tc>
        <w:tc>
          <w:tcPr>
            <w:tcW w:w="712" w:type="pct"/>
          </w:tcPr>
          <w:p w14:paraId="29139EAB" w14:textId="75E9BA95" w:rsidR="00BA32FC" w:rsidRPr="00CD5175" w:rsidRDefault="00BA32FC" w:rsidP="00BA32FC">
            <w:pPr>
              <w:pStyle w:val="Default"/>
              <w:jc w:val="center"/>
              <w:rPr>
                <w:rFonts w:ascii="Aptos" w:hAnsi="Aptos"/>
                <w:b/>
                <w:bCs/>
                <w:color w:val="0000FF"/>
              </w:rPr>
            </w:pPr>
            <w:r w:rsidRPr="00CD5175">
              <w:rPr>
                <w:rStyle w:val="Forte"/>
                <w:b w:val="0"/>
                <w:bCs w:val="0"/>
                <w:color w:val="0000FF"/>
              </w:rPr>
              <w:t>30</w:t>
            </w:r>
          </w:p>
        </w:tc>
        <w:tc>
          <w:tcPr>
            <w:tcW w:w="448" w:type="pct"/>
          </w:tcPr>
          <w:p w14:paraId="70BAC1FC" w14:textId="1F055393" w:rsidR="00BA32FC" w:rsidRPr="002E3FB9" w:rsidRDefault="00BA32FC" w:rsidP="00BA32FC">
            <w:pPr>
              <w:pStyle w:val="Default"/>
              <w:jc w:val="center"/>
              <w:rPr>
                <w:rFonts w:ascii="Aptos" w:hAnsi="Aptos"/>
              </w:rPr>
            </w:pPr>
            <w:r>
              <w:t>III</w:t>
            </w:r>
          </w:p>
        </w:tc>
        <w:tc>
          <w:tcPr>
            <w:tcW w:w="747" w:type="pct"/>
          </w:tcPr>
          <w:p w14:paraId="589A7B58" w14:textId="77777777" w:rsidR="00BA32FC" w:rsidRDefault="00BA32FC" w:rsidP="00BA32FC">
            <w:pPr>
              <w:pStyle w:val="textojustificado"/>
              <w:spacing w:before="120" w:beforeAutospacing="0" w:after="120" w:afterAutospacing="0"/>
              <w:ind w:left="120" w:right="120"/>
              <w:jc w:val="both"/>
              <w:rPr>
                <w:rFonts w:ascii="Calibri" w:hAnsi="Calibri" w:cs="Calibri"/>
                <w:color w:val="000000"/>
              </w:rPr>
            </w:pPr>
            <w:r>
              <w:rPr>
                <w:rFonts w:ascii="Calibri" w:hAnsi="Calibri" w:cs="Calibri"/>
                <w:color w:val="000000"/>
              </w:rPr>
              <w:t>- LC nº 109/2001;</w:t>
            </w:r>
          </w:p>
          <w:p w14:paraId="686B8EE8" w14:textId="397AC120" w:rsidR="00BA32FC" w:rsidRPr="002E3FB9" w:rsidRDefault="00BA32FC" w:rsidP="00BA32FC">
            <w:pPr>
              <w:pStyle w:val="Default"/>
              <w:rPr>
                <w:rFonts w:ascii="Aptos" w:hAnsi="Aptos"/>
              </w:rPr>
            </w:pPr>
            <w:r>
              <w:t xml:space="preserve">- </w:t>
            </w:r>
            <w:proofErr w:type="spellStart"/>
            <w:r>
              <w:t>Resol</w:t>
            </w:r>
            <w:proofErr w:type="spellEnd"/>
            <w:r>
              <w:t>. CNPC nº 40/2021.</w:t>
            </w:r>
          </w:p>
        </w:tc>
      </w:tr>
      <w:tr w:rsidR="00BA32FC" w:rsidRPr="002E3FB9" w14:paraId="54D72B4C" w14:textId="77777777" w:rsidTr="00D1730A">
        <w:trPr>
          <w:trHeight w:val="472"/>
        </w:trPr>
        <w:tc>
          <w:tcPr>
            <w:tcW w:w="336" w:type="pct"/>
          </w:tcPr>
          <w:p w14:paraId="63FD70B7" w14:textId="4F996444" w:rsidR="00BA32FC" w:rsidRPr="002E3FB9" w:rsidRDefault="00BA32FC" w:rsidP="00BA32FC">
            <w:pPr>
              <w:pStyle w:val="Default"/>
              <w:rPr>
                <w:rFonts w:ascii="Aptos" w:hAnsi="Aptos"/>
              </w:rPr>
            </w:pPr>
            <w:r>
              <w:t>23</w:t>
            </w:r>
          </w:p>
        </w:tc>
        <w:tc>
          <w:tcPr>
            <w:tcW w:w="1583" w:type="pct"/>
          </w:tcPr>
          <w:p w14:paraId="0CDA0995" w14:textId="36FDDAA7" w:rsidR="00BA32FC" w:rsidRPr="002E3FB9" w:rsidRDefault="00BA32FC" w:rsidP="00BA32FC">
            <w:pPr>
              <w:pStyle w:val="Default"/>
              <w:rPr>
                <w:rFonts w:ascii="Aptos" w:hAnsi="Aptos"/>
              </w:rPr>
            </w:pPr>
            <w:r>
              <w:t>Habilitação de membro da diretoria-executiva ou de membro do conselho deliberativo ou do conselho fiscal de EFPC classificada no segmento S1</w:t>
            </w:r>
          </w:p>
        </w:tc>
        <w:tc>
          <w:tcPr>
            <w:tcW w:w="612" w:type="pct"/>
          </w:tcPr>
          <w:p w14:paraId="23AE43B1" w14:textId="5481959B"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10</w:t>
            </w:r>
          </w:p>
        </w:tc>
        <w:tc>
          <w:tcPr>
            <w:tcW w:w="562" w:type="pct"/>
          </w:tcPr>
          <w:p w14:paraId="6F67975E" w14:textId="01664A2C" w:rsidR="00BA32FC" w:rsidRPr="00CD5175" w:rsidRDefault="00BA32FC" w:rsidP="00BA32FC">
            <w:pPr>
              <w:pStyle w:val="Default"/>
              <w:jc w:val="center"/>
              <w:rPr>
                <w:rFonts w:ascii="Aptos" w:hAnsi="Aptos"/>
                <w:b/>
                <w:bCs/>
                <w:color w:val="0000FF"/>
              </w:rPr>
            </w:pPr>
            <w:r w:rsidRPr="00CD5175">
              <w:rPr>
                <w:rStyle w:val="Forte"/>
                <w:b w:val="0"/>
                <w:bCs w:val="0"/>
                <w:color w:val="0000FF"/>
              </w:rPr>
              <w:t>35</w:t>
            </w:r>
          </w:p>
        </w:tc>
        <w:tc>
          <w:tcPr>
            <w:tcW w:w="712" w:type="pct"/>
          </w:tcPr>
          <w:p w14:paraId="7426E895" w14:textId="20912C6D" w:rsidR="00BA32FC" w:rsidRPr="00CD5175" w:rsidRDefault="00BA32FC" w:rsidP="00BA32FC">
            <w:pPr>
              <w:pStyle w:val="Default"/>
              <w:jc w:val="center"/>
              <w:rPr>
                <w:rFonts w:ascii="Aptos" w:hAnsi="Aptos"/>
                <w:b/>
                <w:bCs/>
                <w:color w:val="0000FF"/>
              </w:rPr>
            </w:pPr>
            <w:r w:rsidRPr="00CD5175">
              <w:rPr>
                <w:rStyle w:val="Forte"/>
                <w:b w:val="0"/>
                <w:bCs w:val="0"/>
                <w:color w:val="0000FF"/>
              </w:rPr>
              <w:t>15</w:t>
            </w:r>
          </w:p>
        </w:tc>
        <w:tc>
          <w:tcPr>
            <w:tcW w:w="448" w:type="pct"/>
          </w:tcPr>
          <w:p w14:paraId="13B58AA7" w14:textId="573E5D83" w:rsidR="00BA32FC" w:rsidRPr="002E3FB9" w:rsidRDefault="00BA32FC" w:rsidP="00BA32FC">
            <w:pPr>
              <w:pStyle w:val="Default"/>
              <w:jc w:val="center"/>
              <w:rPr>
                <w:rFonts w:ascii="Aptos" w:hAnsi="Aptos"/>
              </w:rPr>
            </w:pPr>
            <w:r>
              <w:t>III</w:t>
            </w:r>
          </w:p>
        </w:tc>
        <w:tc>
          <w:tcPr>
            <w:tcW w:w="747" w:type="pct"/>
          </w:tcPr>
          <w:p w14:paraId="075B4E4A" w14:textId="394159CD" w:rsidR="00BA32FC" w:rsidRPr="002E3FB9" w:rsidRDefault="00BA32FC" w:rsidP="00BA32FC">
            <w:pPr>
              <w:pStyle w:val="Default"/>
              <w:rPr>
                <w:rFonts w:ascii="Aptos" w:hAnsi="Aptos"/>
              </w:rPr>
            </w:pPr>
            <w:r>
              <w:t xml:space="preserve">- </w:t>
            </w:r>
            <w:proofErr w:type="spellStart"/>
            <w:r>
              <w:t>Resol</w:t>
            </w:r>
            <w:proofErr w:type="spellEnd"/>
            <w:r>
              <w:t>. CNPC nº 39/2021;</w:t>
            </w:r>
          </w:p>
        </w:tc>
      </w:tr>
      <w:tr w:rsidR="00BA32FC" w:rsidRPr="002E3FB9" w14:paraId="18E71CF9" w14:textId="77777777" w:rsidTr="00D1730A">
        <w:trPr>
          <w:trHeight w:val="472"/>
        </w:trPr>
        <w:tc>
          <w:tcPr>
            <w:tcW w:w="336" w:type="pct"/>
          </w:tcPr>
          <w:p w14:paraId="5DA4E836" w14:textId="0B0D0034" w:rsidR="00BA32FC" w:rsidRPr="002E3FB9" w:rsidRDefault="00BA32FC" w:rsidP="00BA32FC">
            <w:pPr>
              <w:pStyle w:val="Default"/>
              <w:rPr>
                <w:rFonts w:ascii="Aptos" w:hAnsi="Aptos"/>
              </w:rPr>
            </w:pPr>
            <w:r>
              <w:t>24</w:t>
            </w:r>
          </w:p>
        </w:tc>
        <w:tc>
          <w:tcPr>
            <w:tcW w:w="1583" w:type="pct"/>
          </w:tcPr>
          <w:p w14:paraId="1A6D4526" w14:textId="44869606" w:rsidR="00BA32FC" w:rsidRPr="002E3FB9" w:rsidRDefault="00BA32FC" w:rsidP="00BA32FC">
            <w:pPr>
              <w:pStyle w:val="Default"/>
              <w:rPr>
                <w:rFonts w:ascii="Aptos" w:hAnsi="Aptos"/>
              </w:rPr>
            </w:pPr>
            <w:r>
              <w:t>Habilitação de membro dos órgãos estatutários de EFPC não enquadrada no item anterior</w:t>
            </w:r>
          </w:p>
        </w:tc>
        <w:tc>
          <w:tcPr>
            <w:tcW w:w="612" w:type="pct"/>
          </w:tcPr>
          <w:p w14:paraId="6D027B00" w14:textId="0F3DC8C0"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133591AF" w14:textId="6BCB10D0" w:rsidR="00BA32FC" w:rsidRPr="00CD5175" w:rsidRDefault="00BA32FC" w:rsidP="00BA32FC">
            <w:pPr>
              <w:pStyle w:val="Default"/>
              <w:jc w:val="center"/>
              <w:rPr>
                <w:rFonts w:ascii="Aptos" w:hAnsi="Aptos"/>
                <w:b/>
                <w:bCs/>
                <w:color w:val="0000FF"/>
              </w:rPr>
            </w:pPr>
            <w:r w:rsidRPr="00CD5175">
              <w:rPr>
                <w:rStyle w:val="Forte"/>
                <w:b w:val="0"/>
                <w:bCs w:val="0"/>
                <w:color w:val="0000FF"/>
              </w:rPr>
              <w:t>55</w:t>
            </w:r>
          </w:p>
        </w:tc>
        <w:tc>
          <w:tcPr>
            <w:tcW w:w="712" w:type="pct"/>
          </w:tcPr>
          <w:p w14:paraId="0922A298" w14:textId="010ED70C" w:rsidR="00BA32FC" w:rsidRPr="00CD5175" w:rsidRDefault="00BA32FC" w:rsidP="00BA32FC">
            <w:pPr>
              <w:pStyle w:val="Default"/>
              <w:jc w:val="center"/>
              <w:rPr>
                <w:rFonts w:ascii="Aptos" w:hAnsi="Aptos"/>
                <w:b/>
                <w:bCs/>
                <w:color w:val="0000FF"/>
              </w:rPr>
            </w:pPr>
            <w:r w:rsidRPr="00CD5175">
              <w:rPr>
                <w:rStyle w:val="Forte"/>
                <w:b w:val="0"/>
                <w:bCs w:val="0"/>
                <w:color w:val="0000FF"/>
              </w:rPr>
              <w:t>15</w:t>
            </w:r>
          </w:p>
        </w:tc>
        <w:tc>
          <w:tcPr>
            <w:tcW w:w="448" w:type="pct"/>
          </w:tcPr>
          <w:p w14:paraId="10C467A8" w14:textId="484839F1" w:rsidR="00BA32FC" w:rsidRPr="002E3FB9" w:rsidRDefault="00BA32FC" w:rsidP="00BA32FC">
            <w:pPr>
              <w:pStyle w:val="Default"/>
              <w:jc w:val="center"/>
              <w:rPr>
                <w:rFonts w:ascii="Aptos" w:hAnsi="Aptos"/>
              </w:rPr>
            </w:pPr>
            <w:r>
              <w:t>I</w:t>
            </w:r>
          </w:p>
        </w:tc>
        <w:tc>
          <w:tcPr>
            <w:tcW w:w="747" w:type="pct"/>
          </w:tcPr>
          <w:p w14:paraId="59C9419D" w14:textId="5A9FB6CB" w:rsidR="00BA32FC" w:rsidRPr="002E3FB9" w:rsidRDefault="00BA32FC" w:rsidP="00BA32FC">
            <w:pPr>
              <w:pStyle w:val="Default"/>
              <w:rPr>
                <w:rFonts w:ascii="Aptos" w:hAnsi="Aptos"/>
              </w:rPr>
            </w:pPr>
            <w:r>
              <w:t xml:space="preserve">- </w:t>
            </w:r>
            <w:proofErr w:type="spellStart"/>
            <w:r>
              <w:t>Resol</w:t>
            </w:r>
            <w:proofErr w:type="spellEnd"/>
            <w:r>
              <w:t>. CNPC nº 39/2021.</w:t>
            </w:r>
          </w:p>
        </w:tc>
      </w:tr>
      <w:tr w:rsidR="00BA32FC" w:rsidRPr="002E3FB9" w14:paraId="659ECBC4" w14:textId="77777777" w:rsidTr="00D1730A">
        <w:trPr>
          <w:trHeight w:val="472"/>
        </w:trPr>
        <w:tc>
          <w:tcPr>
            <w:tcW w:w="336" w:type="pct"/>
          </w:tcPr>
          <w:p w14:paraId="754F3660" w14:textId="42643193" w:rsidR="00BA32FC" w:rsidRPr="002E3FB9" w:rsidRDefault="00BA32FC" w:rsidP="00BA32FC">
            <w:pPr>
              <w:pStyle w:val="Default"/>
              <w:rPr>
                <w:rFonts w:ascii="Aptos" w:hAnsi="Aptos"/>
              </w:rPr>
            </w:pPr>
            <w:r>
              <w:t>25</w:t>
            </w:r>
          </w:p>
        </w:tc>
        <w:tc>
          <w:tcPr>
            <w:tcW w:w="1583" w:type="pct"/>
          </w:tcPr>
          <w:p w14:paraId="7AE5EA5F" w14:textId="4E2CF91B" w:rsidR="00BA32FC" w:rsidRPr="002E3FB9" w:rsidRDefault="00BA32FC" w:rsidP="00BA32FC">
            <w:pPr>
              <w:pStyle w:val="Default"/>
              <w:rPr>
                <w:rFonts w:ascii="Aptos" w:hAnsi="Aptos"/>
              </w:rPr>
            </w:pPr>
            <w:r>
              <w:t>Reconhecimento de instituição certificadora</w:t>
            </w:r>
          </w:p>
        </w:tc>
        <w:tc>
          <w:tcPr>
            <w:tcW w:w="612" w:type="pct"/>
          </w:tcPr>
          <w:p w14:paraId="615D351F" w14:textId="4F45DA26" w:rsidR="00BA32FC" w:rsidRPr="00CD5175" w:rsidRDefault="00BA32FC" w:rsidP="00BA32FC">
            <w:pPr>
              <w:spacing w:after="0" w:line="240" w:lineRule="auto"/>
              <w:jc w:val="center"/>
              <w:rPr>
                <w:b/>
                <w:bCs/>
                <w:color w:val="0000FF"/>
                <w:sz w:val="24"/>
                <w:szCs w:val="24"/>
              </w:rPr>
            </w:pPr>
            <w:r w:rsidRPr="00CD5175">
              <w:rPr>
                <w:rStyle w:val="Forte"/>
                <w:rFonts w:ascii="Calibri" w:hAnsi="Calibri" w:cs="Calibri"/>
                <w:b w:val="0"/>
                <w:bCs w:val="0"/>
                <w:color w:val="0000FF"/>
              </w:rPr>
              <w:t>15</w:t>
            </w:r>
          </w:p>
        </w:tc>
        <w:tc>
          <w:tcPr>
            <w:tcW w:w="562" w:type="pct"/>
          </w:tcPr>
          <w:p w14:paraId="4FCBD4C8" w14:textId="264B8041" w:rsidR="00BA32FC" w:rsidRPr="00CD5175" w:rsidRDefault="00BA32FC" w:rsidP="00BA32FC">
            <w:pPr>
              <w:pStyle w:val="Default"/>
              <w:jc w:val="center"/>
              <w:rPr>
                <w:rFonts w:ascii="Aptos" w:hAnsi="Aptos"/>
                <w:b/>
                <w:bCs/>
                <w:color w:val="0000FF"/>
              </w:rPr>
            </w:pPr>
            <w:r w:rsidRPr="00CD5175">
              <w:rPr>
                <w:rStyle w:val="Forte"/>
                <w:b w:val="0"/>
                <w:bCs w:val="0"/>
                <w:color w:val="0000FF"/>
              </w:rPr>
              <w:t>55</w:t>
            </w:r>
          </w:p>
        </w:tc>
        <w:tc>
          <w:tcPr>
            <w:tcW w:w="712" w:type="pct"/>
          </w:tcPr>
          <w:p w14:paraId="59AED36C" w14:textId="198AA594" w:rsidR="00BA32FC" w:rsidRPr="00CD5175" w:rsidRDefault="00BA32FC" w:rsidP="00BA32FC">
            <w:pPr>
              <w:pStyle w:val="Default"/>
              <w:jc w:val="center"/>
              <w:rPr>
                <w:rFonts w:ascii="Aptos" w:hAnsi="Aptos"/>
                <w:b/>
                <w:bCs/>
                <w:color w:val="0000FF"/>
              </w:rPr>
            </w:pPr>
            <w:r w:rsidRPr="00CD5175">
              <w:rPr>
                <w:rStyle w:val="Forte"/>
                <w:b w:val="0"/>
                <w:bCs w:val="0"/>
                <w:color w:val="0000FF"/>
              </w:rPr>
              <w:t>15</w:t>
            </w:r>
          </w:p>
        </w:tc>
        <w:tc>
          <w:tcPr>
            <w:tcW w:w="448" w:type="pct"/>
          </w:tcPr>
          <w:p w14:paraId="22F1BD1D" w14:textId="28392D2E" w:rsidR="00BA32FC" w:rsidRPr="002E3FB9" w:rsidRDefault="00BA32FC" w:rsidP="00BA32FC">
            <w:pPr>
              <w:pStyle w:val="Default"/>
              <w:jc w:val="center"/>
              <w:rPr>
                <w:rFonts w:ascii="Aptos" w:hAnsi="Aptos"/>
              </w:rPr>
            </w:pPr>
            <w:r>
              <w:t>III</w:t>
            </w:r>
          </w:p>
        </w:tc>
        <w:tc>
          <w:tcPr>
            <w:tcW w:w="747" w:type="pct"/>
          </w:tcPr>
          <w:p w14:paraId="2EF0C413" w14:textId="3C68DBDD" w:rsidR="00BA32FC" w:rsidRPr="002E3FB9" w:rsidRDefault="00BA32FC" w:rsidP="00BA32FC">
            <w:pPr>
              <w:pStyle w:val="Default"/>
              <w:rPr>
                <w:rFonts w:ascii="Aptos" w:hAnsi="Aptos"/>
              </w:rPr>
            </w:pPr>
            <w:r>
              <w:t xml:space="preserve">- </w:t>
            </w:r>
            <w:proofErr w:type="spellStart"/>
            <w:r>
              <w:t>Resol</w:t>
            </w:r>
            <w:proofErr w:type="spellEnd"/>
            <w:r>
              <w:t>. CNPC nº 39/2021.</w:t>
            </w:r>
          </w:p>
        </w:tc>
      </w:tr>
    </w:tbl>
    <w:p w14:paraId="4E4E55D2" w14:textId="2E33027C" w:rsidR="00AE75E2" w:rsidRPr="00E17468" w:rsidRDefault="00AE75E2" w:rsidP="00B2316F">
      <w:pPr>
        <w:rPr>
          <w:color w:val="0000FF"/>
          <w:sz w:val="24"/>
          <w:szCs w:val="24"/>
        </w:rPr>
      </w:pPr>
    </w:p>
    <w:sectPr w:rsidR="00AE75E2" w:rsidRPr="00E17468" w:rsidSect="00ED6416">
      <w:pgSz w:w="16838" w:h="11906" w:orient="landscape"/>
      <w:pgMar w:top="284" w:right="284" w:bottom="284" w:left="284"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EF9D84" w14:textId="77777777" w:rsidR="00094DCF" w:rsidRDefault="00094DCF" w:rsidP="009A7CFD">
      <w:pPr>
        <w:spacing w:after="0" w:line="240" w:lineRule="auto"/>
      </w:pPr>
      <w:r>
        <w:separator/>
      </w:r>
    </w:p>
  </w:endnote>
  <w:endnote w:type="continuationSeparator" w:id="0">
    <w:p w14:paraId="417A8B6E" w14:textId="77777777" w:rsidR="00094DCF" w:rsidRDefault="00094DCF" w:rsidP="009A7C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1" w:fontKey="{FD5FB143-40E0-4652-B7F9-DFD16A796778}"/>
    <w:embedBold r:id="rId2" w:fontKey="{651569EB-B8E4-49F4-9EEF-11AC7EFEE4B6}"/>
    <w:embedItalic r:id="rId3" w:fontKey="{F2D0983B-6DFD-4117-991A-C2E9270DF59F}"/>
    <w:embedBoldItalic r:id="rId4" w:fontKey="{228754AA-CECC-451F-9DC4-EDACDEDEE0B4}"/>
  </w:font>
  <w:font w:name="Play">
    <w:altName w:val="Calibri"/>
    <w:charset w:val="00"/>
    <w:family w:val="auto"/>
    <w:pitch w:val="default"/>
    <w:embedRegular r:id="rId5" w:fontKey="{1E4A2DC1-854B-4AA0-BFBB-4B0C89B44A4C}"/>
  </w:font>
  <w:font w:name="Georgia">
    <w:panose1 w:val="02040502050405020303"/>
    <w:charset w:val="00"/>
    <w:family w:val="roman"/>
    <w:pitch w:val="variable"/>
    <w:sig w:usb0="00000287" w:usb1="00000000" w:usb2="00000000" w:usb3="00000000" w:csb0="0000009F" w:csb1="00000000"/>
    <w:embedRegular r:id="rId6" w:fontKey="{949A63AA-51B2-4761-A6B7-8EDAF3C91845}"/>
    <w:embedItalic r:id="rId7" w:fontKey="{51AE4E50-ACF2-4ECD-A162-C81DEE77D7F4}"/>
  </w:font>
  <w:font w:name="Calibri">
    <w:panose1 w:val="020F0502020204030204"/>
    <w:charset w:val="00"/>
    <w:family w:val="swiss"/>
    <w:pitch w:val="variable"/>
    <w:sig w:usb0="E4002EFF" w:usb1="C000247B" w:usb2="00000009" w:usb3="00000000" w:csb0="000001FF" w:csb1="00000000"/>
    <w:embedRegular r:id="rId8" w:fontKey="{3E76F94E-A612-4E45-A16A-D813F98ED46C}"/>
    <w:embedBold r:id="rId9" w:fontKey="{A8CA794D-D81B-41CE-9BDF-4793428D65D5}"/>
    <w:embedItalic r:id="rId10" w:fontKey="{1431AA32-4E20-4420-B2ED-CA039F137591}"/>
    <w:embedBoldItalic r:id="rId11" w:fontKey="{6B9C6AA5-916D-4C1E-88C7-519D62D1BC89}"/>
  </w:font>
  <w:font w:name="Cambria">
    <w:panose1 w:val="02040503050406030204"/>
    <w:charset w:val="00"/>
    <w:family w:val="roman"/>
    <w:pitch w:val="variable"/>
    <w:sig w:usb0="E00006FF" w:usb1="420024FF" w:usb2="02000000" w:usb3="00000000" w:csb0="0000019F" w:csb1="00000000"/>
    <w:embedRegular r:id="rId12" w:fontKey="{C3657396-C677-47A2-AD5B-AED2D5BCB78E}"/>
    <w:embedBold r:id="rId13" w:fontKey="{BA6D7799-11EE-4D89-9FB9-346D400F8376}"/>
  </w:font>
  <w:font w:name="Segoe UI">
    <w:panose1 w:val="020B0502040204020203"/>
    <w:charset w:val="00"/>
    <w:family w:val="swiss"/>
    <w:pitch w:val="variable"/>
    <w:sig w:usb0="E4002EFF" w:usb1="C000E47F" w:usb2="00000009" w:usb3="00000000" w:csb0="000001FF" w:csb1="00000000"/>
    <w:embedRegular r:id="rId14" w:fontKey="{5B0D57A7-797B-40CA-AA50-57053967652C}"/>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C68497" w14:textId="77777777" w:rsidR="00094DCF" w:rsidRDefault="00094DCF" w:rsidP="009A7CFD">
      <w:pPr>
        <w:spacing w:after="0" w:line="240" w:lineRule="auto"/>
      </w:pPr>
      <w:r>
        <w:separator/>
      </w:r>
    </w:p>
  </w:footnote>
  <w:footnote w:type="continuationSeparator" w:id="0">
    <w:p w14:paraId="6964D7C5" w14:textId="77777777" w:rsidR="00094DCF" w:rsidRDefault="00094DCF" w:rsidP="009A7C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4F6655"/>
    <w:multiLevelType w:val="multilevel"/>
    <w:tmpl w:val="2974A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C887CF1"/>
    <w:multiLevelType w:val="hybridMultilevel"/>
    <w:tmpl w:val="D274531C"/>
    <w:lvl w:ilvl="0" w:tplc="B25C27C4">
      <w:start w:val="1"/>
      <w:numFmt w:val="decimal"/>
      <w:lvlText w:val="%1."/>
      <w:lvlJc w:val="left"/>
      <w:pPr>
        <w:ind w:left="405" w:hanging="360"/>
      </w:pPr>
      <w:rPr>
        <w:rFonts w:hint="default"/>
        <w:b w:val="0"/>
        <w:color w:val="0000FF"/>
        <w:sz w:val="22"/>
      </w:rPr>
    </w:lvl>
    <w:lvl w:ilvl="1" w:tplc="04160019" w:tentative="1">
      <w:start w:val="1"/>
      <w:numFmt w:val="lowerLetter"/>
      <w:lvlText w:val="%2."/>
      <w:lvlJc w:val="left"/>
      <w:pPr>
        <w:ind w:left="1125" w:hanging="360"/>
      </w:pPr>
    </w:lvl>
    <w:lvl w:ilvl="2" w:tplc="0416001B" w:tentative="1">
      <w:start w:val="1"/>
      <w:numFmt w:val="lowerRoman"/>
      <w:lvlText w:val="%3."/>
      <w:lvlJc w:val="right"/>
      <w:pPr>
        <w:ind w:left="1845" w:hanging="180"/>
      </w:pPr>
    </w:lvl>
    <w:lvl w:ilvl="3" w:tplc="0416000F" w:tentative="1">
      <w:start w:val="1"/>
      <w:numFmt w:val="decimal"/>
      <w:lvlText w:val="%4."/>
      <w:lvlJc w:val="left"/>
      <w:pPr>
        <w:ind w:left="2565" w:hanging="360"/>
      </w:pPr>
    </w:lvl>
    <w:lvl w:ilvl="4" w:tplc="04160019" w:tentative="1">
      <w:start w:val="1"/>
      <w:numFmt w:val="lowerLetter"/>
      <w:lvlText w:val="%5."/>
      <w:lvlJc w:val="left"/>
      <w:pPr>
        <w:ind w:left="3285" w:hanging="360"/>
      </w:pPr>
    </w:lvl>
    <w:lvl w:ilvl="5" w:tplc="0416001B" w:tentative="1">
      <w:start w:val="1"/>
      <w:numFmt w:val="lowerRoman"/>
      <w:lvlText w:val="%6."/>
      <w:lvlJc w:val="right"/>
      <w:pPr>
        <w:ind w:left="4005" w:hanging="180"/>
      </w:pPr>
    </w:lvl>
    <w:lvl w:ilvl="6" w:tplc="0416000F" w:tentative="1">
      <w:start w:val="1"/>
      <w:numFmt w:val="decimal"/>
      <w:lvlText w:val="%7."/>
      <w:lvlJc w:val="left"/>
      <w:pPr>
        <w:ind w:left="4725" w:hanging="360"/>
      </w:pPr>
    </w:lvl>
    <w:lvl w:ilvl="7" w:tplc="04160019" w:tentative="1">
      <w:start w:val="1"/>
      <w:numFmt w:val="lowerLetter"/>
      <w:lvlText w:val="%8."/>
      <w:lvlJc w:val="left"/>
      <w:pPr>
        <w:ind w:left="5445" w:hanging="360"/>
      </w:pPr>
    </w:lvl>
    <w:lvl w:ilvl="8" w:tplc="0416001B" w:tentative="1">
      <w:start w:val="1"/>
      <w:numFmt w:val="lowerRoman"/>
      <w:lvlText w:val="%9."/>
      <w:lvlJc w:val="right"/>
      <w:pPr>
        <w:ind w:left="6165" w:hanging="180"/>
      </w:pPr>
    </w:lvl>
  </w:abstractNum>
  <w:num w:numId="1" w16cid:durableId="1578980716">
    <w:abstractNumId w:val="1"/>
  </w:num>
  <w:num w:numId="2" w16cid:durableId="458033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5BD0"/>
    <w:rsid w:val="000052C9"/>
    <w:rsid w:val="0001369C"/>
    <w:rsid w:val="00014F0A"/>
    <w:rsid w:val="00021265"/>
    <w:rsid w:val="00026B55"/>
    <w:rsid w:val="00033AC6"/>
    <w:rsid w:val="000432A1"/>
    <w:rsid w:val="000564C2"/>
    <w:rsid w:val="0006536D"/>
    <w:rsid w:val="00067635"/>
    <w:rsid w:val="00082F36"/>
    <w:rsid w:val="00094DCF"/>
    <w:rsid w:val="000A1A4B"/>
    <w:rsid w:val="000A1F82"/>
    <w:rsid w:val="000C2148"/>
    <w:rsid w:val="000D7D73"/>
    <w:rsid w:val="000E01B8"/>
    <w:rsid w:val="000E0F2D"/>
    <w:rsid w:val="000F15E0"/>
    <w:rsid w:val="00106AF3"/>
    <w:rsid w:val="00132F8C"/>
    <w:rsid w:val="0015100F"/>
    <w:rsid w:val="00160EB0"/>
    <w:rsid w:val="00162A71"/>
    <w:rsid w:val="00162C61"/>
    <w:rsid w:val="001705A9"/>
    <w:rsid w:val="001856D3"/>
    <w:rsid w:val="00187A6D"/>
    <w:rsid w:val="001920A7"/>
    <w:rsid w:val="001A4ADD"/>
    <w:rsid w:val="001A7AC3"/>
    <w:rsid w:val="001B56D0"/>
    <w:rsid w:val="001C0C77"/>
    <w:rsid w:val="001D05BD"/>
    <w:rsid w:val="001D33D2"/>
    <w:rsid w:val="001D3C93"/>
    <w:rsid w:val="001D546F"/>
    <w:rsid w:val="001D7A41"/>
    <w:rsid w:val="001F273C"/>
    <w:rsid w:val="001F7F30"/>
    <w:rsid w:val="00204AFB"/>
    <w:rsid w:val="00210790"/>
    <w:rsid w:val="00213487"/>
    <w:rsid w:val="0021482B"/>
    <w:rsid w:val="00216CEE"/>
    <w:rsid w:val="00235944"/>
    <w:rsid w:val="00244D6F"/>
    <w:rsid w:val="00250981"/>
    <w:rsid w:val="0025626B"/>
    <w:rsid w:val="00257762"/>
    <w:rsid w:val="00261F74"/>
    <w:rsid w:val="00263860"/>
    <w:rsid w:val="002701A9"/>
    <w:rsid w:val="002773EE"/>
    <w:rsid w:val="00285C7D"/>
    <w:rsid w:val="0028717C"/>
    <w:rsid w:val="0029539F"/>
    <w:rsid w:val="0029794E"/>
    <w:rsid w:val="00297D09"/>
    <w:rsid w:val="002A2A6E"/>
    <w:rsid w:val="002B6B44"/>
    <w:rsid w:val="002C5366"/>
    <w:rsid w:val="002E0FE6"/>
    <w:rsid w:val="002E3FB9"/>
    <w:rsid w:val="002E6C4F"/>
    <w:rsid w:val="002F69D2"/>
    <w:rsid w:val="00305942"/>
    <w:rsid w:val="00327569"/>
    <w:rsid w:val="00331069"/>
    <w:rsid w:val="00340651"/>
    <w:rsid w:val="00345788"/>
    <w:rsid w:val="00347D55"/>
    <w:rsid w:val="00351443"/>
    <w:rsid w:val="00364905"/>
    <w:rsid w:val="003765BD"/>
    <w:rsid w:val="00391687"/>
    <w:rsid w:val="003A62EF"/>
    <w:rsid w:val="003B4D82"/>
    <w:rsid w:val="003C43B9"/>
    <w:rsid w:val="003D243B"/>
    <w:rsid w:val="003D63E3"/>
    <w:rsid w:val="003E3A96"/>
    <w:rsid w:val="003F0A4C"/>
    <w:rsid w:val="003F7538"/>
    <w:rsid w:val="0041273C"/>
    <w:rsid w:val="0041312D"/>
    <w:rsid w:val="004153BF"/>
    <w:rsid w:val="00431370"/>
    <w:rsid w:val="00450324"/>
    <w:rsid w:val="00460126"/>
    <w:rsid w:val="00465F10"/>
    <w:rsid w:val="00474E64"/>
    <w:rsid w:val="0047766D"/>
    <w:rsid w:val="00477DED"/>
    <w:rsid w:val="00480C3D"/>
    <w:rsid w:val="00487B6F"/>
    <w:rsid w:val="0049035A"/>
    <w:rsid w:val="00497C15"/>
    <w:rsid w:val="004A2310"/>
    <w:rsid w:val="004B40A2"/>
    <w:rsid w:val="004C3E70"/>
    <w:rsid w:val="004D1974"/>
    <w:rsid w:val="004D5976"/>
    <w:rsid w:val="004E06F1"/>
    <w:rsid w:val="004E77EA"/>
    <w:rsid w:val="004F0F51"/>
    <w:rsid w:val="004F5B01"/>
    <w:rsid w:val="00513762"/>
    <w:rsid w:val="00514F55"/>
    <w:rsid w:val="00523882"/>
    <w:rsid w:val="00524962"/>
    <w:rsid w:val="00525B2C"/>
    <w:rsid w:val="00556C72"/>
    <w:rsid w:val="005619E2"/>
    <w:rsid w:val="00564784"/>
    <w:rsid w:val="00576B84"/>
    <w:rsid w:val="005846AE"/>
    <w:rsid w:val="00596263"/>
    <w:rsid w:val="005B1E2B"/>
    <w:rsid w:val="005D32F7"/>
    <w:rsid w:val="005E2EBD"/>
    <w:rsid w:val="005F253D"/>
    <w:rsid w:val="005F3BE4"/>
    <w:rsid w:val="005F7D96"/>
    <w:rsid w:val="006258F5"/>
    <w:rsid w:val="00625D56"/>
    <w:rsid w:val="00627F1C"/>
    <w:rsid w:val="006406F2"/>
    <w:rsid w:val="006414E3"/>
    <w:rsid w:val="00643C30"/>
    <w:rsid w:val="00653BE5"/>
    <w:rsid w:val="00661C50"/>
    <w:rsid w:val="006645AC"/>
    <w:rsid w:val="00666A87"/>
    <w:rsid w:val="0068114E"/>
    <w:rsid w:val="006947E7"/>
    <w:rsid w:val="006974ED"/>
    <w:rsid w:val="006C5BD0"/>
    <w:rsid w:val="006D4320"/>
    <w:rsid w:val="006E09D0"/>
    <w:rsid w:val="006F1170"/>
    <w:rsid w:val="00701360"/>
    <w:rsid w:val="00701692"/>
    <w:rsid w:val="00716A03"/>
    <w:rsid w:val="007258E7"/>
    <w:rsid w:val="007273DC"/>
    <w:rsid w:val="0073509E"/>
    <w:rsid w:val="00765FAF"/>
    <w:rsid w:val="00780821"/>
    <w:rsid w:val="007978F1"/>
    <w:rsid w:val="007B48BC"/>
    <w:rsid w:val="007E0C21"/>
    <w:rsid w:val="007E378D"/>
    <w:rsid w:val="007E53F6"/>
    <w:rsid w:val="007E5BF7"/>
    <w:rsid w:val="007E73F1"/>
    <w:rsid w:val="007F47DF"/>
    <w:rsid w:val="007F49B4"/>
    <w:rsid w:val="00801A10"/>
    <w:rsid w:val="00804B5A"/>
    <w:rsid w:val="00815BB1"/>
    <w:rsid w:val="00820077"/>
    <w:rsid w:val="008361AB"/>
    <w:rsid w:val="008460C2"/>
    <w:rsid w:val="00852740"/>
    <w:rsid w:val="00852ABA"/>
    <w:rsid w:val="008557E4"/>
    <w:rsid w:val="00856191"/>
    <w:rsid w:val="00873D21"/>
    <w:rsid w:val="00877DE4"/>
    <w:rsid w:val="00887C1C"/>
    <w:rsid w:val="008911F6"/>
    <w:rsid w:val="00893D90"/>
    <w:rsid w:val="00894C75"/>
    <w:rsid w:val="00894D86"/>
    <w:rsid w:val="008A2672"/>
    <w:rsid w:val="008B2BA2"/>
    <w:rsid w:val="008B3B0E"/>
    <w:rsid w:val="008B3B42"/>
    <w:rsid w:val="008C248E"/>
    <w:rsid w:val="008C252E"/>
    <w:rsid w:val="008C259E"/>
    <w:rsid w:val="008F3FAE"/>
    <w:rsid w:val="009007FC"/>
    <w:rsid w:val="0091362C"/>
    <w:rsid w:val="00914A4A"/>
    <w:rsid w:val="00915B8E"/>
    <w:rsid w:val="00921875"/>
    <w:rsid w:val="00930666"/>
    <w:rsid w:val="00960B26"/>
    <w:rsid w:val="00963D6D"/>
    <w:rsid w:val="009715A9"/>
    <w:rsid w:val="00972724"/>
    <w:rsid w:val="009800BF"/>
    <w:rsid w:val="009A0ECC"/>
    <w:rsid w:val="009A0EED"/>
    <w:rsid w:val="009A7550"/>
    <w:rsid w:val="009A7CFD"/>
    <w:rsid w:val="009C0A86"/>
    <w:rsid w:val="009D3088"/>
    <w:rsid w:val="009D465C"/>
    <w:rsid w:val="009D7CCF"/>
    <w:rsid w:val="009E4B96"/>
    <w:rsid w:val="009F0C7B"/>
    <w:rsid w:val="009F2ED0"/>
    <w:rsid w:val="009F4B20"/>
    <w:rsid w:val="00A06EAC"/>
    <w:rsid w:val="00A228B0"/>
    <w:rsid w:val="00A26CD8"/>
    <w:rsid w:val="00A27AA6"/>
    <w:rsid w:val="00A307E7"/>
    <w:rsid w:val="00A34B95"/>
    <w:rsid w:val="00A411D5"/>
    <w:rsid w:val="00A5652D"/>
    <w:rsid w:val="00A5659E"/>
    <w:rsid w:val="00A5764F"/>
    <w:rsid w:val="00A57FBA"/>
    <w:rsid w:val="00A65603"/>
    <w:rsid w:val="00A663CA"/>
    <w:rsid w:val="00A67602"/>
    <w:rsid w:val="00A91A7B"/>
    <w:rsid w:val="00A95483"/>
    <w:rsid w:val="00AA49E8"/>
    <w:rsid w:val="00AA4BA2"/>
    <w:rsid w:val="00AB5693"/>
    <w:rsid w:val="00AB58EB"/>
    <w:rsid w:val="00AC0734"/>
    <w:rsid w:val="00AC6660"/>
    <w:rsid w:val="00AE75E2"/>
    <w:rsid w:val="00AF6905"/>
    <w:rsid w:val="00B020EC"/>
    <w:rsid w:val="00B04AEE"/>
    <w:rsid w:val="00B2316F"/>
    <w:rsid w:val="00B241D4"/>
    <w:rsid w:val="00B41399"/>
    <w:rsid w:val="00B41846"/>
    <w:rsid w:val="00B44326"/>
    <w:rsid w:val="00B53707"/>
    <w:rsid w:val="00B55094"/>
    <w:rsid w:val="00B570A5"/>
    <w:rsid w:val="00B70EE1"/>
    <w:rsid w:val="00B730DE"/>
    <w:rsid w:val="00B75A97"/>
    <w:rsid w:val="00B93DD1"/>
    <w:rsid w:val="00BA32FC"/>
    <w:rsid w:val="00BB6456"/>
    <w:rsid w:val="00BC0649"/>
    <w:rsid w:val="00BC0A2D"/>
    <w:rsid w:val="00BC1B73"/>
    <w:rsid w:val="00BC40C8"/>
    <w:rsid w:val="00BC6F01"/>
    <w:rsid w:val="00BD2DF5"/>
    <w:rsid w:val="00BD5F18"/>
    <w:rsid w:val="00BF1068"/>
    <w:rsid w:val="00BF3D06"/>
    <w:rsid w:val="00BF3FBE"/>
    <w:rsid w:val="00BF5BA9"/>
    <w:rsid w:val="00C1578E"/>
    <w:rsid w:val="00C26F66"/>
    <w:rsid w:val="00C27252"/>
    <w:rsid w:val="00C359C9"/>
    <w:rsid w:val="00C51AEC"/>
    <w:rsid w:val="00C606DC"/>
    <w:rsid w:val="00C73B1F"/>
    <w:rsid w:val="00C73E3E"/>
    <w:rsid w:val="00C87618"/>
    <w:rsid w:val="00C905A7"/>
    <w:rsid w:val="00C92B38"/>
    <w:rsid w:val="00C9352D"/>
    <w:rsid w:val="00C93770"/>
    <w:rsid w:val="00C96878"/>
    <w:rsid w:val="00CB33DD"/>
    <w:rsid w:val="00CC77CB"/>
    <w:rsid w:val="00CD3E97"/>
    <w:rsid w:val="00CD5175"/>
    <w:rsid w:val="00CE0D18"/>
    <w:rsid w:val="00CE3254"/>
    <w:rsid w:val="00CF1107"/>
    <w:rsid w:val="00D02BDA"/>
    <w:rsid w:val="00D1730A"/>
    <w:rsid w:val="00D37958"/>
    <w:rsid w:val="00D37A86"/>
    <w:rsid w:val="00D40187"/>
    <w:rsid w:val="00D462F0"/>
    <w:rsid w:val="00D4789C"/>
    <w:rsid w:val="00D53359"/>
    <w:rsid w:val="00D54EEC"/>
    <w:rsid w:val="00D642B4"/>
    <w:rsid w:val="00D700C6"/>
    <w:rsid w:val="00D713BE"/>
    <w:rsid w:val="00D761F5"/>
    <w:rsid w:val="00D769ED"/>
    <w:rsid w:val="00D81BF2"/>
    <w:rsid w:val="00D86C3D"/>
    <w:rsid w:val="00DB2B3D"/>
    <w:rsid w:val="00DD2A8A"/>
    <w:rsid w:val="00DD6067"/>
    <w:rsid w:val="00E0381E"/>
    <w:rsid w:val="00E04860"/>
    <w:rsid w:val="00E11DCF"/>
    <w:rsid w:val="00E17468"/>
    <w:rsid w:val="00E223CC"/>
    <w:rsid w:val="00E4154A"/>
    <w:rsid w:val="00E461A7"/>
    <w:rsid w:val="00E5209E"/>
    <w:rsid w:val="00E52969"/>
    <w:rsid w:val="00E60A5C"/>
    <w:rsid w:val="00E716A5"/>
    <w:rsid w:val="00E734B5"/>
    <w:rsid w:val="00E82944"/>
    <w:rsid w:val="00EA698E"/>
    <w:rsid w:val="00EB19CA"/>
    <w:rsid w:val="00EB2CB9"/>
    <w:rsid w:val="00ED6416"/>
    <w:rsid w:val="00ED7E2D"/>
    <w:rsid w:val="00EE3188"/>
    <w:rsid w:val="00EF2AB4"/>
    <w:rsid w:val="00EF6DDD"/>
    <w:rsid w:val="00F10604"/>
    <w:rsid w:val="00F24D4F"/>
    <w:rsid w:val="00FB2305"/>
    <w:rsid w:val="00FB3502"/>
    <w:rsid w:val="00FE1093"/>
    <w:rsid w:val="00FE24A7"/>
    <w:rsid w:val="00FE74F0"/>
    <w:rsid w:val="00FE7BBA"/>
    <w:rsid w:val="00FF26E6"/>
    <w:rsid w:val="1756A420"/>
    <w:rsid w:val="2DA9B0F0"/>
    <w:rsid w:val="77568D44"/>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1F1EF"/>
  <w15:docId w15:val="{2CBA687F-6EA3-42D7-8348-29890023D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1443"/>
  </w:style>
  <w:style w:type="paragraph" w:styleId="Ttulo1">
    <w:name w:val="heading 1"/>
    <w:basedOn w:val="Normal"/>
    <w:next w:val="Normal"/>
    <w:uiPriority w:val="9"/>
    <w:qFormat/>
    <w:pPr>
      <w:keepNext/>
      <w:keepLines/>
      <w:spacing w:before="360" w:after="80"/>
      <w:outlineLvl w:val="0"/>
    </w:pPr>
    <w:rPr>
      <w:rFonts w:ascii="Play" w:eastAsia="Play" w:hAnsi="Play" w:cs="Play"/>
      <w:color w:val="2E75B5"/>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Play" w:eastAsia="Play" w:hAnsi="Play" w:cs="Play"/>
      <w:color w:val="2E75B5"/>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2E75B5"/>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2E75B5"/>
    </w:rPr>
  </w:style>
  <w:style w:type="paragraph" w:styleId="Ttulo5">
    <w:name w:val="heading 5"/>
    <w:basedOn w:val="Normal"/>
    <w:next w:val="Normal"/>
    <w:uiPriority w:val="9"/>
    <w:semiHidden/>
    <w:unhideWhenUsed/>
    <w:qFormat/>
    <w:pPr>
      <w:keepNext/>
      <w:keepLines/>
      <w:spacing w:before="80" w:after="40"/>
      <w:outlineLvl w:val="4"/>
    </w:pPr>
    <w:rPr>
      <w:color w:val="2E75B5"/>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paragraph" w:styleId="NormalWeb">
    <w:name w:val="Normal (Web)"/>
    <w:basedOn w:val="Normal"/>
    <w:uiPriority w:val="99"/>
    <w:semiHidden/>
    <w:unhideWhenUsed/>
    <w:rsid w:val="00187A6D"/>
    <w:pPr>
      <w:spacing w:before="100" w:beforeAutospacing="1" w:after="100" w:afterAutospacing="1" w:line="240" w:lineRule="auto"/>
    </w:pPr>
    <w:rPr>
      <w:rFonts w:ascii="Times New Roman" w:eastAsia="Times New Roman" w:hAnsi="Times New Roman" w:cs="Times New Roman"/>
      <w:sz w:val="24"/>
      <w:szCs w:val="24"/>
    </w:rPr>
  </w:style>
  <w:style w:type="paragraph" w:styleId="Textodenotaderodap">
    <w:name w:val="footnote text"/>
    <w:basedOn w:val="Normal"/>
    <w:link w:val="TextodenotaderodapChar"/>
    <w:uiPriority w:val="99"/>
    <w:semiHidden/>
    <w:unhideWhenUsed/>
    <w:rsid w:val="009A7CFD"/>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9A7CFD"/>
    <w:rPr>
      <w:sz w:val="20"/>
      <w:szCs w:val="20"/>
    </w:rPr>
  </w:style>
  <w:style w:type="character" w:styleId="Refdenotaderodap">
    <w:name w:val="footnote reference"/>
    <w:basedOn w:val="Fontepargpadro"/>
    <w:uiPriority w:val="99"/>
    <w:semiHidden/>
    <w:unhideWhenUsed/>
    <w:rsid w:val="009A7CFD"/>
    <w:rPr>
      <w:vertAlign w:val="superscript"/>
    </w:rPr>
  </w:style>
  <w:style w:type="paragraph" w:styleId="PargrafodaLista">
    <w:name w:val="List Paragraph"/>
    <w:basedOn w:val="Normal"/>
    <w:uiPriority w:val="34"/>
    <w:qFormat/>
    <w:rsid w:val="009A7CFD"/>
    <w:pPr>
      <w:ind w:left="720"/>
      <w:contextualSpacing/>
    </w:pPr>
  </w:style>
  <w:style w:type="paragraph" w:styleId="Reviso">
    <w:name w:val="Revision"/>
    <w:hidden/>
    <w:uiPriority w:val="99"/>
    <w:semiHidden/>
    <w:rsid w:val="009F2ED0"/>
    <w:pPr>
      <w:spacing w:after="0" w:line="240" w:lineRule="auto"/>
    </w:pPr>
  </w:style>
  <w:style w:type="character" w:styleId="Refdecomentrio">
    <w:name w:val="annotation reference"/>
    <w:basedOn w:val="Fontepargpadro"/>
    <w:uiPriority w:val="99"/>
    <w:semiHidden/>
    <w:unhideWhenUsed/>
    <w:rsid w:val="00C96878"/>
    <w:rPr>
      <w:sz w:val="16"/>
      <w:szCs w:val="16"/>
    </w:rPr>
  </w:style>
  <w:style w:type="paragraph" w:styleId="Textodecomentrio">
    <w:name w:val="annotation text"/>
    <w:basedOn w:val="Normal"/>
    <w:link w:val="TextodecomentrioChar"/>
    <w:uiPriority w:val="99"/>
    <w:unhideWhenUsed/>
    <w:rsid w:val="00C96878"/>
    <w:pPr>
      <w:spacing w:line="240" w:lineRule="auto"/>
    </w:pPr>
    <w:rPr>
      <w:sz w:val="20"/>
      <w:szCs w:val="20"/>
    </w:rPr>
  </w:style>
  <w:style w:type="character" w:customStyle="1" w:styleId="TextodecomentrioChar">
    <w:name w:val="Texto de comentário Char"/>
    <w:basedOn w:val="Fontepargpadro"/>
    <w:link w:val="Textodecomentrio"/>
    <w:uiPriority w:val="99"/>
    <w:rsid w:val="00C96878"/>
    <w:rPr>
      <w:sz w:val="20"/>
      <w:szCs w:val="20"/>
    </w:rPr>
  </w:style>
  <w:style w:type="paragraph" w:customStyle="1" w:styleId="Default">
    <w:name w:val="Default"/>
    <w:rsid w:val="00C96878"/>
    <w:pPr>
      <w:autoSpaceDE w:val="0"/>
      <w:autoSpaceDN w:val="0"/>
      <w:adjustRightInd w:val="0"/>
      <w:spacing w:after="0" w:line="240" w:lineRule="auto"/>
    </w:pPr>
    <w:rPr>
      <w:rFonts w:ascii="Calibri" w:eastAsiaTheme="minorHAnsi" w:hAnsi="Calibri" w:cs="Calibri"/>
      <w:color w:val="000000"/>
      <w:sz w:val="24"/>
      <w:szCs w:val="24"/>
      <w:lang w:eastAsia="en-US"/>
      <w14:ligatures w14:val="standardContextual"/>
    </w:rPr>
  </w:style>
  <w:style w:type="character" w:styleId="Forte">
    <w:name w:val="Strong"/>
    <w:basedOn w:val="Fontepargpadro"/>
    <w:uiPriority w:val="22"/>
    <w:qFormat/>
    <w:rsid w:val="0015100F"/>
    <w:rPr>
      <w:b/>
      <w:bCs/>
    </w:rPr>
  </w:style>
  <w:style w:type="paragraph" w:customStyle="1" w:styleId="textojustificado">
    <w:name w:val="texto_justificado"/>
    <w:basedOn w:val="Normal"/>
    <w:rsid w:val="00BA32FC"/>
    <w:pPr>
      <w:spacing w:before="100" w:beforeAutospacing="1" w:after="100" w:afterAutospacing="1" w:line="240" w:lineRule="auto"/>
    </w:pPr>
    <w:rPr>
      <w:rFonts w:ascii="Times New Roman" w:eastAsia="Times New Roman" w:hAnsi="Times New Roman" w:cs="Times New Roman"/>
      <w:sz w:val="24"/>
      <w:szCs w:val="24"/>
    </w:rPr>
  </w:style>
  <w:style w:type="table" w:styleId="Tabelacomgrade">
    <w:name w:val="Table Grid"/>
    <w:basedOn w:val="Tabelanormal"/>
    <w:uiPriority w:val="39"/>
    <w:rsid w:val="00026B55"/>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alo">
    <w:name w:val="Balloon Text"/>
    <w:basedOn w:val="Normal"/>
    <w:link w:val="TextodebaloChar"/>
    <w:uiPriority w:val="99"/>
    <w:semiHidden/>
    <w:unhideWhenUsed/>
    <w:rsid w:val="00D1730A"/>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D1730A"/>
    <w:rPr>
      <w:rFonts w:ascii="Segoe UI" w:hAnsi="Segoe UI" w:cs="Segoe UI"/>
      <w:sz w:val="18"/>
      <w:szCs w:val="18"/>
    </w:rPr>
  </w:style>
  <w:style w:type="character" w:styleId="nfaseSutil">
    <w:name w:val="Subtle Emphasis"/>
    <w:basedOn w:val="Fontepargpadro"/>
    <w:uiPriority w:val="19"/>
    <w:qFormat/>
    <w:rsid w:val="00EB19CA"/>
    <w:rPr>
      <w:i/>
      <w:iCs/>
      <w:color w:val="404040" w:themeColor="text1" w:themeTint="BF"/>
    </w:rPr>
  </w:style>
  <w:style w:type="paragraph" w:styleId="Assuntodocomentrio">
    <w:name w:val="annotation subject"/>
    <w:basedOn w:val="Textodecomentrio"/>
    <w:next w:val="Textodecomentrio"/>
    <w:link w:val="AssuntodocomentrioChar"/>
    <w:uiPriority w:val="99"/>
    <w:semiHidden/>
    <w:unhideWhenUsed/>
    <w:rsid w:val="00EB19CA"/>
    <w:rPr>
      <w:b/>
      <w:bCs/>
    </w:rPr>
  </w:style>
  <w:style w:type="character" w:customStyle="1" w:styleId="AssuntodocomentrioChar">
    <w:name w:val="Assunto do comentário Char"/>
    <w:basedOn w:val="TextodecomentrioChar"/>
    <w:link w:val="Assuntodocomentrio"/>
    <w:uiPriority w:val="99"/>
    <w:semiHidden/>
    <w:rsid w:val="00EB19C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799194">
      <w:bodyDiv w:val="1"/>
      <w:marLeft w:val="0"/>
      <w:marRight w:val="0"/>
      <w:marTop w:val="0"/>
      <w:marBottom w:val="0"/>
      <w:divBdr>
        <w:top w:val="none" w:sz="0" w:space="0" w:color="auto"/>
        <w:left w:val="none" w:sz="0" w:space="0" w:color="auto"/>
        <w:bottom w:val="none" w:sz="0" w:space="0" w:color="auto"/>
        <w:right w:val="none" w:sz="0" w:space="0" w:color="auto"/>
      </w:divBdr>
    </w:div>
    <w:div w:id="1416778775">
      <w:bodyDiv w:val="1"/>
      <w:marLeft w:val="0"/>
      <w:marRight w:val="0"/>
      <w:marTop w:val="0"/>
      <w:marBottom w:val="0"/>
      <w:divBdr>
        <w:top w:val="none" w:sz="0" w:space="0" w:color="auto"/>
        <w:left w:val="none" w:sz="0" w:space="0" w:color="auto"/>
        <w:bottom w:val="none" w:sz="0" w:space="0" w:color="auto"/>
        <w:right w:val="none" w:sz="0" w:space="0" w:color="auto"/>
      </w:divBdr>
    </w:div>
    <w:div w:id="1807160622">
      <w:bodyDiv w:val="1"/>
      <w:marLeft w:val="0"/>
      <w:marRight w:val="0"/>
      <w:marTop w:val="0"/>
      <w:marBottom w:val="0"/>
      <w:divBdr>
        <w:top w:val="none" w:sz="0" w:space="0" w:color="auto"/>
        <w:left w:val="none" w:sz="0" w:space="0" w:color="auto"/>
        <w:bottom w:val="none" w:sz="0" w:space="0" w:color="auto"/>
        <w:right w:val="none" w:sz="0" w:space="0" w:color="auto"/>
      </w:divBdr>
    </w:div>
    <w:div w:id="18751947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pactoglobal.org.br/noticia/lei-anticorrupcao-exige-das-empresas-estrutura-de-complianc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250B53-BA93-41B5-B071-D0CDD01AF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89</Pages>
  <Words>28746</Words>
  <Characters>155234</Characters>
  <Application>Microsoft Office Word</Application>
  <DocSecurity>0</DocSecurity>
  <Lines>1293</Lines>
  <Paragraphs>367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Luciana Nepomuceno - PREVICDF</dc:creator>
  <cp:lastModifiedBy>Claudemiro Correia Quintal Junior - PREVICDF</cp:lastModifiedBy>
  <cp:revision>2</cp:revision>
  <cp:lastPrinted>2025-07-30T18:39:00Z</cp:lastPrinted>
  <dcterms:created xsi:type="dcterms:W3CDTF">2025-09-16T22:34:00Z</dcterms:created>
  <dcterms:modified xsi:type="dcterms:W3CDTF">2025-09-16T22:34:00Z</dcterms:modified>
</cp:coreProperties>
</file>