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62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4"/>
        <w:gridCol w:w="4074"/>
        <w:gridCol w:w="4074"/>
        <w:gridCol w:w="4075"/>
      </w:tblGrid>
      <w:tr w:rsidR="00ED6416" w:rsidRPr="00C93770" w14:paraId="5AE9D02A" w14:textId="13102CFF" w:rsidTr="1756A420">
        <w:tc>
          <w:tcPr>
            <w:tcW w:w="4074" w:type="dxa"/>
            <w:shd w:val="clear" w:color="auto" w:fill="D9D9D9" w:themeFill="background1" w:themeFillShade="D9"/>
            <w:vAlign w:val="center"/>
          </w:tcPr>
          <w:p w14:paraId="3AAF5D41" w14:textId="77777777" w:rsidR="00ED6416" w:rsidRPr="00D462F0" w:rsidRDefault="00ED6416" w:rsidP="00D462F0">
            <w:pPr>
              <w:jc w:val="center"/>
              <w:rPr>
                <w:rFonts w:asciiTheme="majorHAnsi" w:hAnsiTheme="majorHAnsi" w:cstheme="majorHAnsi"/>
                <w:b/>
                <w:bCs/>
                <w:sz w:val="24"/>
                <w:szCs w:val="24"/>
              </w:rPr>
            </w:pPr>
            <w:r w:rsidRPr="00D462F0">
              <w:rPr>
                <w:rFonts w:asciiTheme="majorHAnsi" w:hAnsiTheme="majorHAnsi" w:cstheme="majorHAnsi"/>
                <w:b/>
                <w:bCs/>
                <w:sz w:val="24"/>
                <w:szCs w:val="24"/>
              </w:rPr>
              <w:t>DE</w:t>
            </w:r>
          </w:p>
        </w:tc>
        <w:tc>
          <w:tcPr>
            <w:tcW w:w="4074" w:type="dxa"/>
            <w:shd w:val="clear" w:color="auto" w:fill="D9D9D9" w:themeFill="background1" w:themeFillShade="D9"/>
            <w:vAlign w:val="center"/>
          </w:tcPr>
          <w:p w14:paraId="74996326" w14:textId="77777777" w:rsidR="00ED6416" w:rsidRPr="00D462F0" w:rsidRDefault="00ED6416" w:rsidP="00D462F0">
            <w:pPr>
              <w:jc w:val="center"/>
              <w:rPr>
                <w:rFonts w:asciiTheme="majorHAnsi" w:hAnsiTheme="majorHAnsi" w:cstheme="majorHAnsi"/>
                <w:b/>
                <w:bCs/>
                <w:sz w:val="24"/>
                <w:szCs w:val="24"/>
              </w:rPr>
            </w:pPr>
            <w:r w:rsidRPr="00D462F0">
              <w:rPr>
                <w:rFonts w:asciiTheme="majorHAnsi" w:hAnsiTheme="majorHAnsi" w:cstheme="majorHAnsi"/>
                <w:b/>
                <w:bCs/>
                <w:sz w:val="24"/>
                <w:szCs w:val="24"/>
              </w:rPr>
              <w:t>PARA</w:t>
            </w:r>
          </w:p>
        </w:tc>
        <w:tc>
          <w:tcPr>
            <w:tcW w:w="4074" w:type="dxa"/>
            <w:shd w:val="clear" w:color="auto" w:fill="D9D9D9" w:themeFill="background1" w:themeFillShade="D9"/>
            <w:vAlign w:val="center"/>
          </w:tcPr>
          <w:p w14:paraId="3B7D8F28" w14:textId="1E1A92B2" w:rsidR="00ED6416" w:rsidRPr="00D462F0" w:rsidRDefault="00ED6416" w:rsidP="00D462F0">
            <w:pPr>
              <w:jc w:val="center"/>
              <w:rPr>
                <w:rFonts w:asciiTheme="majorHAnsi" w:hAnsiTheme="majorHAnsi" w:cstheme="majorHAnsi"/>
                <w:b/>
                <w:bCs/>
                <w:sz w:val="24"/>
                <w:szCs w:val="24"/>
              </w:rPr>
            </w:pPr>
            <w:r w:rsidRPr="00D462F0">
              <w:rPr>
                <w:rFonts w:asciiTheme="majorHAnsi" w:hAnsiTheme="majorHAnsi" w:cstheme="majorHAnsi"/>
                <w:b/>
                <w:bCs/>
                <w:sz w:val="24"/>
                <w:szCs w:val="24"/>
              </w:rPr>
              <w:t>JUSTIFICATIVA DA ALTERAÇÃO</w:t>
            </w:r>
          </w:p>
        </w:tc>
        <w:tc>
          <w:tcPr>
            <w:tcW w:w="4075" w:type="dxa"/>
            <w:shd w:val="clear" w:color="auto" w:fill="D9D9D9" w:themeFill="background1" w:themeFillShade="D9"/>
            <w:vAlign w:val="center"/>
          </w:tcPr>
          <w:p w14:paraId="6E9AF578" w14:textId="6F730F31" w:rsidR="00ED6416" w:rsidRPr="00D462F0" w:rsidRDefault="00ED6416" w:rsidP="00D462F0">
            <w:pPr>
              <w:jc w:val="center"/>
              <w:rPr>
                <w:rFonts w:asciiTheme="majorHAnsi" w:hAnsiTheme="majorHAnsi" w:cstheme="majorHAnsi"/>
                <w:b/>
                <w:bCs/>
                <w:sz w:val="24"/>
                <w:szCs w:val="24"/>
              </w:rPr>
            </w:pPr>
            <w:r w:rsidRPr="00D462F0">
              <w:rPr>
                <w:rFonts w:asciiTheme="majorHAnsi" w:hAnsiTheme="majorHAnsi" w:cstheme="majorHAnsi"/>
                <w:b/>
                <w:bCs/>
                <w:sz w:val="24"/>
                <w:szCs w:val="24"/>
              </w:rPr>
              <w:t>FUNDAMENTAÇÃO DA DISPENSA DE AIR</w:t>
            </w:r>
          </w:p>
        </w:tc>
      </w:tr>
      <w:tr w:rsidR="00ED6416" w:rsidRPr="00C93770" w14:paraId="42C75CAA" w14:textId="49C7FDB2" w:rsidTr="1756A420">
        <w:tc>
          <w:tcPr>
            <w:tcW w:w="4074" w:type="dxa"/>
          </w:tcPr>
          <w:p w14:paraId="6815B8E8" w14:textId="2CEAF094" w:rsidR="00ED6416" w:rsidRPr="00D462F0" w:rsidRDefault="00ED6416"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3º </w:t>
            </w:r>
            <w:r w:rsidR="0091362C" w:rsidRPr="00D462F0">
              <w:rPr>
                <w:rFonts w:asciiTheme="majorHAnsi" w:hAnsiTheme="majorHAnsi" w:cstheme="majorHAnsi"/>
                <w:sz w:val="24"/>
                <w:szCs w:val="24"/>
              </w:rPr>
              <w:t xml:space="preserve"> </w:t>
            </w:r>
            <w:r w:rsidRPr="00D462F0">
              <w:rPr>
                <w:rFonts w:asciiTheme="majorHAnsi" w:hAnsiTheme="majorHAnsi" w:cstheme="majorHAnsi"/>
                <w:sz w:val="24"/>
                <w:szCs w:val="24"/>
              </w:rPr>
              <w:t>Considerando o disposto no art. 1º da Resolução CGPC nº 13, de 1º de outubro de 2004, as EFPC serão enquadradas, em decorrência da soma dos fatores de porte e de complexidade, em um dos seguintes segmentos:</w:t>
            </w:r>
          </w:p>
        </w:tc>
        <w:tc>
          <w:tcPr>
            <w:tcW w:w="4074" w:type="dxa"/>
          </w:tcPr>
          <w:p w14:paraId="24639298" w14:textId="5690211D" w:rsidR="00ED6416" w:rsidRPr="00D462F0" w:rsidRDefault="00ED641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3º </w:t>
            </w:r>
            <w:r w:rsidR="00D1730A"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Considerando o disposto no art. 1º da Resolução CGPC nº 13, de 1º de outubro de 2004, as EFPC,</w:t>
            </w:r>
            <w:r w:rsidRPr="00D462F0">
              <w:rPr>
                <w:rFonts w:asciiTheme="majorHAnsi" w:hAnsiTheme="majorHAnsi" w:cstheme="majorHAnsi"/>
                <w:bCs/>
                <w:color w:val="0000FF"/>
                <w:sz w:val="24"/>
                <w:szCs w:val="24"/>
              </w:rPr>
              <w:t xml:space="preserve"> exceto aquelas que se encontram sob regimes especiais, </w:t>
            </w:r>
            <w:r w:rsidRPr="00D462F0">
              <w:rPr>
                <w:rFonts w:asciiTheme="majorHAnsi" w:hAnsiTheme="majorHAnsi" w:cstheme="majorHAnsi"/>
                <w:bCs/>
                <w:sz w:val="24"/>
                <w:szCs w:val="24"/>
              </w:rPr>
              <w:t>serão enquadradas, em decorrência da soma dos fatores de porte e de complexidade, em um dos seguintes segmentos:</w:t>
            </w:r>
          </w:p>
        </w:tc>
        <w:tc>
          <w:tcPr>
            <w:tcW w:w="4074" w:type="dxa"/>
          </w:tcPr>
          <w:p w14:paraId="256FE806" w14:textId="3F1C90A9" w:rsidR="00ED6416" w:rsidRPr="00D462F0" w:rsidRDefault="77568D44" w:rsidP="00D462F0">
            <w:pPr>
              <w:jc w:val="both"/>
              <w:rPr>
                <w:rFonts w:asciiTheme="majorHAnsi" w:hAnsiTheme="majorHAnsi" w:cstheme="majorHAnsi"/>
                <w:sz w:val="24"/>
                <w:szCs w:val="24"/>
              </w:rPr>
            </w:pPr>
            <w:r w:rsidRPr="00D462F0">
              <w:rPr>
                <w:rFonts w:asciiTheme="majorHAnsi" w:hAnsiTheme="majorHAnsi" w:cstheme="majorHAnsi"/>
                <w:sz w:val="24"/>
                <w:szCs w:val="24"/>
              </w:rPr>
              <w:t>Alteração</w:t>
            </w:r>
            <w:r w:rsidR="00ED6416" w:rsidRPr="00D462F0">
              <w:rPr>
                <w:rFonts w:asciiTheme="majorHAnsi" w:hAnsiTheme="majorHAnsi" w:cstheme="majorHAnsi"/>
                <w:sz w:val="24"/>
                <w:szCs w:val="24"/>
              </w:rPr>
              <w:t xml:space="preserve"> para definir que constarão da lista de segmentação apenas as EFPC com situação normal na base cadastral da Previc no momento de elaboração do estudo para atualizar a segmentação.</w:t>
            </w:r>
          </w:p>
          <w:p w14:paraId="1AFBA3CB" w14:textId="77777777" w:rsidR="00ED6416" w:rsidRPr="00D462F0" w:rsidRDefault="00ED6416" w:rsidP="00D462F0">
            <w:pPr>
              <w:jc w:val="both"/>
              <w:rPr>
                <w:rFonts w:asciiTheme="majorHAnsi" w:hAnsiTheme="majorHAnsi" w:cstheme="majorHAnsi"/>
                <w:sz w:val="24"/>
                <w:szCs w:val="24"/>
              </w:rPr>
            </w:pPr>
          </w:p>
        </w:tc>
        <w:tc>
          <w:tcPr>
            <w:tcW w:w="4075" w:type="dxa"/>
          </w:tcPr>
          <w:p w14:paraId="192FEADD" w14:textId="77777777" w:rsidR="00ED6416" w:rsidRPr="00D462F0" w:rsidRDefault="0046012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185C6E4F" w14:textId="5E51DB7A" w:rsidR="00460126" w:rsidRPr="00D462F0" w:rsidRDefault="0046012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alteração de impacto operacional interno, à medida que dá diretrizes para a elaboração da lista de segmentação. Excluir as EFPC que se encontram em regime especial assegura transparência e fidedignidade na elaboração da referida base cadastral. Nesse sentido, por se tratar de artigo de natureza administrativa, com efeitos internos à Previc, o caso se enquadra em não aplicabilidade para a realização de AIR.</w:t>
            </w:r>
          </w:p>
        </w:tc>
      </w:tr>
      <w:tr w:rsidR="00ED6416" w:rsidRPr="00C93770" w14:paraId="3268FC7E" w14:textId="2D007B9B" w:rsidTr="1756A420">
        <w:tc>
          <w:tcPr>
            <w:tcW w:w="4074" w:type="dxa"/>
          </w:tcPr>
          <w:p w14:paraId="644C4914" w14:textId="008EC19E" w:rsidR="00ED6416" w:rsidRPr="00D462F0" w:rsidRDefault="00ED6416"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4º </w:t>
            </w:r>
            <w:r w:rsidR="0091362C" w:rsidRPr="00D462F0">
              <w:rPr>
                <w:rFonts w:asciiTheme="majorHAnsi" w:hAnsiTheme="majorHAnsi" w:cstheme="majorHAnsi"/>
                <w:sz w:val="24"/>
                <w:szCs w:val="24"/>
              </w:rPr>
              <w:t xml:space="preserve"> </w:t>
            </w:r>
            <w:r w:rsidRPr="00D462F0">
              <w:rPr>
                <w:rFonts w:asciiTheme="majorHAnsi" w:hAnsiTheme="majorHAnsi" w:cstheme="majorHAnsi"/>
                <w:sz w:val="24"/>
                <w:szCs w:val="24"/>
              </w:rPr>
              <w:t>A Diretoria de Normas da Previc publicará, até o dia 30 de junho de cada exercício, a fórmula de cálculo utilizada para definição dos fatores de porte e de complexidade, assim como a relação de entidades enquadradas em cada segmento para o exercício social seguinte.</w:t>
            </w:r>
          </w:p>
        </w:tc>
        <w:tc>
          <w:tcPr>
            <w:tcW w:w="4074" w:type="dxa"/>
          </w:tcPr>
          <w:p w14:paraId="5D9C6DB0" w14:textId="72534507" w:rsidR="00ED6416" w:rsidRPr="00D462F0" w:rsidRDefault="00ED641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4º </w:t>
            </w:r>
            <w:r w:rsidR="00D1730A"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A Diretoria de Normas da Previc publicará, até o dia</w:t>
            </w:r>
            <w:r w:rsidRPr="00D462F0">
              <w:rPr>
                <w:rFonts w:asciiTheme="majorHAnsi" w:hAnsiTheme="majorHAnsi" w:cstheme="majorHAnsi"/>
                <w:bCs/>
                <w:color w:val="0000FF"/>
                <w:sz w:val="24"/>
                <w:szCs w:val="24"/>
              </w:rPr>
              <w:t xml:space="preserve"> 31 de agosto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de cada exercício, a fórmula de cálculo utilizada para definição dos fatores de porte e de complexidade, assim como a relação de entidades enquadradas em cada segmento para o exercício social seguinte.</w:t>
            </w:r>
          </w:p>
        </w:tc>
        <w:tc>
          <w:tcPr>
            <w:tcW w:w="4074" w:type="dxa"/>
          </w:tcPr>
          <w:p w14:paraId="1D6F6855" w14:textId="5A441FE8" w:rsidR="00ED6416" w:rsidRPr="00D462F0" w:rsidRDefault="00ED6416" w:rsidP="00D462F0">
            <w:pPr>
              <w:jc w:val="both"/>
              <w:rPr>
                <w:rFonts w:asciiTheme="majorHAnsi" w:hAnsiTheme="majorHAnsi" w:cstheme="majorHAnsi"/>
                <w:sz w:val="24"/>
                <w:szCs w:val="24"/>
              </w:rPr>
            </w:pPr>
            <w:r w:rsidRPr="00D462F0">
              <w:rPr>
                <w:rFonts w:asciiTheme="majorHAnsi" w:hAnsiTheme="majorHAnsi" w:cstheme="majorHAnsi"/>
                <w:sz w:val="24"/>
                <w:szCs w:val="24"/>
              </w:rPr>
              <w:t>O prazo para as EFPC enviarem os dados é 31 de março de cada ano. Torna-se necessário ampliar o prazo por mais 2 meses para que a área técnica possua prazo adequado para realizar o estudo dos critérios de segmentação e a necessária verificação das bases de dados e casos específicos.</w:t>
            </w:r>
          </w:p>
          <w:p w14:paraId="5602544D" w14:textId="77777777" w:rsidR="00ED6416" w:rsidRPr="00D462F0" w:rsidRDefault="00ED6416" w:rsidP="00D462F0">
            <w:pPr>
              <w:jc w:val="both"/>
              <w:rPr>
                <w:rFonts w:asciiTheme="majorHAnsi" w:hAnsiTheme="majorHAnsi" w:cstheme="majorHAnsi"/>
                <w:sz w:val="24"/>
                <w:szCs w:val="24"/>
              </w:rPr>
            </w:pPr>
            <w:r w:rsidRPr="00D462F0">
              <w:rPr>
                <w:rFonts w:asciiTheme="majorHAnsi" w:hAnsiTheme="majorHAnsi" w:cstheme="majorHAnsi"/>
                <w:sz w:val="24"/>
                <w:szCs w:val="24"/>
              </w:rPr>
              <w:t>Não haverá prejuízo para as EFPC, pois ainda terão 4 meses até o início da vigência da nova segmentação para realizar eventuais adaptações.</w:t>
            </w:r>
          </w:p>
        </w:tc>
        <w:tc>
          <w:tcPr>
            <w:tcW w:w="4075" w:type="dxa"/>
          </w:tcPr>
          <w:p w14:paraId="6A6132CB" w14:textId="77777777" w:rsidR="00ED6416" w:rsidRPr="00D462F0" w:rsidRDefault="0046012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2DE68BB0" w14:textId="77777777" w:rsidR="00460126" w:rsidRPr="00D462F0" w:rsidRDefault="0046012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Trata-se de alteração de impacto operacional interno que tem objetivo de adequar o prazo de elaboração do estudo de segmentação ao prazo praticado para envio das informações por parte das entidades. </w:t>
            </w:r>
          </w:p>
          <w:p w14:paraId="0692B7EA" w14:textId="0089A5AD" w:rsidR="00460126" w:rsidRPr="00D462F0" w:rsidRDefault="0046012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se tratar de artigo de natureza administrativa, com efeitos interno à Previc, o caso se enquadra em não aplicabilidade para a realização de AIR.</w:t>
            </w:r>
          </w:p>
        </w:tc>
      </w:tr>
      <w:tr w:rsidR="00460126" w:rsidRPr="00C93770" w14:paraId="1974AB97" w14:textId="45A62DE0" w:rsidTr="1756A420">
        <w:tc>
          <w:tcPr>
            <w:tcW w:w="4074" w:type="dxa"/>
          </w:tcPr>
          <w:p w14:paraId="22F5FBCA" w14:textId="77777777" w:rsidR="00460126" w:rsidRPr="00D462F0" w:rsidRDefault="00460126"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CAPÍTULO II</w:t>
            </w:r>
          </w:p>
          <w:p w14:paraId="2B0CBE87" w14:textId="51C93771" w:rsidR="00460126" w:rsidRPr="00D462F0" w:rsidRDefault="00460126"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DAS REGRAS RELATIVAS À GOVERNANÇA</w:t>
            </w:r>
          </w:p>
          <w:p w14:paraId="260ABAA1" w14:textId="15BC01AA" w:rsidR="00460126" w:rsidRPr="00D462F0" w:rsidRDefault="00460126" w:rsidP="0028717C">
            <w:pPr>
              <w:jc w:val="center"/>
              <w:rPr>
                <w:rFonts w:asciiTheme="majorHAnsi" w:hAnsiTheme="majorHAnsi" w:cstheme="majorHAnsi"/>
                <w:bCs/>
                <w:color w:val="000000"/>
                <w:sz w:val="24"/>
                <w:szCs w:val="24"/>
              </w:rPr>
            </w:pPr>
          </w:p>
        </w:tc>
        <w:tc>
          <w:tcPr>
            <w:tcW w:w="4074" w:type="dxa"/>
          </w:tcPr>
          <w:p w14:paraId="56FC24BC" w14:textId="77777777" w:rsidR="00460126" w:rsidRPr="00D462F0" w:rsidRDefault="00460126"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CAPÍTULO II</w:t>
            </w:r>
          </w:p>
          <w:p w14:paraId="77AAAC85" w14:textId="221A11BF" w:rsidR="00460126" w:rsidRPr="00D462F0" w:rsidRDefault="00460126"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DAS REGRAS RELATIVAS À GOVERNANÇA</w:t>
            </w:r>
          </w:p>
          <w:p w14:paraId="7996BF44" w14:textId="618726CA" w:rsidR="00460126" w:rsidRPr="00D462F0" w:rsidRDefault="00460126" w:rsidP="0028717C">
            <w:pPr>
              <w:jc w:val="center"/>
              <w:rPr>
                <w:rFonts w:asciiTheme="majorHAnsi" w:hAnsiTheme="majorHAnsi" w:cstheme="majorHAnsi"/>
                <w:bCs/>
                <w:color w:val="000000"/>
                <w:sz w:val="24"/>
                <w:szCs w:val="24"/>
              </w:rPr>
            </w:pPr>
          </w:p>
        </w:tc>
        <w:tc>
          <w:tcPr>
            <w:tcW w:w="4074" w:type="dxa"/>
          </w:tcPr>
          <w:p w14:paraId="7005615A" w14:textId="3028C9E0" w:rsidR="00460126" w:rsidRPr="00D462F0" w:rsidRDefault="00460126" w:rsidP="00D462F0">
            <w:pPr>
              <w:jc w:val="both"/>
              <w:rPr>
                <w:rFonts w:asciiTheme="majorHAnsi" w:hAnsiTheme="majorHAnsi" w:cstheme="majorHAnsi"/>
                <w:sz w:val="24"/>
                <w:szCs w:val="24"/>
              </w:rPr>
            </w:pPr>
          </w:p>
        </w:tc>
        <w:tc>
          <w:tcPr>
            <w:tcW w:w="4075" w:type="dxa"/>
          </w:tcPr>
          <w:p w14:paraId="133AC81D" w14:textId="1D22FFB7" w:rsidR="00460126" w:rsidRPr="00D462F0" w:rsidRDefault="00460126" w:rsidP="00D462F0">
            <w:pPr>
              <w:jc w:val="both"/>
              <w:rPr>
                <w:rFonts w:asciiTheme="majorHAnsi" w:hAnsiTheme="majorHAnsi" w:cstheme="majorHAnsi"/>
                <w:bCs/>
                <w:sz w:val="24"/>
                <w:szCs w:val="24"/>
              </w:rPr>
            </w:pPr>
          </w:p>
        </w:tc>
      </w:tr>
      <w:tr w:rsidR="006258F5" w:rsidRPr="00C93770" w14:paraId="03B4D332" w14:textId="77777777" w:rsidTr="1756A420">
        <w:tc>
          <w:tcPr>
            <w:tcW w:w="4074" w:type="dxa"/>
          </w:tcPr>
          <w:p w14:paraId="20A19364" w14:textId="535930F1" w:rsidR="006258F5" w:rsidRPr="00D462F0" w:rsidRDefault="006258F5"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71A0366C" w14:textId="771897F9" w:rsidR="006258F5" w:rsidRPr="00D462F0" w:rsidRDefault="006258F5"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A54B7EF" w14:textId="77777777" w:rsidR="006258F5" w:rsidRPr="00D462F0" w:rsidRDefault="006258F5" w:rsidP="00D462F0">
            <w:pPr>
              <w:jc w:val="both"/>
              <w:rPr>
                <w:rFonts w:asciiTheme="majorHAnsi" w:hAnsiTheme="majorHAnsi" w:cstheme="majorHAnsi"/>
                <w:sz w:val="24"/>
                <w:szCs w:val="24"/>
              </w:rPr>
            </w:pPr>
          </w:p>
        </w:tc>
        <w:tc>
          <w:tcPr>
            <w:tcW w:w="4075" w:type="dxa"/>
          </w:tcPr>
          <w:p w14:paraId="0F21187B" w14:textId="77777777" w:rsidR="006258F5" w:rsidRPr="00D462F0" w:rsidRDefault="006258F5" w:rsidP="00D462F0">
            <w:pPr>
              <w:jc w:val="both"/>
              <w:rPr>
                <w:rFonts w:asciiTheme="majorHAnsi" w:hAnsiTheme="majorHAnsi" w:cstheme="majorHAnsi"/>
                <w:bCs/>
                <w:sz w:val="24"/>
                <w:szCs w:val="24"/>
              </w:rPr>
            </w:pPr>
          </w:p>
        </w:tc>
      </w:tr>
      <w:tr w:rsidR="006258F5" w:rsidRPr="00C93770" w14:paraId="150478C7" w14:textId="77777777" w:rsidTr="1756A420">
        <w:tc>
          <w:tcPr>
            <w:tcW w:w="4074" w:type="dxa"/>
          </w:tcPr>
          <w:p w14:paraId="4919351D" w14:textId="4A7E4B18" w:rsidR="006258F5" w:rsidRPr="0028717C" w:rsidRDefault="006258F5" w:rsidP="0028717C">
            <w:pPr>
              <w:jc w:val="center"/>
              <w:rPr>
                <w:rFonts w:asciiTheme="majorHAnsi" w:hAnsiTheme="majorHAnsi" w:cstheme="majorHAnsi"/>
                <w:b/>
                <w:color w:val="000000"/>
                <w:sz w:val="24"/>
                <w:szCs w:val="24"/>
              </w:rPr>
            </w:pPr>
            <w:r w:rsidRPr="0028717C">
              <w:rPr>
                <w:rFonts w:asciiTheme="majorHAnsi" w:hAnsiTheme="majorHAnsi" w:cstheme="majorHAnsi"/>
                <w:b/>
                <w:color w:val="000000"/>
                <w:sz w:val="24"/>
                <w:szCs w:val="24"/>
              </w:rPr>
              <w:t>S</w:t>
            </w:r>
            <w:r w:rsidR="00014F0A" w:rsidRPr="0028717C">
              <w:rPr>
                <w:rFonts w:asciiTheme="majorHAnsi" w:hAnsiTheme="majorHAnsi" w:cstheme="majorHAnsi"/>
                <w:b/>
                <w:color w:val="000000"/>
                <w:sz w:val="24"/>
                <w:szCs w:val="24"/>
              </w:rPr>
              <w:t xml:space="preserve">eção </w:t>
            </w:r>
            <w:r w:rsidRPr="0028717C">
              <w:rPr>
                <w:rFonts w:asciiTheme="majorHAnsi" w:hAnsiTheme="majorHAnsi" w:cstheme="majorHAnsi"/>
                <w:b/>
                <w:color w:val="000000"/>
                <w:sz w:val="24"/>
                <w:szCs w:val="24"/>
              </w:rPr>
              <w:t>II</w:t>
            </w:r>
          </w:p>
          <w:p w14:paraId="500F4955" w14:textId="3B89E4A8" w:rsidR="006258F5" w:rsidRPr="0028717C" w:rsidRDefault="00014F0A" w:rsidP="0028717C">
            <w:pPr>
              <w:jc w:val="center"/>
              <w:rPr>
                <w:rFonts w:asciiTheme="majorHAnsi" w:hAnsiTheme="majorHAnsi" w:cstheme="majorHAnsi"/>
                <w:b/>
                <w:color w:val="000000"/>
                <w:sz w:val="24"/>
                <w:szCs w:val="24"/>
              </w:rPr>
            </w:pPr>
            <w:r w:rsidRPr="0028717C">
              <w:rPr>
                <w:rFonts w:asciiTheme="majorHAnsi" w:hAnsiTheme="majorHAnsi" w:cstheme="majorHAnsi"/>
                <w:b/>
                <w:color w:val="000000"/>
                <w:sz w:val="24"/>
                <w:szCs w:val="24"/>
              </w:rPr>
              <w:t>Funcionamento dos órgãos Estatutários</w:t>
            </w:r>
          </w:p>
        </w:tc>
        <w:tc>
          <w:tcPr>
            <w:tcW w:w="4074" w:type="dxa"/>
          </w:tcPr>
          <w:p w14:paraId="21B00698" w14:textId="00BC1179" w:rsidR="006258F5" w:rsidRPr="0028717C" w:rsidRDefault="006258F5" w:rsidP="0028717C">
            <w:pPr>
              <w:jc w:val="center"/>
              <w:rPr>
                <w:rFonts w:asciiTheme="majorHAnsi" w:hAnsiTheme="majorHAnsi" w:cstheme="majorHAnsi"/>
                <w:b/>
                <w:color w:val="000000"/>
                <w:sz w:val="24"/>
                <w:szCs w:val="24"/>
              </w:rPr>
            </w:pPr>
            <w:r w:rsidRPr="0028717C">
              <w:rPr>
                <w:rFonts w:asciiTheme="majorHAnsi" w:hAnsiTheme="majorHAnsi" w:cstheme="majorHAnsi"/>
                <w:b/>
                <w:color w:val="000000"/>
                <w:sz w:val="24"/>
                <w:szCs w:val="24"/>
              </w:rPr>
              <w:t>S</w:t>
            </w:r>
            <w:r w:rsidR="00014F0A" w:rsidRPr="0028717C">
              <w:rPr>
                <w:rFonts w:asciiTheme="majorHAnsi" w:hAnsiTheme="majorHAnsi" w:cstheme="majorHAnsi"/>
                <w:b/>
                <w:color w:val="000000"/>
                <w:sz w:val="24"/>
                <w:szCs w:val="24"/>
              </w:rPr>
              <w:t>eção</w:t>
            </w:r>
            <w:r w:rsidRPr="0028717C">
              <w:rPr>
                <w:rFonts w:asciiTheme="majorHAnsi" w:hAnsiTheme="majorHAnsi" w:cstheme="majorHAnsi"/>
                <w:b/>
                <w:color w:val="000000"/>
                <w:sz w:val="24"/>
                <w:szCs w:val="24"/>
              </w:rPr>
              <w:t xml:space="preserve"> II</w:t>
            </w:r>
          </w:p>
          <w:p w14:paraId="757D345E" w14:textId="436B5294" w:rsidR="006258F5" w:rsidRPr="0028717C" w:rsidRDefault="00014F0A" w:rsidP="0028717C">
            <w:pPr>
              <w:jc w:val="center"/>
              <w:rPr>
                <w:rFonts w:asciiTheme="majorHAnsi" w:hAnsiTheme="majorHAnsi" w:cstheme="majorHAnsi"/>
                <w:b/>
                <w:color w:val="000000"/>
                <w:sz w:val="24"/>
                <w:szCs w:val="24"/>
              </w:rPr>
            </w:pPr>
            <w:r w:rsidRPr="0028717C">
              <w:rPr>
                <w:rFonts w:asciiTheme="majorHAnsi" w:hAnsiTheme="majorHAnsi" w:cstheme="majorHAnsi"/>
                <w:b/>
                <w:color w:val="000000"/>
                <w:sz w:val="24"/>
                <w:szCs w:val="24"/>
              </w:rPr>
              <w:t>Funcionamento dos órgãos Estatutários</w:t>
            </w:r>
          </w:p>
        </w:tc>
        <w:tc>
          <w:tcPr>
            <w:tcW w:w="4074" w:type="dxa"/>
          </w:tcPr>
          <w:p w14:paraId="5F4EE8F7" w14:textId="77777777" w:rsidR="006258F5" w:rsidRPr="00D462F0" w:rsidRDefault="006258F5" w:rsidP="00D462F0">
            <w:pPr>
              <w:jc w:val="both"/>
              <w:rPr>
                <w:rFonts w:asciiTheme="majorHAnsi" w:hAnsiTheme="majorHAnsi" w:cstheme="majorHAnsi"/>
                <w:sz w:val="24"/>
                <w:szCs w:val="24"/>
              </w:rPr>
            </w:pPr>
          </w:p>
        </w:tc>
        <w:tc>
          <w:tcPr>
            <w:tcW w:w="4075" w:type="dxa"/>
          </w:tcPr>
          <w:p w14:paraId="714C3E71" w14:textId="77777777" w:rsidR="006258F5" w:rsidRPr="00D462F0" w:rsidRDefault="006258F5" w:rsidP="00D462F0">
            <w:pPr>
              <w:jc w:val="both"/>
              <w:rPr>
                <w:rFonts w:asciiTheme="majorHAnsi" w:hAnsiTheme="majorHAnsi" w:cstheme="majorHAnsi"/>
                <w:bCs/>
                <w:sz w:val="24"/>
                <w:szCs w:val="24"/>
              </w:rPr>
            </w:pPr>
          </w:p>
        </w:tc>
      </w:tr>
      <w:tr w:rsidR="00364905" w:rsidRPr="00C93770" w14:paraId="650A2BC7" w14:textId="77777777" w:rsidTr="1756A420">
        <w:tc>
          <w:tcPr>
            <w:tcW w:w="4074" w:type="dxa"/>
          </w:tcPr>
          <w:p w14:paraId="1215DBC6" w14:textId="65F28FC2" w:rsidR="00364905" w:rsidRPr="00D462F0" w:rsidRDefault="00364905"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6B9CE590" w14:textId="0519D9D5" w:rsidR="00364905" w:rsidRPr="00D462F0" w:rsidRDefault="00364905"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7D1FACB6" w14:textId="77777777" w:rsidR="00364905" w:rsidRPr="00D462F0" w:rsidRDefault="00364905" w:rsidP="00D462F0">
            <w:pPr>
              <w:jc w:val="both"/>
              <w:rPr>
                <w:rFonts w:asciiTheme="majorHAnsi" w:hAnsiTheme="majorHAnsi" w:cstheme="majorHAnsi"/>
                <w:sz w:val="24"/>
                <w:szCs w:val="24"/>
              </w:rPr>
            </w:pPr>
          </w:p>
        </w:tc>
        <w:tc>
          <w:tcPr>
            <w:tcW w:w="4075" w:type="dxa"/>
          </w:tcPr>
          <w:p w14:paraId="4331B56F" w14:textId="77777777" w:rsidR="00364905" w:rsidRPr="00D462F0" w:rsidRDefault="00364905" w:rsidP="00D462F0">
            <w:pPr>
              <w:jc w:val="both"/>
              <w:rPr>
                <w:rFonts w:asciiTheme="majorHAnsi" w:hAnsiTheme="majorHAnsi" w:cstheme="majorHAnsi"/>
                <w:bCs/>
                <w:sz w:val="24"/>
                <w:szCs w:val="24"/>
              </w:rPr>
            </w:pPr>
          </w:p>
        </w:tc>
      </w:tr>
      <w:tr w:rsidR="00A26CD8" w:rsidRPr="00C93770" w14:paraId="74F4EC7C" w14:textId="77777777" w:rsidTr="1756A420">
        <w:tc>
          <w:tcPr>
            <w:tcW w:w="4074" w:type="dxa"/>
          </w:tcPr>
          <w:p w14:paraId="27A2128E" w14:textId="6FCD1F33" w:rsidR="00A26CD8" w:rsidRPr="00D462F0" w:rsidRDefault="00A26CD8" w:rsidP="00D462F0">
            <w:pPr>
              <w:jc w:val="both"/>
              <w:rPr>
                <w:rFonts w:asciiTheme="majorHAnsi" w:eastAsia="Times New Roman" w:hAnsiTheme="majorHAnsi" w:cstheme="majorHAnsi"/>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0FAE9F84" w14:textId="7F8C022B" w:rsidR="00A26CD8" w:rsidRPr="00D462F0" w:rsidRDefault="00A26CD8" w:rsidP="00D462F0">
            <w:pPr>
              <w:jc w:val="both"/>
              <w:rPr>
                <w:rFonts w:asciiTheme="majorHAnsi" w:eastAsia="Times New Roman" w:hAnsiTheme="majorHAnsi" w:cstheme="majorHAnsi"/>
                <w:bCs/>
                <w:sz w:val="24"/>
                <w:szCs w:val="24"/>
              </w:rPr>
            </w:pPr>
            <w:r w:rsidRPr="00D462F0">
              <w:rPr>
                <w:rFonts w:asciiTheme="majorHAnsi" w:hAnsiTheme="majorHAnsi" w:cstheme="majorHAnsi"/>
                <w:bCs/>
                <w:color w:val="0000FF"/>
                <w:sz w:val="24"/>
                <w:szCs w:val="24"/>
              </w:rPr>
              <w:t xml:space="preserve">Art. 13-A. </w:t>
            </w:r>
            <w:r w:rsidR="00D1730A"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É recomendável a adoção de Programa de Integridade para as EFPC classificadas no segmento S1, observado o disposto na Lei nº 12.846, de 2013.</w:t>
            </w:r>
          </w:p>
        </w:tc>
        <w:tc>
          <w:tcPr>
            <w:tcW w:w="4074" w:type="dxa"/>
          </w:tcPr>
          <w:p w14:paraId="795C8BF3" w14:textId="22BED515"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Trata da recomendação da adoção de programa de integridade no âmbito das EFPC, especialmente as classificadas como S1. Além da legislação própria tratar da questão, Lei </w:t>
            </w:r>
            <w:r w:rsidR="00D1730A" w:rsidRPr="00D462F0">
              <w:rPr>
                <w:rFonts w:asciiTheme="majorHAnsi" w:hAnsiTheme="majorHAnsi" w:cstheme="majorHAnsi"/>
                <w:sz w:val="24"/>
                <w:szCs w:val="24"/>
              </w:rPr>
              <w:t xml:space="preserve">nº </w:t>
            </w:r>
            <w:r w:rsidRPr="00D462F0">
              <w:rPr>
                <w:rFonts w:asciiTheme="majorHAnsi" w:hAnsiTheme="majorHAnsi" w:cstheme="majorHAnsi"/>
                <w:sz w:val="24"/>
                <w:szCs w:val="24"/>
              </w:rPr>
              <w:t xml:space="preserve">12.846/2013 e Decreto </w:t>
            </w:r>
            <w:r w:rsidR="00D1730A" w:rsidRPr="00D462F0">
              <w:rPr>
                <w:rFonts w:asciiTheme="majorHAnsi" w:hAnsiTheme="majorHAnsi" w:cstheme="majorHAnsi"/>
                <w:sz w:val="24"/>
                <w:szCs w:val="24"/>
              </w:rPr>
              <w:t xml:space="preserve">nº </w:t>
            </w:r>
            <w:r w:rsidRPr="00D462F0">
              <w:rPr>
                <w:rFonts w:asciiTheme="majorHAnsi" w:hAnsiTheme="majorHAnsi" w:cstheme="majorHAnsi"/>
                <w:sz w:val="24"/>
                <w:szCs w:val="24"/>
              </w:rPr>
              <w:t>11.129, de 11/07/2022, que dispõe sobre a responsabilização administrativa e civil de pessoas jurídicas pela prática de atos contra a administração pública, nacional ou estrangeira.</w:t>
            </w:r>
          </w:p>
          <w:p w14:paraId="392A3AD5" w14:textId="77777777" w:rsidR="00A26CD8" w:rsidRPr="00D462F0" w:rsidRDefault="00A26CD8" w:rsidP="00D462F0">
            <w:pPr>
              <w:jc w:val="both"/>
              <w:rPr>
                <w:rFonts w:asciiTheme="majorHAnsi" w:hAnsiTheme="majorHAnsi" w:cstheme="majorHAnsi"/>
                <w:sz w:val="24"/>
                <w:szCs w:val="24"/>
              </w:rPr>
            </w:pPr>
          </w:p>
        </w:tc>
        <w:tc>
          <w:tcPr>
            <w:tcW w:w="4075" w:type="dxa"/>
          </w:tcPr>
          <w:p w14:paraId="6E71D5B2"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Decreto nº 10.411, de 2020, art. 4º, inciso V, alínea a. </w:t>
            </w:r>
          </w:p>
          <w:p w14:paraId="20200793"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alteração em questão, em caráter de recomendação, trata de diretriz tratada em normativos superiores, tais como a Lei 12.846, de 2013 e o Decreto 11.129, de 2022. </w:t>
            </w:r>
          </w:p>
          <w:p w14:paraId="07CF5A43"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Lei 12.846, de 2013, incentiva a criação e implementação de programas de integridade pelas empresas, como forma de prevenir e combater a corrupção, e oferece benefícios como a atenuação das sanções em caso de sua existência e efetiva aplicação, </w:t>
            </w:r>
            <w:hyperlink r:id="rId8" w:history="1">
              <w:r w:rsidRPr="00D462F0">
                <w:rPr>
                  <w:rFonts w:asciiTheme="majorHAnsi" w:hAnsiTheme="majorHAnsi" w:cstheme="majorHAnsi"/>
                  <w:bCs/>
                  <w:sz w:val="24"/>
                  <w:szCs w:val="24"/>
                </w:rPr>
                <w:t>segundo o Pacto Global</w:t>
              </w:r>
            </w:hyperlink>
            <w:r w:rsidRPr="00D462F0">
              <w:rPr>
                <w:rFonts w:asciiTheme="majorHAnsi" w:hAnsiTheme="majorHAnsi" w:cstheme="majorHAnsi"/>
                <w:bCs/>
                <w:sz w:val="24"/>
                <w:szCs w:val="24"/>
              </w:rPr>
              <w:t>. </w:t>
            </w:r>
          </w:p>
          <w:p w14:paraId="38C6773C" w14:textId="742A0779"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Decreto </w:t>
            </w:r>
            <w:r w:rsidR="00D1730A" w:rsidRPr="00D462F0">
              <w:rPr>
                <w:rFonts w:asciiTheme="majorHAnsi" w:hAnsiTheme="majorHAnsi" w:cstheme="majorHAnsi"/>
                <w:bCs/>
                <w:sz w:val="24"/>
                <w:szCs w:val="24"/>
              </w:rPr>
              <w:t xml:space="preserve">nº </w:t>
            </w:r>
            <w:r w:rsidRPr="00D462F0">
              <w:rPr>
                <w:rFonts w:asciiTheme="majorHAnsi" w:hAnsiTheme="majorHAnsi" w:cstheme="majorHAnsi"/>
                <w:bCs/>
                <w:sz w:val="24"/>
                <w:szCs w:val="24"/>
              </w:rPr>
              <w:t>11.129, de 2022, reconhece a importância dos programas de integridade como atenuantes de responsabilidade e estabelece critérios para a sua avaliação. </w:t>
            </w:r>
          </w:p>
          <w:p w14:paraId="241FD9D8" w14:textId="30D909CC"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014F0A" w:rsidRPr="00C93770" w14:paraId="41900700" w14:textId="77777777" w:rsidTr="1756A420">
        <w:tc>
          <w:tcPr>
            <w:tcW w:w="4074" w:type="dxa"/>
          </w:tcPr>
          <w:p w14:paraId="6E8E85D4" w14:textId="27553080" w:rsidR="00014F0A" w:rsidRPr="00D462F0" w:rsidRDefault="00014F0A" w:rsidP="0028717C">
            <w:pPr>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w:t>
            </w:r>
          </w:p>
        </w:tc>
        <w:tc>
          <w:tcPr>
            <w:tcW w:w="4074" w:type="dxa"/>
          </w:tcPr>
          <w:p w14:paraId="6CB0F998" w14:textId="1D80A99A" w:rsidR="00014F0A" w:rsidRPr="00D462F0" w:rsidRDefault="00014F0A" w:rsidP="0028717C">
            <w:pPr>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w:t>
            </w:r>
          </w:p>
        </w:tc>
        <w:tc>
          <w:tcPr>
            <w:tcW w:w="4074" w:type="dxa"/>
            <w:vAlign w:val="center"/>
          </w:tcPr>
          <w:p w14:paraId="5C64257E" w14:textId="77777777" w:rsidR="00014F0A" w:rsidRPr="00D462F0" w:rsidRDefault="00014F0A" w:rsidP="00D462F0">
            <w:pPr>
              <w:jc w:val="both"/>
              <w:rPr>
                <w:rFonts w:asciiTheme="majorHAnsi" w:hAnsiTheme="majorHAnsi" w:cstheme="majorHAnsi"/>
                <w:sz w:val="24"/>
                <w:szCs w:val="24"/>
              </w:rPr>
            </w:pPr>
          </w:p>
        </w:tc>
        <w:tc>
          <w:tcPr>
            <w:tcW w:w="4075" w:type="dxa"/>
          </w:tcPr>
          <w:p w14:paraId="08FF348F" w14:textId="77777777" w:rsidR="00014F0A" w:rsidRPr="00D462F0" w:rsidRDefault="00014F0A" w:rsidP="00D462F0">
            <w:pPr>
              <w:jc w:val="both"/>
              <w:rPr>
                <w:rFonts w:asciiTheme="majorHAnsi" w:hAnsiTheme="majorHAnsi" w:cstheme="majorHAnsi"/>
                <w:bCs/>
                <w:sz w:val="24"/>
                <w:szCs w:val="24"/>
              </w:rPr>
            </w:pPr>
          </w:p>
        </w:tc>
      </w:tr>
      <w:tr w:rsidR="00014F0A" w:rsidRPr="00C93770" w14:paraId="13CA1667" w14:textId="77777777" w:rsidTr="1756A420">
        <w:tc>
          <w:tcPr>
            <w:tcW w:w="4074" w:type="dxa"/>
          </w:tcPr>
          <w:p w14:paraId="69D5E127" w14:textId="77777777" w:rsidR="00014F0A" w:rsidRPr="00D462F0" w:rsidRDefault="00014F0A" w:rsidP="0028717C">
            <w:pPr>
              <w:jc w:val="center"/>
              <w:rPr>
                <w:rFonts w:asciiTheme="majorHAnsi" w:eastAsia="Times New Roman" w:hAnsiTheme="majorHAnsi" w:cstheme="majorHAnsi"/>
                <w:b/>
                <w:bCs/>
                <w:sz w:val="24"/>
                <w:szCs w:val="24"/>
              </w:rPr>
            </w:pPr>
            <w:r w:rsidRPr="00D462F0">
              <w:rPr>
                <w:rFonts w:asciiTheme="majorHAnsi" w:eastAsia="Times New Roman" w:hAnsiTheme="majorHAnsi" w:cstheme="majorHAnsi"/>
                <w:b/>
                <w:bCs/>
                <w:sz w:val="24"/>
                <w:szCs w:val="24"/>
              </w:rPr>
              <w:t>Seção V</w:t>
            </w:r>
          </w:p>
          <w:p w14:paraId="5BB4990C" w14:textId="2381724A" w:rsidR="00014F0A" w:rsidRPr="00D462F0" w:rsidRDefault="00014F0A" w:rsidP="0028717C">
            <w:pPr>
              <w:jc w:val="center"/>
              <w:rPr>
                <w:rFonts w:asciiTheme="majorHAnsi" w:eastAsia="Times New Roman" w:hAnsiTheme="majorHAnsi" w:cstheme="majorHAnsi"/>
                <w:b/>
                <w:bCs/>
                <w:sz w:val="24"/>
                <w:szCs w:val="24"/>
              </w:rPr>
            </w:pPr>
            <w:r w:rsidRPr="00D462F0">
              <w:rPr>
                <w:rFonts w:asciiTheme="majorHAnsi" w:eastAsia="Times New Roman" w:hAnsiTheme="majorHAnsi" w:cstheme="majorHAnsi"/>
                <w:b/>
                <w:bCs/>
                <w:sz w:val="24"/>
                <w:szCs w:val="24"/>
              </w:rPr>
              <w:t>Auditor Independente</w:t>
            </w:r>
          </w:p>
        </w:tc>
        <w:tc>
          <w:tcPr>
            <w:tcW w:w="4074" w:type="dxa"/>
          </w:tcPr>
          <w:p w14:paraId="0C1FD7DC" w14:textId="77777777" w:rsidR="00014F0A" w:rsidRPr="00D462F0" w:rsidRDefault="00014F0A" w:rsidP="0028717C">
            <w:pPr>
              <w:jc w:val="center"/>
              <w:rPr>
                <w:rFonts w:asciiTheme="majorHAnsi" w:eastAsia="Times New Roman" w:hAnsiTheme="majorHAnsi" w:cstheme="majorHAnsi"/>
                <w:b/>
                <w:bCs/>
                <w:sz w:val="24"/>
                <w:szCs w:val="24"/>
              </w:rPr>
            </w:pPr>
            <w:r w:rsidRPr="00D462F0">
              <w:rPr>
                <w:rFonts w:asciiTheme="majorHAnsi" w:eastAsia="Times New Roman" w:hAnsiTheme="majorHAnsi" w:cstheme="majorHAnsi"/>
                <w:b/>
                <w:bCs/>
                <w:sz w:val="24"/>
                <w:szCs w:val="24"/>
              </w:rPr>
              <w:t>Seção V</w:t>
            </w:r>
          </w:p>
          <w:p w14:paraId="3A6050EE" w14:textId="3CA8D1A3" w:rsidR="00014F0A" w:rsidRPr="00D462F0" w:rsidRDefault="00014F0A" w:rsidP="0028717C">
            <w:pPr>
              <w:jc w:val="center"/>
              <w:rPr>
                <w:rFonts w:asciiTheme="majorHAnsi" w:eastAsia="Times New Roman" w:hAnsiTheme="majorHAnsi" w:cstheme="majorHAnsi"/>
                <w:b/>
                <w:bCs/>
                <w:sz w:val="24"/>
                <w:szCs w:val="24"/>
              </w:rPr>
            </w:pPr>
            <w:r w:rsidRPr="00D462F0">
              <w:rPr>
                <w:rFonts w:asciiTheme="majorHAnsi" w:eastAsia="Times New Roman" w:hAnsiTheme="majorHAnsi" w:cstheme="majorHAnsi"/>
                <w:b/>
                <w:bCs/>
                <w:sz w:val="24"/>
                <w:szCs w:val="24"/>
              </w:rPr>
              <w:t>Auditor Independente</w:t>
            </w:r>
          </w:p>
        </w:tc>
        <w:tc>
          <w:tcPr>
            <w:tcW w:w="4074" w:type="dxa"/>
            <w:vAlign w:val="center"/>
          </w:tcPr>
          <w:p w14:paraId="1C0D7FB2" w14:textId="77777777" w:rsidR="00014F0A" w:rsidRPr="00D462F0" w:rsidRDefault="00014F0A" w:rsidP="00D462F0">
            <w:pPr>
              <w:jc w:val="both"/>
              <w:rPr>
                <w:rFonts w:asciiTheme="majorHAnsi" w:hAnsiTheme="majorHAnsi" w:cstheme="majorHAnsi"/>
                <w:sz w:val="24"/>
                <w:szCs w:val="24"/>
              </w:rPr>
            </w:pPr>
          </w:p>
        </w:tc>
        <w:tc>
          <w:tcPr>
            <w:tcW w:w="4075" w:type="dxa"/>
          </w:tcPr>
          <w:p w14:paraId="4CE8A335" w14:textId="77777777" w:rsidR="00014F0A" w:rsidRPr="00D462F0" w:rsidRDefault="00014F0A" w:rsidP="00D462F0">
            <w:pPr>
              <w:jc w:val="both"/>
              <w:rPr>
                <w:rFonts w:asciiTheme="majorHAnsi" w:hAnsiTheme="majorHAnsi" w:cstheme="majorHAnsi"/>
                <w:bCs/>
                <w:sz w:val="24"/>
                <w:szCs w:val="24"/>
              </w:rPr>
            </w:pPr>
          </w:p>
        </w:tc>
      </w:tr>
      <w:tr w:rsidR="00A26CD8" w:rsidRPr="00C93770" w14:paraId="4A0B652C" w14:textId="77777777" w:rsidTr="1756A420">
        <w:tc>
          <w:tcPr>
            <w:tcW w:w="4074" w:type="dxa"/>
          </w:tcPr>
          <w:p w14:paraId="027F0368" w14:textId="787B6046" w:rsidR="00A26CD8" w:rsidRPr="00D462F0" w:rsidRDefault="00A26CD8" w:rsidP="00D462F0">
            <w:pPr>
              <w:jc w:val="both"/>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Art. 20.</w:t>
            </w:r>
            <w:r w:rsidR="00D1730A" w:rsidRPr="00D462F0">
              <w:rPr>
                <w:rFonts w:asciiTheme="majorHAnsi" w:eastAsia="Times New Roman" w:hAnsiTheme="majorHAnsi" w:cstheme="majorHAnsi"/>
                <w:sz w:val="24"/>
                <w:szCs w:val="24"/>
              </w:rPr>
              <w:t xml:space="preserve">  </w:t>
            </w:r>
            <w:r w:rsidRPr="00D462F0">
              <w:rPr>
                <w:rFonts w:asciiTheme="majorHAnsi" w:eastAsia="Times New Roman" w:hAnsiTheme="majorHAnsi" w:cstheme="majorHAnsi"/>
                <w:sz w:val="24"/>
                <w:szCs w:val="24"/>
              </w:rPr>
              <w:t>As EFPC devem contratar auditor independente para produzir, anualmente, os seguintes relatórios:</w:t>
            </w:r>
          </w:p>
          <w:p w14:paraId="366F45AE" w14:textId="7E2C1A2D" w:rsidR="00A26CD8" w:rsidRPr="00D462F0" w:rsidRDefault="00A26CD8" w:rsidP="00D462F0">
            <w:pPr>
              <w:jc w:val="both"/>
              <w:rPr>
                <w:rFonts w:asciiTheme="majorHAnsi" w:hAnsiTheme="majorHAnsi" w:cstheme="majorHAnsi"/>
                <w:color w:val="000000"/>
                <w:sz w:val="24"/>
                <w:szCs w:val="24"/>
              </w:rPr>
            </w:pPr>
          </w:p>
        </w:tc>
        <w:tc>
          <w:tcPr>
            <w:tcW w:w="4074" w:type="dxa"/>
          </w:tcPr>
          <w:p w14:paraId="59401670" w14:textId="3141A4AD" w:rsidR="00A26CD8" w:rsidRPr="00D462F0" w:rsidRDefault="00D1730A" w:rsidP="00D462F0">
            <w:pPr>
              <w:jc w:val="both"/>
              <w:rPr>
                <w:rFonts w:asciiTheme="majorHAnsi" w:eastAsia="Times New Roman" w:hAnsiTheme="majorHAnsi" w:cstheme="majorHAnsi"/>
                <w:bCs/>
                <w:sz w:val="24"/>
                <w:szCs w:val="24"/>
              </w:rPr>
            </w:pPr>
            <w:r w:rsidRPr="00D462F0">
              <w:rPr>
                <w:rFonts w:asciiTheme="majorHAnsi" w:eastAsia="Times New Roman" w:hAnsiTheme="majorHAnsi" w:cstheme="majorHAnsi"/>
                <w:sz w:val="24"/>
                <w:szCs w:val="24"/>
              </w:rPr>
              <w:t>Art. 20.  ...</w:t>
            </w:r>
          </w:p>
          <w:p w14:paraId="65D0F668" w14:textId="2FE36267" w:rsidR="00A26CD8" w:rsidRPr="00D462F0" w:rsidRDefault="00A26CD8" w:rsidP="00D462F0">
            <w:pPr>
              <w:jc w:val="both"/>
              <w:rPr>
                <w:rFonts w:asciiTheme="majorHAnsi" w:hAnsiTheme="majorHAnsi" w:cstheme="majorHAnsi"/>
                <w:bCs/>
                <w:color w:val="000000"/>
                <w:sz w:val="24"/>
                <w:szCs w:val="24"/>
              </w:rPr>
            </w:pPr>
          </w:p>
        </w:tc>
        <w:tc>
          <w:tcPr>
            <w:tcW w:w="4074" w:type="dxa"/>
            <w:vAlign w:val="center"/>
          </w:tcPr>
          <w:p w14:paraId="1C89D797" w14:textId="3285161F" w:rsidR="00A26CD8" w:rsidRPr="00D462F0" w:rsidRDefault="00D1730A"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6F206D3B" w14:textId="77777777" w:rsidR="00A26CD8" w:rsidRPr="00D462F0" w:rsidRDefault="00A26CD8" w:rsidP="00D462F0">
            <w:pPr>
              <w:jc w:val="both"/>
              <w:rPr>
                <w:rFonts w:asciiTheme="majorHAnsi" w:hAnsiTheme="majorHAnsi" w:cstheme="majorHAnsi"/>
                <w:bCs/>
                <w:sz w:val="24"/>
                <w:szCs w:val="24"/>
              </w:rPr>
            </w:pPr>
          </w:p>
        </w:tc>
      </w:tr>
      <w:tr w:rsidR="00A26CD8" w:rsidRPr="00C93770" w14:paraId="031325D0" w14:textId="77777777" w:rsidTr="1756A420">
        <w:tc>
          <w:tcPr>
            <w:tcW w:w="4074" w:type="dxa"/>
          </w:tcPr>
          <w:p w14:paraId="6723E5EB" w14:textId="7F1EEB44" w:rsidR="00A26CD8" w:rsidRPr="00D462F0" w:rsidRDefault="00A26CD8" w:rsidP="00D462F0">
            <w:pPr>
              <w:jc w:val="both"/>
              <w:rPr>
                <w:rFonts w:asciiTheme="majorHAnsi" w:eastAsia="Times New Roman" w:hAnsiTheme="majorHAnsi" w:cstheme="majorHAnsi"/>
                <w:sz w:val="24"/>
                <w:szCs w:val="24"/>
              </w:rPr>
            </w:pPr>
            <w:r w:rsidRPr="00D462F0">
              <w:rPr>
                <w:rFonts w:asciiTheme="majorHAnsi" w:eastAsia="Times New Roman" w:hAnsiTheme="majorHAnsi" w:cstheme="majorHAnsi"/>
                <w:color w:val="EE0000"/>
                <w:sz w:val="24"/>
                <w:szCs w:val="24"/>
              </w:rPr>
              <w:t xml:space="preserve">Parágrafo único. </w:t>
            </w:r>
            <w:r w:rsidR="0091362C" w:rsidRPr="00D462F0">
              <w:rPr>
                <w:rFonts w:asciiTheme="majorHAnsi" w:eastAsia="Times New Roman" w:hAnsiTheme="majorHAnsi" w:cstheme="majorHAnsi"/>
                <w:color w:val="EE0000"/>
                <w:sz w:val="24"/>
                <w:szCs w:val="24"/>
              </w:rPr>
              <w:t xml:space="preserve"> </w:t>
            </w:r>
            <w:r w:rsidRPr="00D462F0">
              <w:rPr>
                <w:rFonts w:asciiTheme="majorHAnsi" w:eastAsia="Times New Roman" w:hAnsiTheme="majorHAnsi" w:cstheme="majorHAnsi"/>
                <w:sz w:val="24"/>
                <w:szCs w:val="24"/>
              </w:rPr>
              <w:t xml:space="preserve">O relatório requerido no inciso III é exigido, em observância ao disposto no § 2º do art. </w:t>
            </w:r>
          </w:p>
          <w:p w14:paraId="3BD9F396" w14:textId="67385AB6" w:rsidR="00A26CD8" w:rsidRPr="00D462F0" w:rsidRDefault="00A26CD8" w:rsidP="00D462F0">
            <w:pPr>
              <w:jc w:val="both"/>
              <w:rPr>
                <w:rFonts w:asciiTheme="majorHAnsi" w:hAnsiTheme="majorHAnsi" w:cstheme="majorHAnsi"/>
                <w:color w:val="000000"/>
                <w:sz w:val="24"/>
                <w:szCs w:val="24"/>
              </w:rPr>
            </w:pPr>
            <w:r w:rsidRPr="00D462F0">
              <w:rPr>
                <w:rFonts w:asciiTheme="majorHAnsi" w:eastAsia="Times New Roman" w:hAnsiTheme="majorHAnsi" w:cstheme="majorHAnsi"/>
                <w:sz w:val="24"/>
                <w:szCs w:val="24"/>
              </w:rPr>
              <w:lastRenderedPageBreak/>
              <w:t>13 da Resolução CNPC nº 44, de 2021, apenas para as EFPC classificadas pela Previc no segmento S1.</w:t>
            </w:r>
          </w:p>
        </w:tc>
        <w:tc>
          <w:tcPr>
            <w:tcW w:w="4074" w:type="dxa"/>
          </w:tcPr>
          <w:p w14:paraId="3362A4C6" w14:textId="32DBF1D1"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lastRenderedPageBreak/>
              <w:t>§ 1º</w:t>
            </w:r>
            <w:r w:rsidRPr="00D462F0">
              <w:rPr>
                <w:rFonts w:asciiTheme="majorHAnsi" w:eastAsia="Times New Roman" w:hAnsiTheme="majorHAnsi" w:cstheme="majorHAnsi"/>
                <w:bCs/>
                <w:color w:val="002060"/>
                <w:sz w:val="24"/>
                <w:szCs w:val="24"/>
              </w:rPr>
              <w:t xml:space="preserve"> </w:t>
            </w:r>
            <w:r w:rsidR="00D1730A" w:rsidRPr="00D462F0">
              <w:rPr>
                <w:rFonts w:asciiTheme="majorHAnsi" w:eastAsia="Times New Roman" w:hAnsiTheme="majorHAnsi" w:cstheme="majorHAnsi"/>
                <w:bCs/>
                <w:color w:val="002060"/>
                <w:sz w:val="24"/>
                <w:szCs w:val="24"/>
              </w:rPr>
              <w:t xml:space="preserve"> </w:t>
            </w:r>
            <w:r w:rsidRPr="00D462F0">
              <w:rPr>
                <w:rFonts w:asciiTheme="majorHAnsi" w:eastAsia="Times New Roman" w:hAnsiTheme="majorHAnsi" w:cstheme="majorHAnsi"/>
                <w:bCs/>
                <w:sz w:val="24"/>
                <w:szCs w:val="24"/>
              </w:rPr>
              <w:t xml:space="preserve">O relatório requerido no inciso III é exigido, em observância ao disposto no § 2º do art. 13 da Resolução CNPC nº 44, de 2021, apenas para as EFPC </w:t>
            </w:r>
            <w:r w:rsidRPr="00D462F0">
              <w:rPr>
                <w:rFonts w:asciiTheme="majorHAnsi" w:eastAsia="Times New Roman" w:hAnsiTheme="majorHAnsi" w:cstheme="majorHAnsi"/>
                <w:bCs/>
                <w:sz w:val="24"/>
                <w:szCs w:val="24"/>
              </w:rPr>
              <w:lastRenderedPageBreak/>
              <w:t>classificadas pela Previc no segmento S1.</w:t>
            </w:r>
          </w:p>
        </w:tc>
        <w:tc>
          <w:tcPr>
            <w:tcW w:w="4074" w:type="dxa"/>
            <w:vAlign w:val="center"/>
          </w:tcPr>
          <w:p w14:paraId="6A580D41" w14:textId="77777777" w:rsidR="00A26CD8" w:rsidRPr="00D462F0" w:rsidRDefault="00A26CD8" w:rsidP="00D462F0">
            <w:pPr>
              <w:jc w:val="both"/>
              <w:rPr>
                <w:rFonts w:asciiTheme="majorHAnsi" w:hAnsiTheme="majorHAnsi" w:cstheme="majorHAnsi"/>
                <w:sz w:val="24"/>
                <w:szCs w:val="24"/>
              </w:rPr>
            </w:pPr>
          </w:p>
        </w:tc>
        <w:tc>
          <w:tcPr>
            <w:tcW w:w="4075" w:type="dxa"/>
          </w:tcPr>
          <w:p w14:paraId="4F0161D6" w14:textId="77777777" w:rsidR="00A26CD8" w:rsidRPr="00D462F0" w:rsidRDefault="00A26CD8" w:rsidP="00D462F0">
            <w:pPr>
              <w:jc w:val="both"/>
              <w:rPr>
                <w:rFonts w:asciiTheme="majorHAnsi" w:hAnsiTheme="majorHAnsi" w:cstheme="majorHAnsi"/>
                <w:bCs/>
                <w:sz w:val="24"/>
                <w:szCs w:val="24"/>
              </w:rPr>
            </w:pPr>
          </w:p>
        </w:tc>
      </w:tr>
      <w:tr w:rsidR="00A26CD8" w:rsidRPr="00C93770" w14:paraId="1DE579DB" w14:textId="77777777" w:rsidTr="1756A420">
        <w:tc>
          <w:tcPr>
            <w:tcW w:w="4074" w:type="dxa"/>
          </w:tcPr>
          <w:p w14:paraId="7222A7BB" w14:textId="40A7C4B0"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3689A586" w14:textId="3339488F"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 2º </w:t>
            </w:r>
            <w:r w:rsidR="00D1730A"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Para as EFPC classificadas pela Previc nos segmentos S1 e S2 é também recomendada a realização, pelo menos a cada cinco exercícios, de auditorias atuariais e de benefícios nos seus planos de benefícios, com a produção dos respectivos relatórios por auditores independentes.</w:t>
            </w:r>
          </w:p>
        </w:tc>
        <w:tc>
          <w:tcPr>
            <w:tcW w:w="4074" w:type="dxa"/>
          </w:tcPr>
          <w:p w14:paraId="599FD16E" w14:textId="5B970813"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Recomendar a realização, pelo menos a cada cinco anos, de auditorias atuariais e de benefícios para os planos de benefícios classificados nos segmentos S1 e S2, visando a fortalecer os mecanismos de governança e a prestação de contas das EFPC, dando maior segurança aos patrocinadores, participantes e assistidos, bem como permitir a identificação de inconsistências ou riscos atuariais e operacionais pela Previc.</w:t>
            </w:r>
          </w:p>
        </w:tc>
        <w:tc>
          <w:tcPr>
            <w:tcW w:w="4075" w:type="dxa"/>
          </w:tcPr>
          <w:p w14:paraId="63325B4D" w14:textId="77777777" w:rsidR="00A26CD8" w:rsidRPr="00D462F0" w:rsidRDefault="00A26CD8" w:rsidP="00D462F0">
            <w:pPr>
              <w:jc w:val="both"/>
              <w:rPr>
                <w:rFonts w:asciiTheme="majorHAnsi" w:hAnsiTheme="majorHAnsi" w:cstheme="majorHAnsi"/>
                <w:bCs/>
                <w:sz w:val="24"/>
                <w:szCs w:val="24"/>
              </w:rPr>
            </w:pPr>
          </w:p>
        </w:tc>
      </w:tr>
      <w:tr w:rsidR="00014F0A" w:rsidRPr="00C93770" w14:paraId="6D8120D7" w14:textId="77777777" w:rsidTr="1756A420">
        <w:tc>
          <w:tcPr>
            <w:tcW w:w="4074" w:type="dxa"/>
          </w:tcPr>
          <w:p w14:paraId="5EE943BF" w14:textId="1F25BA9E" w:rsidR="00014F0A" w:rsidRPr="00D462F0" w:rsidRDefault="00014F0A"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35D8E37C" w14:textId="0C3E0100" w:rsidR="00014F0A" w:rsidRPr="00D462F0" w:rsidRDefault="00014F0A"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5C9BD181" w14:textId="77777777" w:rsidR="00014F0A" w:rsidRPr="00D462F0" w:rsidRDefault="00014F0A" w:rsidP="00D462F0">
            <w:pPr>
              <w:jc w:val="both"/>
              <w:rPr>
                <w:rFonts w:asciiTheme="majorHAnsi" w:hAnsiTheme="majorHAnsi" w:cstheme="majorHAnsi"/>
                <w:sz w:val="24"/>
                <w:szCs w:val="24"/>
              </w:rPr>
            </w:pPr>
          </w:p>
        </w:tc>
        <w:tc>
          <w:tcPr>
            <w:tcW w:w="4075" w:type="dxa"/>
          </w:tcPr>
          <w:p w14:paraId="60C12A50" w14:textId="77777777" w:rsidR="00014F0A" w:rsidRPr="00D462F0" w:rsidRDefault="00014F0A" w:rsidP="00D462F0">
            <w:pPr>
              <w:jc w:val="both"/>
              <w:rPr>
                <w:rFonts w:asciiTheme="majorHAnsi" w:hAnsiTheme="majorHAnsi" w:cstheme="majorHAnsi"/>
                <w:bCs/>
                <w:sz w:val="24"/>
                <w:szCs w:val="24"/>
              </w:rPr>
            </w:pPr>
          </w:p>
        </w:tc>
      </w:tr>
      <w:tr w:rsidR="00A26CD8" w:rsidRPr="00C93770" w14:paraId="17B4F012" w14:textId="77777777" w:rsidTr="1756A420">
        <w:tc>
          <w:tcPr>
            <w:tcW w:w="4074" w:type="dxa"/>
          </w:tcPr>
          <w:p w14:paraId="0074D63B" w14:textId="3021D9E0"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22. </w:t>
            </w:r>
            <w:r w:rsidR="0091362C"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A EFPC deverá enviar à Previc, para fins de habilitação, a documentação comprobatória de atendimento aos requisitos exigidos para o exercício dos cargos definidos na legislação. </w:t>
            </w:r>
          </w:p>
          <w:p w14:paraId="68B4A75A" w14:textId="77777777" w:rsidR="00A26CD8" w:rsidRPr="00D462F0" w:rsidRDefault="00A26CD8" w:rsidP="00D462F0">
            <w:pPr>
              <w:jc w:val="both"/>
              <w:rPr>
                <w:rFonts w:asciiTheme="majorHAnsi" w:hAnsiTheme="majorHAnsi" w:cstheme="majorHAnsi"/>
                <w:color w:val="000000"/>
                <w:sz w:val="24"/>
                <w:szCs w:val="24"/>
              </w:rPr>
            </w:pPr>
          </w:p>
        </w:tc>
        <w:tc>
          <w:tcPr>
            <w:tcW w:w="4074" w:type="dxa"/>
          </w:tcPr>
          <w:p w14:paraId="6961B409" w14:textId="4C5CCDE8"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22. </w:t>
            </w:r>
            <w:r w:rsidR="007E378D"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00"/>
                <w:sz w:val="24"/>
                <w:szCs w:val="24"/>
              </w:rPr>
              <w:t>A EFPC</w:t>
            </w:r>
            <w:r w:rsidRPr="00D462F0">
              <w:rPr>
                <w:rFonts w:asciiTheme="majorHAnsi" w:hAnsiTheme="majorHAnsi" w:cstheme="majorHAnsi"/>
                <w:bCs/>
                <w:color w:val="0000FF"/>
                <w:sz w:val="24"/>
                <w:szCs w:val="24"/>
              </w:rPr>
              <w:t xml:space="preserve">, observado plano de sucessão, deverá enviar à Previc, para fins de habilitação, no prazo mínimo de trinta dias antes da posse, </w:t>
            </w:r>
            <w:r w:rsidRPr="00D462F0">
              <w:rPr>
                <w:rFonts w:asciiTheme="majorHAnsi" w:hAnsiTheme="majorHAnsi" w:cstheme="majorHAnsi"/>
                <w:bCs/>
                <w:color w:val="000000"/>
                <w:sz w:val="24"/>
                <w:szCs w:val="24"/>
              </w:rPr>
              <w:t>a documentação comprobatória</w:t>
            </w:r>
            <w:r w:rsidRPr="00D462F0">
              <w:rPr>
                <w:rFonts w:asciiTheme="majorHAnsi" w:hAnsiTheme="majorHAnsi" w:cstheme="majorHAnsi"/>
                <w:bCs/>
                <w:sz w:val="24"/>
                <w:szCs w:val="24"/>
              </w:rPr>
              <w:t xml:space="preserve"> </w:t>
            </w:r>
            <w:r w:rsidRPr="00D462F0">
              <w:rPr>
                <w:rFonts w:asciiTheme="majorHAnsi" w:hAnsiTheme="majorHAnsi" w:cstheme="majorHAnsi"/>
                <w:bCs/>
                <w:color w:val="000000"/>
                <w:sz w:val="24"/>
                <w:szCs w:val="24"/>
              </w:rPr>
              <w:t xml:space="preserve">de atendimento aos requisitos exigidos para o exercício dos cargos definidos na legislação. </w:t>
            </w:r>
          </w:p>
          <w:p w14:paraId="75851516" w14:textId="77777777" w:rsidR="00A26CD8" w:rsidRPr="00D462F0" w:rsidRDefault="00A26CD8" w:rsidP="00D462F0">
            <w:pPr>
              <w:jc w:val="both"/>
              <w:rPr>
                <w:rFonts w:asciiTheme="majorHAnsi" w:hAnsiTheme="majorHAnsi" w:cstheme="majorHAnsi"/>
                <w:bCs/>
                <w:color w:val="000000"/>
                <w:sz w:val="24"/>
                <w:szCs w:val="24"/>
              </w:rPr>
            </w:pPr>
          </w:p>
        </w:tc>
        <w:tc>
          <w:tcPr>
            <w:tcW w:w="4074" w:type="dxa"/>
          </w:tcPr>
          <w:p w14:paraId="0D86F4B1" w14:textId="4AC84D66"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prazo mínimo para enviar a documentação para fins de habilitação.</w:t>
            </w:r>
          </w:p>
        </w:tc>
        <w:tc>
          <w:tcPr>
            <w:tcW w:w="4075" w:type="dxa"/>
          </w:tcPr>
          <w:p w14:paraId="2329EC42"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 alínea “a”.</w:t>
            </w:r>
          </w:p>
          <w:p w14:paraId="1A595AA6" w14:textId="77777777"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Trata-se de artigo destinado a assegurar a comprovação prévia de requisitos para posse e exercício nos cargos designados no âmbito da EFPC. </w:t>
            </w:r>
          </w:p>
          <w:p w14:paraId="70F74E65" w14:textId="77777777"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w:t>
            </w:r>
          </w:p>
          <w:p w14:paraId="5A876C74" w14:textId="77777777" w:rsidR="00A26CD8" w:rsidRPr="00D462F0" w:rsidRDefault="00A26CD8"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Conceitualmente higidez é a condição de uma entidade que demonstra equilíbrio atuarial, sustentabilidade de longo prazo e conformidade regulatória.  Nesse sentido, trata-se de componente da higidez de uma EFPC a gestão prudencial dos recursos expressa na administração segura e eficiente dos ativos financeiros.</w:t>
            </w:r>
          </w:p>
          <w:p w14:paraId="18589069" w14:textId="77777777" w:rsidR="00A26CD8" w:rsidRPr="00D462F0" w:rsidRDefault="00A26CD8"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processo de habilitação pretende mitigar riscos na administração segura e eficiente dos ativos, assegurando inclusive que a posse e exercício desse </w:t>
            </w:r>
            <w:r w:rsidRPr="00D462F0">
              <w:rPr>
                <w:rFonts w:asciiTheme="majorHAnsi" w:hAnsiTheme="majorHAnsi" w:cstheme="majorHAnsi"/>
                <w:bCs/>
                <w:sz w:val="24"/>
                <w:szCs w:val="24"/>
              </w:rPr>
              <w:lastRenderedPageBreak/>
              <w:t xml:space="preserve">dirigente ocorra apenas quando devidamente habilitado. </w:t>
            </w:r>
          </w:p>
          <w:p w14:paraId="0D65DBFB" w14:textId="18A8BFB3"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A26CD8" w:rsidRPr="00C93770" w14:paraId="395150BE" w14:textId="77777777" w:rsidTr="1756A420">
        <w:tc>
          <w:tcPr>
            <w:tcW w:w="4074" w:type="dxa"/>
          </w:tcPr>
          <w:p w14:paraId="6FE3D90C" w14:textId="65901ADF"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 xml:space="preserve">Parágrafo único. </w:t>
            </w:r>
            <w:r w:rsidR="0091362C"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A EFPC enquadrada nos segmentos S3 ou S4 deverá enviar os dados relativos aos membros do conselho fiscal e do conselho deliberativo apenas por meio do Cadastro Nacional de Dirigentes (</w:t>
            </w:r>
            <w:proofErr w:type="spellStart"/>
            <w:r w:rsidRPr="00D462F0">
              <w:rPr>
                <w:rFonts w:asciiTheme="majorHAnsi" w:hAnsiTheme="majorHAnsi" w:cstheme="majorHAnsi"/>
                <w:color w:val="000000"/>
                <w:sz w:val="24"/>
                <w:szCs w:val="24"/>
              </w:rPr>
              <w:t>Cand</w:t>
            </w:r>
            <w:proofErr w:type="spellEnd"/>
            <w:r w:rsidRPr="00D462F0">
              <w:rPr>
                <w:rFonts w:asciiTheme="majorHAnsi" w:hAnsiTheme="majorHAnsi" w:cstheme="majorHAnsi"/>
                <w:color w:val="000000"/>
                <w:sz w:val="24"/>
                <w:szCs w:val="24"/>
              </w:rPr>
              <w:t>), considerando-se automaticamente habilitado o dirigente, o que não exime o cumprimento de todos os requisitos exigidos pela legislação, que poderão ser aferidos a qualquer tempo pela Previc.</w:t>
            </w:r>
          </w:p>
        </w:tc>
        <w:tc>
          <w:tcPr>
            <w:tcW w:w="4074" w:type="dxa"/>
          </w:tcPr>
          <w:p w14:paraId="317A0A16" w14:textId="226BEB1B"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1º</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00"/>
                <w:sz w:val="24"/>
                <w:szCs w:val="24"/>
              </w:rPr>
              <w:t xml:space="preserve">A EFPC enquadrada nos segmentos S3 ou S4 deverá enviar os dados relativos aos membros do conselho fiscal e do conselho deliberativo apenas por meio </w:t>
            </w:r>
            <w:r w:rsidR="00C93770" w:rsidRPr="00D462F0">
              <w:rPr>
                <w:rFonts w:asciiTheme="majorHAnsi" w:hAnsiTheme="majorHAnsi" w:cstheme="majorHAnsi"/>
                <w:color w:val="000000"/>
                <w:sz w:val="24"/>
                <w:szCs w:val="24"/>
              </w:rPr>
              <w:t>do</w:t>
            </w:r>
            <w:r w:rsidR="00C93770" w:rsidRPr="00D462F0">
              <w:rPr>
                <w:rFonts w:asciiTheme="majorHAnsi" w:hAnsiTheme="majorHAnsi" w:cstheme="majorHAnsi"/>
                <w:b/>
                <w:bCs/>
                <w:color w:val="000000"/>
                <w:sz w:val="24"/>
                <w:szCs w:val="24"/>
              </w:rPr>
              <w:t xml:space="preserve"> </w:t>
            </w:r>
            <w:r w:rsidR="00C93770" w:rsidRPr="00D462F0">
              <w:rPr>
                <w:rFonts w:asciiTheme="majorHAnsi" w:hAnsiTheme="majorHAnsi" w:cstheme="majorHAnsi"/>
                <w:strike/>
                <w:color w:val="EE0000"/>
                <w:sz w:val="24"/>
                <w:szCs w:val="24"/>
              </w:rPr>
              <w:t>Cadastro Nacional de Dirigentes (</w:t>
            </w:r>
            <w:proofErr w:type="spellStart"/>
            <w:r w:rsidR="00C93770" w:rsidRPr="00D462F0">
              <w:rPr>
                <w:rFonts w:asciiTheme="majorHAnsi" w:hAnsiTheme="majorHAnsi" w:cstheme="majorHAnsi"/>
                <w:strike/>
                <w:color w:val="EE0000"/>
                <w:sz w:val="24"/>
                <w:szCs w:val="24"/>
              </w:rPr>
              <w:t>Cand</w:t>
            </w:r>
            <w:proofErr w:type="spellEnd"/>
            <w:r w:rsidR="00C93770" w:rsidRPr="00D462F0">
              <w:rPr>
                <w:rFonts w:asciiTheme="majorHAnsi" w:hAnsiTheme="majorHAnsi" w:cstheme="majorHAnsi"/>
                <w:strike/>
                <w:color w:val="EE0000"/>
                <w:sz w:val="24"/>
                <w:szCs w:val="24"/>
              </w:rPr>
              <w:t>),</w:t>
            </w:r>
            <w:r w:rsidR="00C93770" w:rsidRPr="00D462F0">
              <w:rPr>
                <w:rFonts w:asciiTheme="majorHAnsi" w:hAnsiTheme="majorHAnsi" w:cstheme="majorHAnsi"/>
                <w:color w:val="EE0000"/>
                <w:sz w:val="24"/>
                <w:szCs w:val="24"/>
              </w:rPr>
              <w:t xml:space="preserve"> </w:t>
            </w:r>
            <w:r w:rsidR="006D4320" w:rsidRPr="006D4320">
              <w:rPr>
                <w:rFonts w:asciiTheme="majorHAnsi" w:hAnsiTheme="majorHAnsi" w:cstheme="majorHAnsi"/>
                <w:color w:val="0000FF"/>
                <w:sz w:val="24"/>
                <w:szCs w:val="24"/>
              </w:rPr>
              <w:t>d</w:t>
            </w:r>
            <w:r w:rsidR="008361AB">
              <w:rPr>
                <w:rFonts w:asciiTheme="majorHAnsi" w:hAnsiTheme="majorHAnsi" w:cstheme="majorHAnsi"/>
                <w:color w:val="0000FF"/>
                <w:sz w:val="24"/>
                <w:szCs w:val="24"/>
              </w:rPr>
              <w:t>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sistema informatizado indicado no sítio eletrônico da autarquia,</w:t>
            </w:r>
            <w:r w:rsidRPr="00D462F0">
              <w:rPr>
                <w:rFonts w:asciiTheme="majorHAnsi" w:hAnsiTheme="majorHAnsi" w:cstheme="majorHAnsi"/>
                <w:bCs/>
                <w:color w:val="000000"/>
                <w:sz w:val="24"/>
                <w:szCs w:val="24"/>
              </w:rPr>
              <w:t xml:space="preserve"> considerando-se automaticamente habilitado o dirigente, o que não exime o cumprimento de todos os requisitos exigidos pela legislação, que poderão ser aferidos a qualquer tempo pela Previc.</w:t>
            </w:r>
          </w:p>
          <w:p w14:paraId="130A94C1" w14:textId="31A7D5A7" w:rsidR="00A26CD8" w:rsidRPr="00D462F0" w:rsidRDefault="00A26CD8" w:rsidP="00D462F0">
            <w:pPr>
              <w:jc w:val="both"/>
              <w:rPr>
                <w:rFonts w:asciiTheme="majorHAnsi" w:hAnsiTheme="majorHAnsi" w:cstheme="majorHAnsi"/>
                <w:bCs/>
                <w:color w:val="000000"/>
                <w:sz w:val="24"/>
                <w:szCs w:val="24"/>
              </w:rPr>
            </w:pPr>
          </w:p>
        </w:tc>
        <w:tc>
          <w:tcPr>
            <w:tcW w:w="4074" w:type="dxa"/>
          </w:tcPr>
          <w:p w14:paraId="64E8A173"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Exclusão do nome do sistema, para deixar flexível.</w:t>
            </w:r>
          </w:p>
          <w:p w14:paraId="17F9591A" w14:textId="6A3DEE37" w:rsidR="00A26CD8" w:rsidRPr="00D462F0" w:rsidRDefault="00A26CD8" w:rsidP="00D462F0">
            <w:pPr>
              <w:jc w:val="both"/>
              <w:rPr>
                <w:rFonts w:asciiTheme="majorHAnsi" w:hAnsiTheme="majorHAnsi" w:cstheme="majorHAnsi"/>
                <w:sz w:val="24"/>
                <w:szCs w:val="24"/>
              </w:rPr>
            </w:pPr>
          </w:p>
        </w:tc>
        <w:tc>
          <w:tcPr>
            <w:tcW w:w="4075" w:type="dxa"/>
          </w:tcPr>
          <w:p w14:paraId="3C6E17A8"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 alínea “a”.</w:t>
            </w:r>
          </w:p>
          <w:p w14:paraId="53DBFBA2" w14:textId="6F4E1FE1" w:rsidR="00A26CD8" w:rsidRPr="00D462F0" w:rsidRDefault="00A26CD8" w:rsidP="00D462F0">
            <w:pPr>
              <w:jc w:val="both"/>
              <w:rPr>
                <w:rFonts w:asciiTheme="majorHAnsi" w:hAnsiTheme="majorHAnsi" w:cstheme="majorHAnsi"/>
                <w:bCs/>
                <w:sz w:val="24"/>
                <w:szCs w:val="24"/>
              </w:rPr>
            </w:pPr>
          </w:p>
        </w:tc>
      </w:tr>
      <w:tr w:rsidR="00A26CD8" w:rsidRPr="00C93770" w14:paraId="55005ABB" w14:textId="77777777" w:rsidTr="1756A420">
        <w:tc>
          <w:tcPr>
            <w:tcW w:w="4074" w:type="dxa"/>
          </w:tcPr>
          <w:p w14:paraId="2AA10799" w14:textId="0DC620B1"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7EAD3605" w14:textId="0EBC31A0"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2º  É vedada a posse e entrada em exercício antes da conclusão do processo de habilitação.</w:t>
            </w:r>
          </w:p>
        </w:tc>
        <w:tc>
          <w:tcPr>
            <w:tcW w:w="4074" w:type="dxa"/>
          </w:tcPr>
          <w:p w14:paraId="014E1A66" w14:textId="2E646086"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deixar expresso que a habilitação é requisito para a posse e entrada em exercício.</w:t>
            </w:r>
          </w:p>
          <w:p w14:paraId="55FE5BEB" w14:textId="77777777" w:rsidR="00A26CD8" w:rsidRPr="00D462F0" w:rsidRDefault="00A26CD8" w:rsidP="00D462F0">
            <w:pPr>
              <w:jc w:val="both"/>
              <w:rPr>
                <w:rFonts w:asciiTheme="majorHAnsi" w:hAnsiTheme="majorHAnsi" w:cstheme="majorHAnsi"/>
                <w:sz w:val="24"/>
                <w:szCs w:val="24"/>
              </w:rPr>
            </w:pPr>
          </w:p>
        </w:tc>
        <w:tc>
          <w:tcPr>
            <w:tcW w:w="4075" w:type="dxa"/>
          </w:tcPr>
          <w:p w14:paraId="5066654E"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 alínea “a”.</w:t>
            </w:r>
          </w:p>
          <w:p w14:paraId="1A193B30" w14:textId="77777777" w:rsidR="00A26CD8" w:rsidRPr="00D462F0" w:rsidRDefault="00A26CD8" w:rsidP="00D462F0">
            <w:pPr>
              <w:jc w:val="both"/>
              <w:rPr>
                <w:rFonts w:asciiTheme="majorHAnsi" w:hAnsiTheme="majorHAnsi" w:cstheme="majorHAnsi"/>
                <w:bCs/>
                <w:sz w:val="24"/>
                <w:szCs w:val="24"/>
              </w:rPr>
            </w:pPr>
          </w:p>
        </w:tc>
      </w:tr>
      <w:tr w:rsidR="00716A03" w:rsidRPr="00C93770" w14:paraId="615E0724" w14:textId="77777777" w:rsidTr="1756A420">
        <w:tc>
          <w:tcPr>
            <w:tcW w:w="4074" w:type="dxa"/>
          </w:tcPr>
          <w:p w14:paraId="61CAE48D" w14:textId="77777777" w:rsidR="00716A03" w:rsidRPr="00D462F0" w:rsidRDefault="00716A03"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VI</w:t>
            </w:r>
          </w:p>
          <w:p w14:paraId="4F52D092" w14:textId="5F215639" w:rsidR="00716A03" w:rsidRPr="00D462F0" w:rsidRDefault="00716A03" w:rsidP="0028717C">
            <w:pPr>
              <w:jc w:val="center"/>
              <w:rPr>
                <w:rFonts w:asciiTheme="majorHAnsi" w:hAnsiTheme="majorHAnsi" w:cstheme="majorHAnsi"/>
                <w:color w:val="000000"/>
                <w:sz w:val="24"/>
                <w:szCs w:val="24"/>
              </w:rPr>
            </w:pPr>
            <w:r w:rsidRPr="00D462F0">
              <w:rPr>
                <w:rFonts w:asciiTheme="majorHAnsi" w:hAnsiTheme="majorHAnsi" w:cstheme="majorHAnsi"/>
                <w:b/>
                <w:color w:val="000000"/>
                <w:sz w:val="24"/>
                <w:szCs w:val="24"/>
              </w:rPr>
              <w:t>Habilitação de Dirigente</w:t>
            </w:r>
          </w:p>
        </w:tc>
        <w:tc>
          <w:tcPr>
            <w:tcW w:w="4074" w:type="dxa"/>
          </w:tcPr>
          <w:p w14:paraId="52D1FC75" w14:textId="77777777" w:rsidR="00716A03" w:rsidRPr="00D462F0" w:rsidRDefault="00716A03"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VI</w:t>
            </w:r>
          </w:p>
          <w:p w14:paraId="37186059" w14:textId="5CCEE56D" w:rsidR="00716A03" w:rsidRPr="00D462F0" w:rsidRDefault="00716A03" w:rsidP="0028717C">
            <w:pPr>
              <w:jc w:val="center"/>
              <w:rPr>
                <w:rFonts w:asciiTheme="majorHAnsi" w:hAnsiTheme="majorHAnsi" w:cstheme="majorHAnsi"/>
                <w:bCs/>
                <w:color w:val="0000FF"/>
                <w:sz w:val="24"/>
                <w:szCs w:val="24"/>
              </w:rPr>
            </w:pPr>
            <w:r w:rsidRPr="00D462F0">
              <w:rPr>
                <w:rFonts w:asciiTheme="majorHAnsi" w:hAnsiTheme="majorHAnsi" w:cstheme="majorHAnsi"/>
                <w:b/>
                <w:color w:val="000000"/>
                <w:sz w:val="24"/>
                <w:szCs w:val="24"/>
              </w:rPr>
              <w:t>Habilitação de Dirigente</w:t>
            </w:r>
          </w:p>
        </w:tc>
        <w:tc>
          <w:tcPr>
            <w:tcW w:w="4074" w:type="dxa"/>
          </w:tcPr>
          <w:p w14:paraId="3D34F652" w14:textId="77777777" w:rsidR="00716A03" w:rsidRPr="00D462F0" w:rsidRDefault="00716A03" w:rsidP="00D462F0">
            <w:pPr>
              <w:jc w:val="both"/>
              <w:rPr>
                <w:rFonts w:asciiTheme="majorHAnsi" w:hAnsiTheme="majorHAnsi" w:cstheme="majorHAnsi"/>
                <w:sz w:val="24"/>
                <w:szCs w:val="24"/>
              </w:rPr>
            </w:pPr>
          </w:p>
        </w:tc>
        <w:tc>
          <w:tcPr>
            <w:tcW w:w="4075" w:type="dxa"/>
          </w:tcPr>
          <w:p w14:paraId="33DA8646" w14:textId="77777777" w:rsidR="00716A03" w:rsidRPr="00D462F0" w:rsidRDefault="00716A03" w:rsidP="00D462F0">
            <w:pPr>
              <w:jc w:val="both"/>
              <w:rPr>
                <w:rFonts w:asciiTheme="majorHAnsi" w:hAnsiTheme="majorHAnsi" w:cstheme="majorHAnsi"/>
                <w:bCs/>
                <w:sz w:val="24"/>
                <w:szCs w:val="24"/>
              </w:rPr>
            </w:pPr>
          </w:p>
        </w:tc>
      </w:tr>
      <w:tr w:rsidR="00716A03" w:rsidRPr="00C93770" w14:paraId="392D2457" w14:textId="77777777" w:rsidTr="1756A420">
        <w:tc>
          <w:tcPr>
            <w:tcW w:w="4074" w:type="dxa"/>
          </w:tcPr>
          <w:p w14:paraId="24E04DA8" w14:textId="5DE63020" w:rsidR="00716A03" w:rsidRPr="00D462F0" w:rsidRDefault="00716A0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4C0FF48E" w14:textId="6400B41B" w:rsidR="00716A03" w:rsidRPr="00D462F0" w:rsidRDefault="00716A03" w:rsidP="0028717C">
            <w:pPr>
              <w:jc w:val="center"/>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w:t>
            </w:r>
          </w:p>
        </w:tc>
        <w:tc>
          <w:tcPr>
            <w:tcW w:w="4074" w:type="dxa"/>
          </w:tcPr>
          <w:p w14:paraId="1B25D337" w14:textId="77777777" w:rsidR="00716A03" w:rsidRPr="00D462F0" w:rsidRDefault="00716A03" w:rsidP="00D462F0">
            <w:pPr>
              <w:jc w:val="both"/>
              <w:rPr>
                <w:rFonts w:asciiTheme="majorHAnsi" w:hAnsiTheme="majorHAnsi" w:cstheme="majorHAnsi"/>
                <w:sz w:val="24"/>
                <w:szCs w:val="24"/>
              </w:rPr>
            </w:pPr>
          </w:p>
        </w:tc>
        <w:tc>
          <w:tcPr>
            <w:tcW w:w="4075" w:type="dxa"/>
          </w:tcPr>
          <w:p w14:paraId="1524A07A" w14:textId="77777777" w:rsidR="00716A03" w:rsidRPr="00D462F0" w:rsidRDefault="00716A03" w:rsidP="00D462F0">
            <w:pPr>
              <w:jc w:val="both"/>
              <w:rPr>
                <w:rFonts w:asciiTheme="majorHAnsi" w:hAnsiTheme="majorHAnsi" w:cstheme="majorHAnsi"/>
                <w:bCs/>
                <w:sz w:val="24"/>
                <w:szCs w:val="24"/>
              </w:rPr>
            </w:pPr>
          </w:p>
        </w:tc>
      </w:tr>
      <w:tr w:rsidR="00A26CD8" w:rsidRPr="00C93770" w14:paraId="7D98450F" w14:textId="77777777" w:rsidTr="1756A420">
        <w:tc>
          <w:tcPr>
            <w:tcW w:w="4074" w:type="dxa"/>
          </w:tcPr>
          <w:p w14:paraId="2354CA73" w14:textId="45D05956"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06E772E6" w14:textId="1E27FAA5"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Art. 27-A</w:t>
            </w:r>
            <w:r w:rsidR="007E378D" w:rsidRPr="00D462F0">
              <w:rPr>
                <w:rFonts w:asciiTheme="majorHAnsi" w:hAnsiTheme="majorHAnsi" w:cstheme="majorHAnsi"/>
                <w:bCs/>
                <w:color w:val="0000FF"/>
                <w:sz w:val="24"/>
                <w:szCs w:val="24"/>
              </w:rPr>
              <w:t>.</w:t>
            </w:r>
            <w:r w:rsidRPr="00D462F0">
              <w:rPr>
                <w:rFonts w:asciiTheme="majorHAnsi" w:hAnsiTheme="majorHAnsi" w:cstheme="majorHAnsi"/>
                <w:bCs/>
                <w:color w:val="0000FF"/>
                <w:sz w:val="24"/>
                <w:szCs w:val="24"/>
              </w:rPr>
              <w:t xml:space="preserve">  Mediante decisão fundamentada da Diretoria Colegiada, integrantes de diretoria-executiva e de conselhos deliberativo e fiscal de quaisquer EFPC, inclusive das que estiverem em processo de encerramento de regime especial, </w:t>
            </w:r>
            <w:r w:rsidRPr="00D462F0">
              <w:rPr>
                <w:rFonts w:asciiTheme="majorHAnsi" w:hAnsiTheme="majorHAnsi" w:cstheme="majorHAnsi"/>
                <w:bCs/>
                <w:color w:val="0000FF"/>
                <w:sz w:val="24"/>
                <w:szCs w:val="24"/>
              </w:rPr>
              <w:lastRenderedPageBreak/>
              <w:t>poderão ser convocados para a entrevista de que trata o art. 27.</w:t>
            </w:r>
          </w:p>
        </w:tc>
        <w:tc>
          <w:tcPr>
            <w:tcW w:w="4074" w:type="dxa"/>
          </w:tcPr>
          <w:p w14:paraId="771A2A38" w14:textId="77777777" w:rsidR="00A26CD8" w:rsidRPr="00D462F0" w:rsidRDefault="00A26CD8" w:rsidP="00D462F0">
            <w:pPr>
              <w:jc w:val="both"/>
              <w:rPr>
                <w:rFonts w:asciiTheme="majorHAnsi" w:hAnsiTheme="majorHAnsi" w:cstheme="majorHAnsi"/>
                <w:b/>
                <w:bCs/>
                <w:sz w:val="24"/>
                <w:szCs w:val="24"/>
                <w:u w:val="single"/>
              </w:rPr>
            </w:pPr>
            <w:r w:rsidRPr="00D462F0">
              <w:rPr>
                <w:rFonts w:asciiTheme="majorHAnsi" w:hAnsiTheme="majorHAnsi" w:cstheme="majorHAnsi"/>
                <w:sz w:val="24"/>
                <w:szCs w:val="24"/>
              </w:rPr>
              <w:lastRenderedPageBreak/>
              <w:t>Inclusão de artigo para permitir entrevistas de quais integrantes, inclusive de EFPC que estiveram encerrando regime especial, a requerimento da Dicol.</w:t>
            </w:r>
          </w:p>
          <w:p w14:paraId="782FA237" w14:textId="6031F1E8" w:rsidR="00A26CD8" w:rsidRPr="00D462F0" w:rsidRDefault="00A26CD8" w:rsidP="00D462F0">
            <w:pPr>
              <w:jc w:val="both"/>
              <w:rPr>
                <w:rFonts w:asciiTheme="majorHAnsi" w:hAnsiTheme="majorHAnsi" w:cstheme="majorHAnsi"/>
                <w:sz w:val="24"/>
                <w:szCs w:val="24"/>
              </w:rPr>
            </w:pPr>
          </w:p>
        </w:tc>
        <w:tc>
          <w:tcPr>
            <w:tcW w:w="4075" w:type="dxa"/>
          </w:tcPr>
          <w:p w14:paraId="2E4BC94B"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 alínea “a”.</w:t>
            </w:r>
          </w:p>
          <w:p w14:paraId="2C76127F" w14:textId="77777777"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Trata-se de artigo que pretende viabilizar a convocação para a entrevista, mediante decisão da DICOL, de integrantes de diretoria-executiva e de conselhos deliberativo e fiscal de quaisquer EFPC. </w:t>
            </w:r>
          </w:p>
          <w:p w14:paraId="48B05A38" w14:textId="77777777"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Tal medida pretende preservar a higidez da entidade assim como de todo o sistema, à medida que permite que sejam analisados os ocupantes de cargos decisórios à frente da EFPC.</w:t>
            </w:r>
          </w:p>
          <w:p w14:paraId="3081E625" w14:textId="77777777" w:rsidR="00A26CD8" w:rsidRPr="00D462F0" w:rsidRDefault="00A26CD8"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Conceitualmente higidez é a condição de uma entidade que demonstra equilíbrio atuarial, sustentabilidade de longo prazo e conformidade regulatória.  Nesse sentido, trata-se de componente da higidez de uma EFPC a gestão prudencial dos recursos expressa na administração segura e eficiente dos ativos financeiros.</w:t>
            </w:r>
          </w:p>
          <w:p w14:paraId="0266DE14" w14:textId="77777777" w:rsidR="00A26CD8" w:rsidRPr="00D462F0" w:rsidRDefault="00A26CD8"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O processo de realização de entrevistas pretende mitigar riscos na administração segura e eficiente dos ativos.</w:t>
            </w:r>
          </w:p>
          <w:p w14:paraId="566F0ED1" w14:textId="3F62676D"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894D86" w:rsidRPr="00C93770" w14:paraId="764FE4EF" w14:textId="77777777" w:rsidTr="1756A420">
        <w:tc>
          <w:tcPr>
            <w:tcW w:w="4074" w:type="dxa"/>
          </w:tcPr>
          <w:p w14:paraId="39A2CF12" w14:textId="1CC3A2CF" w:rsidR="00894D86" w:rsidRPr="00D462F0" w:rsidRDefault="00894D86"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35EEBB1C" w14:textId="766F569B" w:rsidR="00894D86" w:rsidRPr="00D462F0" w:rsidRDefault="00894D86"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28CE549" w14:textId="77777777" w:rsidR="00894D86" w:rsidRPr="00D462F0" w:rsidRDefault="00894D86" w:rsidP="00D462F0">
            <w:pPr>
              <w:jc w:val="both"/>
              <w:rPr>
                <w:rFonts w:asciiTheme="majorHAnsi" w:hAnsiTheme="majorHAnsi" w:cstheme="majorHAnsi"/>
                <w:sz w:val="24"/>
                <w:szCs w:val="24"/>
              </w:rPr>
            </w:pPr>
          </w:p>
        </w:tc>
        <w:tc>
          <w:tcPr>
            <w:tcW w:w="4075" w:type="dxa"/>
          </w:tcPr>
          <w:p w14:paraId="1244D945" w14:textId="77777777" w:rsidR="00894D86" w:rsidRPr="00D462F0" w:rsidRDefault="00894D86" w:rsidP="00D462F0">
            <w:pPr>
              <w:jc w:val="both"/>
              <w:rPr>
                <w:rFonts w:asciiTheme="majorHAnsi" w:hAnsiTheme="majorHAnsi" w:cstheme="majorHAnsi"/>
                <w:bCs/>
                <w:sz w:val="24"/>
                <w:szCs w:val="24"/>
              </w:rPr>
            </w:pPr>
          </w:p>
        </w:tc>
      </w:tr>
      <w:tr w:rsidR="00A26CD8" w:rsidRPr="00C93770" w14:paraId="0E5507E8" w14:textId="77777777" w:rsidTr="1756A420">
        <w:tc>
          <w:tcPr>
            <w:tcW w:w="4074" w:type="dxa"/>
          </w:tcPr>
          <w:p w14:paraId="7C17F0F6" w14:textId="1BC88108"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Sem referência anterior.</w:t>
            </w:r>
          </w:p>
        </w:tc>
        <w:tc>
          <w:tcPr>
            <w:tcW w:w="4074" w:type="dxa"/>
          </w:tcPr>
          <w:p w14:paraId="0BD75735" w14:textId="77777777" w:rsidR="007E378D" w:rsidRPr="00D462F0" w:rsidRDefault="00A26CD8" w:rsidP="004E06F1">
            <w:pPr>
              <w:jc w:val="center"/>
              <w:rPr>
                <w:rFonts w:asciiTheme="majorHAnsi" w:hAnsiTheme="majorHAnsi" w:cstheme="majorHAnsi"/>
                <w:b/>
                <w:bCs/>
                <w:color w:val="0000FF"/>
                <w:sz w:val="24"/>
                <w:szCs w:val="24"/>
              </w:rPr>
            </w:pPr>
            <w:r w:rsidRPr="00D462F0">
              <w:rPr>
                <w:rFonts w:asciiTheme="majorHAnsi" w:hAnsiTheme="majorHAnsi" w:cstheme="majorHAnsi"/>
                <w:b/>
                <w:bCs/>
                <w:color w:val="0000FF"/>
                <w:sz w:val="24"/>
                <w:szCs w:val="24"/>
              </w:rPr>
              <w:t>Seção VIII</w:t>
            </w:r>
          </w:p>
          <w:p w14:paraId="3D840720" w14:textId="4D3DB251" w:rsidR="00A26CD8" w:rsidRPr="00D462F0" w:rsidRDefault="00A26CD8" w:rsidP="004E06F1">
            <w:pPr>
              <w:jc w:val="center"/>
              <w:rPr>
                <w:rFonts w:asciiTheme="majorHAnsi" w:hAnsiTheme="majorHAnsi" w:cstheme="majorHAnsi"/>
                <w:b/>
                <w:bCs/>
                <w:color w:val="0000FF"/>
                <w:sz w:val="24"/>
                <w:szCs w:val="24"/>
              </w:rPr>
            </w:pPr>
            <w:r w:rsidRPr="00D462F0">
              <w:rPr>
                <w:rFonts w:asciiTheme="majorHAnsi" w:hAnsiTheme="majorHAnsi" w:cstheme="majorHAnsi"/>
                <w:b/>
                <w:bCs/>
                <w:color w:val="0000FF"/>
                <w:sz w:val="24"/>
                <w:szCs w:val="24"/>
              </w:rPr>
              <w:t>Comunicação Assertiva e Atendimento Acolhedor e Resolutivo aos Participantes</w:t>
            </w:r>
          </w:p>
        </w:tc>
        <w:tc>
          <w:tcPr>
            <w:tcW w:w="4074" w:type="dxa"/>
          </w:tcPr>
          <w:p w14:paraId="0D1236E9" w14:textId="77777777" w:rsidR="00A26CD8" w:rsidRPr="00D462F0" w:rsidRDefault="00A26CD8" w:rsidP="00D462F0">
            <w:pPr>
              <w:jc w:val="both"/>
              <w:rPr>
                <w:rFonts w:asciiTheme="majorHAnsi" w:hAnsiTheme="majorHAnsi" w:cstheme="majorHAnsi"/>
                <w:sz w:val="24"/>
                <w:szCs w:val="24"/>
              </w:rPr>
            </w:pPr>
          </w:p>
        </w:tc>
        <w:tc>
          <w:tcPr>
            <w:tcW w:w="4075" w:type="dxa"/>
          </w:tcPr>
          <w:p w14:paraId="0ED14BC9" w14:textId="77777777" w:rsidR="00A26CD8" w:rsidRPr="00D462F0" w:rsidRDefault="00A26CD8" w:rsidP="00D462F0">
            <w:pPr>
              <w:jc w:val="both"/>
              <w:rPr>
                <w:rFonts w:asciiTheme="majorHAnsi" w:hAnsiTheme="majorHAnsi" w:cstheme="majorHAnsi"/>
                <w:bCs/>
                <w:sz w:val="24"/>
                <w:szCs w:val="24"/>
              </w:rPr>
            </w:pPr>
          </w:p>
        </w:tc>
      </w:tr>
      <w:tr w:rsidR="00A26CD8" w:rsidRPr="00C93770" w14:paraId="72D55024" w14:textId="77777777" w:rsidTr="1756A420">
        <w:tc>
          <w:tcPr>
            <w:tcW w:w="4074" w:type="dxa"/>
          </w:tcPr>
          <w:p w14:paraId="38943DDD" w14:textId="77777777" w:rsidR="00A26CD8" w:rsidRPr="00D462F0" w:rsidRDefault="00A26CD8" w:rsidP="00D462F0">
            <w:pPr>
              <w:jc w:val="both"/>
              <w:rPr>
                <w:rFonts w:asciiTheme="majorHAnsi" w:hAnsiTheme="majorHAnsi" w:cstheme="majorHAnsi"/>
                <w:color w:val="000000"/>
                <w:sz w:val="24"/>
                <w:szCs w:val="24"/>
              </w:rPr>
            </w:pPr>
          </w:p>
          <w:p w14:paraId="6300E7BF" w14:textId="73E773E3"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34C769EC" w14:textId="43D1B7D6"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Art. 46-A. </w:t>
            </w:r>
            <w:r w:rsidR="007E378D"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Nos termos do parágrafo único do art. 2º e do art. 17 da Resolução CNPC nº 32, de 2019, as EFPC devem ter uma política de comunicação assertivas e atendimento acolhedor e resolutivo com os participantes, assistidos, patrocinadores e instituidores, observados os seguintes critérios:</w:t>
            </w:r>
          </w:p>
        </w:tc>
        <w:tc>
          <w:tcPr>
            <w:tcW w:w="4074" w:type="dxa"/>
          </w:tcPr>
          <w:p w14:paraId="30E992D3"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Definição de uma política de comunicação assertivas e atendimento acolhedor e resolutivo aos participantes para as EFPC e recomendação de Ouvidoria nas EFPC com classificação de S1.</w:t>
            </w:r>
          </w:p>
          <w:p w14:paraId="61374CE9" w14:textId="2268FE1E" w:rsidR="00A26CD8" w:rsidRPr="00D462F0" w:rsidRDefault="00A26CD8" w:rsidP="00D462F0">
            <w:pPr>
              <w:jc w:val="both"/>
              <w:rPr>
                <w:rFonts w:asciiTheme="majorHAnsi" w:hAnsiTheme="majorHAnsi" w:cstheme="majorHAnsi"/>
                <w:sz w:val="24"/>
                <w:szCs w:val="24"/>
              </w:rPr>
            </w:pPr>
          </w:p>
        </w:tc>
        <w:tc>
          <w:tcPr>
            <w:tcW w:w="4075" w:type="dxa"/>
          </w:tcPr>
          <w:p w14:paraId="1A197246"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II.</w:t>
            </w:r>
          </w:p>
          <w:p w14:paraId="5D41A625"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alteração em questão trata de diretriz regulamentada em norma superior, a Resolução CNPC nº 32, de 2019. </w:t>
            </w:r>
          </w:p>
          <w:p w14:paraId="3A8FB48E"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artigo 2º da Resolução CNPC nº 32, de 2019, objetiva aprimorar a comunicação e a transparência das EFPC em relação aos participantes e assistidos, fornecendo informações </w:t>
            </w:r>
            <w:r w:rsidRPr="00D462F0">
              <w:rPr>
                <w:rFonts w:asciiTheme="majorHAnsi" w:hAnsiTheme="majorHAnsi" w:cstheme="majorHAnsi"/>
                <w:bCs/>
                <w:sz w:val="24"/>
                <w:szCs w:val="24"/>
              </w:rPr>
              <w:lastRenderedPageBreak/>
              <w:t>relevantes sobre seus planos de benefícios.</w:t>
            </w:r>
          </w:p>
          <w:p w14:paraId="360E80A1" w14:textId="4A3452CB"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art. 17 da Resolução CNPC nº 32, de 2019, por sua vez, autoriza o órgão fiscalizador (Previc) a editar instruções complementares necessárias para a execução da resolução. </w:t>
            </w:r>
          </w:p>
          <w:p w14:paraId="6569808B"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tratar o referido artigo da definição de uma política de comunicação e atendimento aos participantes para as EFPC, e da constituição de uma unidade de Ouvidoria nas EFPC com classificação de S1, essa em caráter de recomendação; o artigo em questão se enquadra na dispensa de AIR em função do art. 4º, inciso II, do Decreto nº 10.411, de 2020, por se tratar de “ato</w:t>
            </w:r>
            <w:r w:rsidRPr="00D462F0">
              <w:rPr>
                <w:rFonts w:asciiTheme="majorHAnsi" w:hAnsiTheme="majorHAnsi" w:cstheme="majorHAnsi"/>
                <w:bCs/>
                <w:i/>
                <w:iCs/>
                <w:sz w:val="24"/>
                <w:szCs w:val="24"/>
              </w:rPr>
              <w:t xml:space="preserve"> normativo destinado a disciplinar direitos ou obrigações definidos em norma hierarquicamente superior que não permita, técnica ou juridicamente, diferentes alternativas regulatórias”.  </w:t>
            </w:r>
          </w:p>
          <w:p w14:paraId="218E801B" w14:textId="2E3F4B40" w:rsidR="00A26CD8" w:rsidRPr="00D462F0" w:rsidRDefault="00A26CD8" w:rsidP="00D462F0">
            <w:pPr>
              <w:jc w:val="both"/>
              <w:rPr>
                <w:rFonts w:asciiTheme="majorHAnsi" w:hAnsiTheme="majorHAnsi" w:cstheme="majorHAnsi"/>
                <w:bCs/>
                <w:sz w:val="24"/>
                <w:szCs w:val="24"/>
              </w:rPr>
            </w:pPr>
          </w:p>
        </w:tc>
      </w:tr>
      <w:tr w:rsidR="00A26CD8" w:rsidRPr="00C93770" w14:paraId="3F16B504" w14:textId="77777777" w:rsidTr="1756A420">
        <w:tc>
          <w:tcPr>
            <w:tcW w:w="4074" w:type="dxa"/>
          </w:tcPr>
          <w:p w14:paraId="73532114" w14:textId="4841C13F"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60A5C20C" w14:textId="77777777"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I - adoção de linguagem simples, acessível, humanizada, com solução tempestiva das demandas dos participantes e assistidos;</w:t>
            </w:r>
          </w:p>
          <w:p w14:paraId="5728F114" w14:textId="619204CB" w:rsidR="00A26CD8" w:rsidRPr="00D462F0" w:rsidRDefault="00A26CD8" w:rsidP="00D462F0">
            <w:pPr>
              <w:jc w:val="both"/>
              <w:rPr>
                <w:rFonts w:asciiTheme="majorHAnsi" w:hAnsiTheme="majorHAnsi" w:cstheme="majorHAnsi"/>
                <w:bCs/>
                <w:color w:val="000000"/>
                <w:sz w:val="24"/>
                <w:szCs w:val="24"/>
              </w:rPr>
            </w:pPr>
          </w:p>
        </w:tc>
        <w:tc>
          <w:tcPr>
            <w:tcW w:w="4074" w:type="dxa"/>
          </w:tcPr>
          <w:p w14:paraId="2820224F" w14:textId="77777777" w:rsidR="00A26CD8" w:rsidRPr="00D462F0" w:rsidRDefault="00A26CD8" w:rsidP="00D462F0">
            <w:pPr>
              <w:jc w:val="both"/>
              <w:rPr>
                <w:rFonts w:asciiTheme="majorHAnsi" w:hAnsiTheme="majorHAnsi" w:cstheme="majorHAnsi"/>
                <w:sz w:val="24"/>
                <w:szCs w:val="24"/>
              </w:rPr>
            </w:pPr>
          </w:p>
          <w:p w14:paraId="60424FA9"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Definição de uma política de comunicação assertivas e atendimento acolhedor e resolutivo aos participantes para as EFPC e recomendação de Ouvidoria nas EFPC com classificação de S1.</w:t>
            </w:r>
          </w:p>
          <w:p w14:paraId="58B56CFF" w14:textId="0D390A06" w:rsidR="00A26CD8" w:rsidRPr="00D462F0" w:rsidRDefault="00A26CD8" w:rsidP="00D462F0">
            <w:pPr>
              <w:jc w:val="both"/>
              <w:rPr>
                <w:rFonts w:asciiTheme="majorHAnsi" w:hAnsiTheme="majorHAnsi" w:cstheme="majorHAnsi"/>
                <w:sz w:val="24"/>
                <w:szCs w:val="24"/>
              </w:rPr>
            </w:pPr>
          </w:p>
        </w:tc>
        <w:tc>
          <w:tcPr>
            <w:tcW w:w="4075" w:type="dxa"/>
          </w:tcPr>
          <w:p w14:paraId="6F45DED9"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II.</w:t>
            </w:r>
          </w:p>
          <w:p w14:paraId="66831A19"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alteração em questão trata de diretriz regulamentada em norma superior, a Resolução CNPC nº 32, de 2019. </w:t>
            </w:r>
          </w:p>
          <w:p w14:paraId="4E8D273E"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O artigo 2º da Resolução CNPC nº 32, de 2019, objetiva aprimorar a comunicação e a transparência das EFPC em relação aos participantes e assistidos, fornecendo informações relevantes sobre seus planos de benefícios.</w:t>
            </w:r>
          </w:p>
          <w:p w14:paraId="18276086"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art. 17 da Resolução CNPC nº 32, de 2019, por sua vez, autoriza o órgão </w:t>
            </w:r>
            <w:r w:rsidRPr="00D462F0">
              <w:rPr>
                <w:rFonts w:asciiTheme="majorHAnsi" w:hAnsiTheme="majorHAnsi" w:cstheme="majorHAnsi"/>
                <w:bCs/>
                <w:sz w:val="24"/>
                <w:szCs w:val="24"/>
              </w:rPr>
              <w:lastRenderedPageBreak/>
              <w:t xml:space="preserve">fiscalizador (Previc) a editar instruções complementares necessárias para a execução da resolução. </w:t>
            </w:r>
          </w:p>
          <w:p w14:paraId="39AEB6D8"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tratar o referido artigo da definição de uma política de comunicação e atendimento aos participantes para as EFPC, e da constituição de uma unidade de Ouvidoria nas EFPC com classificação de S1, essa em caráter de recomendação; o artigo em questão se enquadra na dispensa de AIR em função do art. 4º, inciso II, do Decreto nº 10.411, de 2020, por se tratar de “ato</w:t>
            </w:r>
            <w:r w:rsidRPr="00D462F0">
              <w:rPr>
                <w:rFonts w:asciiTheme="majorHAnsi" w:hAnsiTheme="majorHAnsi" w:cstheme="majorHAnsi"/>
                <w:bCs/>
                <w:i/>
                <w:iCs/>
                <w:sz w:val="24"/>
                <w:szCs w:val="24"/>
              </w:rPr>
              <w:t xml:space="preserve"> normativo destinado a disciplinar direitos ou obrigações definidos em norma hierarquicamente superior que não permita, técnica ou juridicamente, diferentes alternativas regulatórias”.  </w:t>
            </w:r>
          </w:p>
          <w:p w14:paraId="43235F95" w14:textId="77777777" w:rsidR="00A26CD8" w:rsidRPr="00D462F0" w:rsidRDefault="00A26CD8" w:rsidP="00D462F0">
            <w:pPr>
              <w:jc w:val="both"/>
              <w:rPr>
                <w:rFonts w:asciiTheme="majorHAnsi" w:hAnsiTheme="majorHAnsi" w:cstheme="majorHAnsi"/>
                <w:bCs/>
                <w:sz w:val="24"/>
                <w:szCs w:val="24"/>
              </w:rPr>
            </w:pPr>
          </w:p>
        </w:tc>
      </w:tr>
      <w:tr w:rsidR="00A26CD8" w:rsidRPr="00C93770" w14:paraId="18EBF6F7" w14:textId="77777777" w:rsidTr="1756A420">
        <w:tc>
          <w:tcPr>
            <w:tcW w:w="4074" w:type="dxa"/>
          </w:tcPr>
          <w:p w14:paraId="28F4ABE9" w14:textId="76A787F6"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p w14:paraId="7576079E" w14:textId="4D73BFE4"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ab/>
            </w:r>
          </w:p>
        </w:tc>
        <w:tc>
          <w:tcPr>
            <w:tcW w:w="4074" w:type="dxa"/>
          </w:tcPr>
          <w:p w14:paraId="4C0F38AD" w14:textId="666FE3FC"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II - zelo pela imagem institucional e pela reputação da EFPC; e</w:t>
            </w:r>
            <w:r w:rsidR="007E378D"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como sujeitos de direitos.</w:t>
            </w:r>
          </w:p>
        </w:tc>
        <w:tc>
          <w:tcPr>
            <w:tcW w:w="4074" w:type="dxa"/>
          </w:tcPr>
          <w:p w14:paraId="1FB584A3"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Definição de uma política de </w:t>
            </w:r>
            <w:r w:rsidRPr="00D462F0">
              <w:rPr>
                <w:rFonts w:asciiTheme="majorHAnsi" w:hAnsiTheme="majorHAnsi" w:cstheme="majorHAnsi"/>
                <w:b/>
                <w:sz w:val="24"/>
                <w:szCs w:val="24"/>
              </w:rPr>
              <w:t>comunicação assertivas e atendimento acolhedor e resolutivo</w:t>
            </w:r>
            <w:r w:rsidRPr="00D462F0">
              <w:rPr>
                <w:rFonts w:asciiTheme="majorHAnsi" w:hAnsiTheme="majorHAnsi" w:cstheme="majorHAnsi"/>
                <w:sz w:val="24"/>
                <w:szCs w:val="24"/>
              </w:rPr>
              <w:t xml:space="preserve"> aos participantes para as EFPC e recomendação de Ouvidoria nas EFPC com classificação de S1.</w:t>
            </w:r>
          </w:p>
          <w:p w14:paraId="7EFE1D7C" w14:textId="555457B4" w:rsidR="00A26CD8" w:rsidRPr="00D462F0" w:rsidRDefault="00A26CD8" w:rsidP="00D462F0">
            <w:pPr>
              <w:jc w:val="both"/>
              <w:rPr>
                <w:rFonts w:asciiTheme="majorHAnsi" w:hAnsiTheme="majorHAnsi" w:cstheme="majorHAnsi"/>
                <w:sz w:val="24"/>
                <w:szCs w:val="24"/>
              </w:rPr>
            </w:pPr>
          </w:p>
        </w:tc>
        <w:tc>
          <w:tcPr>
            <w:tcW w:w="4075" w:type="dxa"/>
          </w:tcPr>
          <w:p w14:paraId="4D4EF001" w14:textId="18D30872" w:rsidR="00A26CD8" w:rsidRPr="00D462F0" w:rsidRDefault="00A26CD8" w:rsidP="00D462F0">
            <w:pPr>
              <w:jc w:val="both"/>
              <w:rPr>
                <w:rFonts w:asciiTheme="majorHAnsi" w:hAnsiTheme="majorHAnsi" w:cstheme="majorHAnsi"/>
                <w:bCs/>
                <w:i/>
                <w:iCs/>
                <w:sz w:val="24"/>
                <w:szCs w:val="24"/>
              </w:rPr>
            </w:pPr>
            <w:r w:rsidRPr="00D462F0">
              <w:rPr>
                <w:rFonts w:asciiTheme="majorHAnsi" w:hAnsiTheme="majorHAnsi" w:cstheme="majorHAnsi"/>
                <w:bCs/>
                <w:sz w:val="24"/>
                <w:szCs w:val="24"/>
              </w:rPr>
              <w:t>Decreto nº 10.411, de 2020, art. 4º, inciso II.</w:t>
            </w:r>
          </w:p>
          <w:p w14:paraId="75BE19AD" w14:textId="77777777" w:rsidR="00A26CD8" w:rsidRPr="00D462F0" w:rsidRDefault="00A26CD8" w:rsidP="00D462F0">
            <w:pPr>
              <w:jc w:val="both"/>
              <w:rPr>
                <w:rFonts w:asciiTheme="majorHAnsi" w:hAnsiTheme="majorHAnsi" w:cstheme="majorHAnsi"/>
                <w:bCs/>
                <w:sz w:val="24"/>
                <w:szCs w:val="24"/>
              </w:rPr>
            </w:pPr>
          </w:p>
        </w:tc>
      </w:tr>
      <w:tr w:rsidR="00A26CD8" w:rsidRPr="00C93770" w14:paraId="1EB39042" w14:textId="77777777" w:rsidTr="1756A420">
        <w:tc>
          <w:tcPr>
            <w:tcW w:w="4074" w:type="dxa"/>
          </w:tcPr>
          <w:p w14:paraId="2F6E119C" w14:textId="3CB0A9BA"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2CA66A23" w14:textId="6D8A379A"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III – utilização de canais de atendimento multimídias (voz, eletrônico, digital, presencial, </w:t>
            </w:r>
            <w:proofErr w:type="spellStart"/>
            <w:r w:rsidRPr="00D462F0">
              <w:rPr>
                <w:rFonts w:asciiTheme="majorHAnsi" w:hAnsiTheme="majorHAnsi" w:cstheme="majorHAnsi"/>
                <w:bCs/>
                <w:i/>
                <w:iCs/>
                <w:color w:val="0000FF"/>
                <w:sz w:val="24"/>
                <w:szCs w:val="24"/>
              </w:rPr>
              <w:t>chatbox</w:t>
            </w:r>
            <w:proofErr w:type="spellEnd"/>
            <w:r w:rsidRPr="00D462F0">
              <w:rPr>
                <w:rFonts w:asciiTheme="majorHAnsi" w:hAnsiTheme="majorHAnsi" w:cstheme="majorHAnsi"/>
                <w:bCs/>
                <w:color w:val="0000FF"/>
                <w:sz w:val="24"/>
                <w:szCs w:val="24"/>
              </w:rPr>
              <w:t>), observado o perfil (etário, renda) e a localização dos participantes e assistidos, escalonado por nível de respostas, com sistema de registro e identificação, no prazo máximo de trinta dias, conforme art. 10 da Resolução CNPC nº 32, de 2019.</w:t>
            </w:r>
          </w:p>
        </w:tc>
        <w:tc>
          <w:tcPr>
            <w:tcW w:w="4074" w:type="dxa"/>
          </w:tcPr>
          <w:p w14:paraId="1064A7D9"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Definição de uma política de comunicação assertivas e atendimento acolhedor e resolutivo aos participantes para as EFPC e recomendação de Ouvidoria nas EFPC com classificação de S1.</w:t>
            </w:r>
          </w:p>
          <w:p w14:paraId="074279BD" w14:textId="694ED595" w:rsidR="00A26CD8" w:rsidRPr="00D462F0" w:rsidRDefault="00A26CD8" w:rsidP="00D462F0">
            <w:pPr>
              <w:jc w:val="both"/>
              <w:rPr>
                <w:rFonts w:asciiTheme="majorHAnsi" w:hAnsiTheme="majorHAnsi" w:cstheme="majorHAnsi"/>
                <w:sz w:val="24"/>
                <w:szCs w:val="24"/>
              </w:rPr>
            </w:pPr>
          </w:p>
        </w:tc>
        <w:tc>
          <w:tcPr>
            <w:tcW w:w="4075" w:type="dxa"/>
          </w:tcPr>
          <w:p w14:paraId="04C3C103" w14:textId="77777777" w:rsidR="00A26CD8" w:rsidRPr="00D462F0" w:rsidRDefault="00A26CD8" w:rsidP="00D462F0">
            <w:pPr>
              <w:jc w:val="both"/>
              <w:rPr>
                <w:rFonts w:asciiTheme="majorHAnsi" w:hAnsiTheme="majorHAnsi" w:cstheme="majorHAnsi"/>
                <w:bCs/>
                <w:i/>
                <w:iCs/>
                <w:sz w:val="24"/>
                <w:szCs w:val="24"/>
              </w:rPr>
            </w:pPr>
            <w:r w:rsidRPr="00D462F0">
              <w:rPr>
                <w:rFonts w:asciiTheme="majorHAnsi" w:hAnsiTheme="majorHAnsi" w:cstheme="majorHAnsi"/>
                <w:bCs/>
                <w:sz w:val="24"/>
                <w:szCs w:val="24"/>
              </w:rPr>
              <w:t>Decreto nº 10.411, de 2020, art. 4º, inciso II.</w:t>
            </w:r>
          </w:p>
          <w:p w14:paraId="1C4503E8" w14:textId="77777777" w:rsidR="00A26CD8" w:rsidRPr="00D462F0" w:rsidRDefault="00A26CD8" w:rsidP="00D462F0">
            <w:pPr>
              <w:jc w:val="both"/>
              <w:rPr>
                <w:rFonts w:asciiTheme="majorHAnsi" w:hAnsiTheme="majorHAnsi" w:cstheme="majorHAnsi"/>
                <w:bCs/>
                <w:sz w:val="24"/>
                <w:szCs w:val="24"/>
              </w:rPr>
            </w:pPr>
          </w:p>
        </w:tc>
      </w:tr>
      <w:tr w:rsidR="00A26CD8" w:rsidRPr="00C93770" w14:paraId="171D8FEC" w14:textId="77777777" w:rsidTr="1756A420">
        <w:tc>
          <w:tcPr>
            <w:tcW w:w="4074" w:type="dxa"/>
          </w:tcPr>
          <w:p w14:paraId="25CBA485" w14:textId="54B3D239"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p w14:paraId="170DA1AF" w14:textId="1073503F"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ab/>
            </w:r>
          </w:p>
        </w:tc>
        <w:tc>
          <w:tcPr>
            <w:tcW w:w="4074" w:type="dxa"/>
          </w:tcPr>
          <w:p w14:paraId="0100639C" w14:textId="0F14FFE2"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 1º  As EFPC do segmento S1 e S2 devem designar um diretor responsável </w:t>
            </w:r>
            <w:r w:rsidRPr="00D462F0">
              <w:rPr>
                <w:rFonts w:asciiTheme="majorHAnsi" w:hAnsiTheme="majorHAnsi" w:cstheme="majorHAnsi"/>
                <w:bCs/>
                <w:color w:val="0000FF"/>
                <w:sz w:val="24"/>
                <w:szCs w:val="24"/>
              </w:rPr>
              <w:lastRenderedPageBreak/>
              <w:t>pela comunicação assertivas e atendimento acolhedor e resolutivo aos participantes e assistidos.</w:t>
            </w:r>
          </w:p>
        </w:tc>
        <w:tc>
          <w:tcPr>
            <w:tcW w:w="4074" w:type="dxa"/>
          </w:tcPr>
          <w:p w14:paraId="06FA1185" w14:textId="6A83EEDA"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Definição de uma política de comunicação assertivas e atendimento </w:t>
            </w:r>
            <w:r w:rsidRPr="00D462F0">
              <w:rPr>
                <w:rFonts w:asciiTheme="majorHAnsi" w:hAnsiTheme="majorHAnsi" w:cstheme="majorHAnsi"/>
                <w:sz w:val="24"/>
                <w:szCs w:val="24"/>
              </w:rPr>
              <w:lastRenderedPageBreak/>
              <w:t>acolhedor e resolutivo aos participantes para as EFPC e recomendação de Ouvidoria nas EFPC com classificação de S1.</w:t>
            </w:r>
          </w:p>
        </w:tc>
        <w:tc>
          <w:tcPr>
            <w:tcW w:w="4075" w:type="dxa"/>
          </w:tcPr>
          <w:p w14:paraId="64D038A0" w14:textId="77777777" w:rsidR="00A26CD8" w:rsidRPr="00D462F0" w:rsidRDefault="00A26CD8" w:rsidP="00D462F0">
            <w:pPr>
              <w:jc w:val="both"/>
              <w:rPr>
                <w:rFonts w:asciiTheme="majorHAnsi" w:hAnsiTheme="majorHAnsi" w:cstheme="majorHAnsi"/>
                <w:bCs/>
                <w:i/>
                <w:iCs/>
                <w:sz w:val="24"/>
                <w:szCs w:val="24"/>
              </w:rPr>
            </w:pPr>
            <w:r w:rsidRPr="00D462F0">
              <w:rPr>
                <w:rFonts w:asciiTheme="majorHAnsi" w:hAnsiTheme="majorHAnsi" w:cstheme="majorHAnsi"/>
                <w:bCs/>
                <w:sz w:val="24"/>
                <w:szCs w:val="24"/>
              </w:rPr>
              <w:lastRenderedPageBreak/>
              <w:t>Decreto nº 10.411, de 2020, art. 4º, inciso II.</w:t>
            </w:r>
          </w:p>
          <w:p w14:paraId="427ED77C" w14:textId="77777777" w:rsidR="00A26CD8" w:rsidRPr="00D462F0" w:rsidRDefault="00A26CD8" w:rsidP="00D462F0">
            <w:pPr>
              <w:jc w:val="both"/>
              <w:rPr>
                <w:rFonts w:asciiTheme="majorHAnsi" w:hAnsiTheme="majorHAnsi" w:cstheme="majorHAnsi"/>
                <w:bCs/>
                <w:sz w:val="24"/>
                <w:szCs w:val="24"/>
              </w:rPr>
            </w:pPr>
          </w:p>
        </w:tc>
      </w:tr>
      <w:tr w:rsidR="00A26CD8" w:rsidRPr="00C93770" w14:paraId="343A9471" w14:textId="77777777" w:rsidTr="1756A420">
        <w:tc>
          <w:tcPr>
            <w:tcW w:w="4074" w:type="dxa"/>
          </w:tcPr>
          <w:p w14:paraId="3E014630" w14:textId="2B1A32A5"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51EE8018" w14:textId="33A939C0"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2º  Às EFPC do segmento S1, recomenda-se constituir uma unidade de Ouvidoria, vinculada a alta administração e que desenvolva ações que busquem o reconhecimento e o respeito dos participantes e assistidos como sujeitos de direitos.</w:t>
            </w:r>
          </w:p>
        </w:tc>
        <w:tc>
          <w:tcPr>
            <w:tcW w:w="4074" w:type="dxa"/>
          </w:tcPr>
          <w:p w14:paraId="45B4FEB2" w14:textId="77777777" w:rsidR="00A26CD8" w:rsidRPr="00D462F0" w:rsidRDefault="00A26CD8" w:rsidP="00D462F0">
            <w:pPr>
              <w:jc w:val="both"/>
              <w:rPr>
                <w:rFonts w:asciiTheme="majorHAnsi" w:hAnsiTheme="majorHAnsi" w:cstheme="majorHAnsi"/>
                <w:sz w:val="24"/>
                <w:szCs w:val="24"/>
              </w:rPr>
            </w:pPr>
          </w:p>
        </w:tc>
        <w:tc>
          <w:tcPr>
            <w:tcW w:w="4075" w:type="dxa"/>
          </w:tcPr>
          <w:p w14:paraId="2319363B" w14:textId="77777777" w:rsidR="00A26CD8" w:rsidRPr="00D462F0" w:rsidRDefault="00A26CD8" w:rsidP="00D462F0">
            <w:pPr>
              <w:jc w:val="both"/>
              <w:rPr>
                <w:rFonts w:asciiTheme="majorHAnsi" w:hAnsiTheme="majorHAnsi" w:cstheme="majorHAnsi"/>
                <w:bCs/>
                <w:i/>
                <w:iCs/>
                <w:sz w:val="24"/>
                <w:szCs w:val="24"/>
              </w:rPr>
            </w:pPr>
            <w:r w:rsidRPr="00D462F0">
              <w:rPr>
                <w:rFonts w:asciiTheme="majorHAnsi" w:hAnsiTheme="majorHAnsi" w:cstheme="majorHAnsi"/>
                <w:bCs/>
                <w:sz w:val="24"/>
                <w:szCs w:val="24"/>
              </w:rPr>
              <w:t>Decreto nº 10.411, de 2020, art. 4º, inciso II.</w:t>
            </w:r>
          </w:p>
          <w:p w14:paraId="4B9BD4AB" w14:textId="77777777" w:rsidR="00A26CD8" w:rsidRPr="00D462F0" w:rsidRDefault="00A26CD8" w:rsidP="00D462F0">
            <w:pPr>
              <w:jc w:val="both"/>
              <w:rPr>
                <w:rFonts w:asciiTheme="majorHAnsi" w:hAnsiTheme="majorHAnsi" w:cstheme="majorHAnsi"/>
                <w:bCs/>
                <w:sz w:val="24"/>
                <w:szCs w:val="24"/>
              </w:rPr>
            </w:pPr>
          </w:p>
        </w:tc>
      </w:tr>
      <w:tr w:rsidR="00162A71" w:rsidRPr="00C93770" w14:paraId="36FFDE8E" w14:textId="77777777" w:rsidTr="1756A420">
        <w:tc>
          <w:tcPr>
            <w:tcW w:w="4074" w:type="dxa"/>
          </w:tcPr>
          <w:p w14:paraId="7CF6F867" w14:textId="23434998" w:rsidR="00162A71" w:rsidRPr="00D462F0" w:rsidRDefault="00162A71"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9A48380" w14:textId="46520BA9" w:rsidR="00162A71" w:rsidRPr="00D462F0" w:rsidRDefault="00162A71"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2755978C" w14:textId="77777777" w:rsidR="00162A71" w:rsidRPr="00D462F0" w:rsidRDefault="00162A71" w:rsidP="00D462F0">
            <w:pPr>
              <w:jc w:val="both"/>
              <w:rPr>
                <w:rFonts w:asciiTheme="majorHAnsi" w:hAnsiTheme="majorHAnsi" w:cstheme="majorHAnsi"/>
                <w:sz w:val="24"/>
                <w:szCs w:val="24"/>
              </w:rPr>
            </w:pPr>
          </w:p>
        </w:tc>
        <w:tc>
          <w:tcPr>
            <w:tcW w:w="4075" w:type="dxa"/>
          </w:tcPr>
          <w:p w14:paraId="19A3ABBB" w14:textId="77777777" w:rsidR="00162A71" w:rsidRPr="00D462F0" w:rsidRDefault="00162A71" w:rsidP="00D462F0">
            <w:pPr>
              <w:jc w:val="both"/>
              <w:rPr>
                <w:rFonts w:asciiTheme="majorHAnsi" w:hAnsiTheme="majorHAnsi" w:cstheme="majorHAnsi"/>
                <w:bCs/>
                <w:sz w:val="24"/>
                <w:szCs w:val="24"/>
              </w:rPr>
            </w:pPr>
          </w:p>
        </w:tc>
      </w:tr>
      <w:tr w:rsidR="00162A71" w:rsidRPr="00C93770" w14:paraId="0CD6819A" w14:textId="77777777" w:rsidTr="00D462F0">
        <w:trPr>
          <w:trHeight w:val="695"/>
        </w:trPr>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6E89B" w14:textId="77777777" w:rsidR="00162A71" w:rsidRPr="00D462F0" w:rsidRDefault="00AB569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CAPÍTULO IV</w:t>
            </w:r>
          </w:p>
          <w:p w14:paraId="78F447BB" w14:textId="05DCE6FB" w:rsidR="00AB5693" w:rsidRPr="00D462F0" w:rsidRDefault="00AB569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DOS PROCEDIMENTOS DE LICENCIAMENTO</w:t>
            </w:r>
          </w:p>
        </w:tc>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CA1D0" w14:textId="77777777" w:rsidR="00AB5693" w:rsidRPr="00D462F0" w:rsidRDefault="00AB569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CAPÍTULO IV</w:t>
            </w:r>
          </w:p>
          <w:p w14:paraId="4E70D435" w14:textId="5AD87C42" w:rsidR="00162A71" w:rsidRPr="00D462F0" w:rsidRDefault="00AB5693" w:rsidP="0028717C">
            <w:pPr>
              <w:jc w:val="center"/>
              <w:rPr>
                <w:rFonts w:asciiTheme="majorHAnsi" w:hAnsiTheme="majorHAnsi" w:cstheme="majorHAnsi"/>
                <w:bCs/>
                <w:color w:val="000000"/>
                <w:sz w:val="24"/>
                <w:szCs w:val="24"/>
              </w:rPr>
            </w:pPr>
            <w:r w:rsidRPr="00D462F0">
              <w:rPr>
                <w:rFonts w:asciiTheme="majorHAnsi" w:hAnsiTheme="majorHAnsi" w:cstheme="majorHAnsi"/>
                <w:color w:val="000000"/>
                <w:sz w:val="24"/>
                <w:szCs w:val="24"/>
              </w:rPr>
              <w:t>DOS PROCEDIMENTOS DE LICENCIAMENTO</w:t>
            </w:r>
          </w:p>
        </w:tc>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9D815" w14:textId="77777777" w:rsidR="00162A71" w:rsidRPr="00D462F0" w:rsidRDefault="00162A71" w:rsidP="00D462F0">
            <w:pPr>
              <w:jc w:val="both"/>
              <w:rPr>
                <w:rFonts w:asciiTheme="majorHAnsi" w:hAnsiTheme="majorHAnsi" w:cstheme="majorHAnsi"/>
                <w:sz w:val="24"/>
                <w:szCs w:val="24"/>
              </w:rPr>
            </w:pPr>
          </w:p>
        </w:tc>
        <w:tc>
          <w:tcPr>
            <w:tcW w:w="40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38DE0" w14:textId="77777777" w:rsidR="00162A71" w:rsidRPr="00D462F0" w:rsidRDefault="00162A71" w:rsidP="00D462F0">
            <w:pPr>
              <w:jc w:val="both"/>
              <w:rPr>
                <w:rFonts w:asciiTheme="majorHAnsi" w:hAnsiTheme="majorHAnsi" w:cstheme="majorHAnsi"/>
                <w:bCs/>
                <w:sz w:val="24"/>
                <w:szCs w:val="24"/>
              </w:rPr>
            </w:pPr>
          </w:p>
        </w:tc>
      </w:tr>
      <w:tr w:rsidR="00162A71" w:rsidRPr="00C93770" w14:paraId="60CA36DD" w14:textId="77777777" w:rsidTr="1756A420">
        <w:tc>
          <w:tcPr>
            <w:tcW w:w="4074" w:type="dxa"/>
          </w:tcPr>
          <w:p w14:paraId="77CFDDE4" w14:textId="0A24654B" w:rsidR="00162A71" w:rsidRPr="00D462F0" w:rsidRDefault="00AB569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7C806D22" w14:textId="35A59E2D" w:rsidR="00162A71" w:rsidRPr="00D462F0" w:rsidRDefault="00EA698E" w:rsidP="0028717C">
            <w:pPr>
              <w:jc w:val="center"/>
              <w:rPr>
                <w:rFonts w:asciiTheme="majorHAnsi" w:hAnsiTheme="majorHAnsi" w:cstheme="majorHAnsi"/>
                <w:bCs/>
                <w:color w:val="000000"/>
                <w:sz w:val="24"/>
                <w:szCs w:val="24"/>
              </w:rPr>
            </w:pPr>
            <w:r>
              <w:rPr>
                <w:rFonts w:asciiTheme="majorHAnsi" w:hAnsiTheme="majorHAnsi" w:cstheme="majorHAnsi"/>
                <w:bCs/>
                <w:color w:val="000000"/>
                <w:sz w:val="24"/>
                <w:szCs w:val="24"/>
              </w:rPr>
              <w:t>...</w:t>
            </w:r>
          </w:p>
        </w:tc>
        <w:tc>
          <w:tcPr>
            <w:tcW w:w="4074" w:type="dxa"/>
          </w:tcPr>
          <w:p w14:paraId="65E7B48D" w14:textId="77777777" w:rsidR="00162A71" w:rsidRPr="00D462F0" w:rsidRDefault="00162A71" w:rsidP="00D462F0">
            <w:pPr>
              <w:jc w:val="both"/>
              <w:rPr>
                <w:rFonts w:asciiTheme="majorHAnsi" w:hAnsiTheme="majorHAnsi" w:cstheme="majorHAnsi"/>
                <w:sz w:val="24"/>
                <w:szCs w:val="24"/>
              </w:rPr>
            </w:pPr>
          </w:p>
        </w:tc>
        <w:tc>
          <w:tcPr>
            <w:tcW w:w="4075" w:type="dxa"/>
          </w:tcPr>
          <w:p w14:paraId="0506612A" w14:textId="77777777" w:rsidR="00162A71" w:rsidRPr="00D462F0" w:rsidRDefault="00162A71" w:rsidP="00D462F0">
            <w:pPr>
              <w:jc w:val="both"/>
              <w:rPr>
                <w:rFonts w:asciiTheme="majorHAnsi" w:hAnsiTheme="majorHAnsi" w:cstheme="majorHAnsi"/>
                <w:bCs/>
                <w:sz w:val="24"/>
                <w:szCs w:val="24"/>
              </w:rPr>
            </w:pPr>
          </w:p>
        </w:tc>
      </w:tr>
      <w:tr w:rsidR="00162A71" w:rsidRPr="00C93770" w14:paraId="6179D8FD" w14:textId="77777777" w:rsidTr="1756A420">
        <w:tc>
          <w:tcPr>
            <w:tcW w:w="4074" w:type="dxa"/>
          </w:tcPr>
          <w:p w14:paraId="672574F7" w14:textId="77777777" w:rsidR="00162A71" w:rsidRPr="00D462F0" w:rsidRDefault="00162A71"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Subseção IV</w:t>
            </w:r>
          </w:p>
          <w:p w14:paraId="69D13009" w14:textId="2A7C132F" w:rsidR="00162A71" w:rsidRPr="00D462F0" w:rsidRDefault="00162A71" w:rsidP="0028717C">
            <w:pPr>
              <w:jc w:val="center"/>
              <w:rPr>
                <w:rFonts w:asciiTheme="majorHAnsi" w:hAnsiTheme="majorHAnsi" w:cstheme="majorHAnsi"/>
                <w:color w:val="000000"/>
                <w:sz w:val="24"/>
                <w:szCs w:val="24"/>
              </w:rPr>
            </w:pPr>
            <w:r w:rsidRPr="00D462F0">
              <w:rPr>
                <w:rFonts w:asciiTheme="majorHAnsi" w:hAnsiTheme="majorHAnsi" w:cstheme="majorHAnsi"/>
                <w:b/>
                <w:color w:val="000000"/>
                <w:sz w:val="24"/>
                <w:szCs w:val="24"/>
              </w:rPr>
              <w:t>Plano Instituído</w:t>
            </w:r>
          </w:p>
        </w:tc>
        <w:tc>
          <w:tcPr>
            <w:tcW w:w="4074" w:type="dxa"/>
          </w:tcPr>
          <w:p w14:paraId="02677A50" w14:textId="77777777" w:rsidR="00162A71" w:rsidRPr="00D462F0" w:rsidRDefault="00162A71"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Subseção IV</w:t>
            </w:r>
          </w:p>
          <w:p w14:paraId="192CB9F7" w14:textId="56CBEEE8" w:rsidR="00162A71" w:rsidRPr="00D462F0" w:rsidRDefault="00162A71" w:rsidP="0028717C">
            <w:pPr>
              <w:jc w:val="center"/>
              <w:rPr>
                <w:rFonts w:asciiTheme="majorHAnsi" w:hAnsiTheme="majorHAnsi" w:cstheme="majorHAnsi"/>
                <w:bCs/>
                <w:color w:val="000000"/>
                <w:sz w:val="24"/>
                <w:szCs w:val="24"/>
              </w:rPr>
            </w:pPr>
            <w:r w:rsidRPr="00D462F0">
              <w:rPr>
                <w:rFonts w:asciiTheme="majorHAnsi" w:hAnsiTheme="majorHAnsi" w:cstheme="majorHAnsi"/>
                <w:b/>
                <w:color w:val="000000"/>
                <w:sz w:val="24"/>
                <w:szCs w:val="24"/>
              </w:rPr>
              <w:t>Plano Instituído</w:t>
            </w:r>
          </w:p>
        </w:tc>
        <w:tc>
          <w:tcPr>
            <w:tcW w:w="4074" w:type="dxa"/>
          </w:tcPr>
          <w:p w14:paraId="63E6F366" w14:textId="77777777" w:rsidR="00162A71" w:rsidRPr="00D462F0" w:rsidRDefault="00162A71" w:rsidP="00D462F0">
            <w:pPr>
              <w:jc w:val="both"/>
              <w:rPr>
                <w:rFonts w:asciiTheme="majorHAnsi" w:hAnsiTheme="majorHAnsi" w:cstheme="majorHAnsi"/>
                <w:sz w:val="24"/>
                <w:szCs w:val="24"/>
              </w:rPr>
            </w:pPr>
          </w:p>
        </w:tc>
        <w:tc>
          <w:tcPr>
            <w:tcW w:w="4075" w:type="dxa"/>
          </w:tcPr>
          <w:p w14:paraId="2E147283" w14:textId="77777777" w:rsidR="00162A71" w:rsidRPr="00D462F0" w:rsidRDefault="00162A71" w:rsidP="00D462F0">
            <w:pPr>
              <w:jc w:val="both"/>
              <w:rPr>
                <w:rFonts w:asciiTheme="majorHAnsi" w:hAnsiTheme="majorHAnsi" w:cstheme="majorHAnsi"/>
                <w:bCs/>
                <w:sz w:val="24"/>
                <w:szCs w:val="24"/>
              </w:rPr>
            </w:pPr>
          </w:p>
        </w:tc>
      </w:tr>
      <w:tr w:rsidR="00A26CD8" w:rsidRPr="00C93770" w14:paraId="606DFA45" w14:textId="77777777" w:rsidTr="1756A420">
        <w:tc>
          <w:tcPr>
            <w:tcW w:w="4074" w:type="dxa"/>
          </w:tcPr>
          <w:p w14:paraId="67558F7F" w14:textId="3CBACFE1"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109. </w:t>
            </w:r>
            <w:r w:rsidR="0091362C"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O plano de benefícios instituído é exclusivo para instituidores e pode ser oferecido às seguintes pessoas físicas, em relação ao instituidor:</w:t>
            </w:r>
          </w:p>
        </w:tc>
        <w:tc>
          <w:tcPr>
            <w:tcW w:w="4074" w:type="dxa"/>
          </w:tcPr>
          <w:p w14:paraId="586EFA97" w14:textId="78F8425F"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109. </w:t>
            </w:r>
            <w:r w:rsidR="007E378D"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00"/>
                <w:sz w:val="24"/>
                <w:szCs w:val="24"/>
              </w:rPr>
              <w:t>...</w:t>
            </w:r>
          </w:p>
        </w:tc>
        <w:tc>
          <w:tcPr>
            <w:tcW w:w="4074" w:type="dxa"/>
          </w:tcPr>
          <w:p w14:paraId="7223489B" w14:textId="056E372C" w:rsidR="00A26CD8" w:rsidRPr="00D462F0" w:rsidRDefault="0091362C"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p w14:paraId="34904B92" w14:textId="77777777" w:rsidR="00A26CD8" w:rsidRPr="00D462F0" w:rsidRDefault="00A26CD8" w:rsidP="00D462F0">
            <w:pPr>
              <w:jc w:val="both"/>
              <w:rPr>
                <w:rFonts w:asciiTheme="majorHAnsi" w:hAnsiTheme="majorHAnsi" w:cstheme="majorHAnsi"/>
                <w:sz w:val="24"/>
                <w:szCs w:val="24"/>
              </w:rPr>
            </w:pPr>
          </w:p>
        </w:tc>
        <w:tc>
          <w:tcPr>
            <w:tcW w:w="4075" w:type="dxa"/>
          </w:tcPr>
          <w:p w14:paraId="1EAFFC47" w14:textId="4D3699C3" w:rsidR="00A26CD8" w:rsidRPr="00D462F0" w:rsidRDefault="00A26CD8" w:rsidP="00D462F0">
            <w:pPr>
              <w:jc w:val="both"/>
              <w:rPr>
                <w:rFonts w:asciiTheme="majorHAnsi" w:hAnsiTheme="majorHAnsi" w:cstheme="majorHAnsi"/>
                <w:bCs/>
                <w:sz w:val="24"/>
                <w:szCs w:val="24"/>
              </w:rPr>
            </w:pPr>
          </w:p>
        </w:tc>
      </w:tr>
      <w:tr w:rsidR="00AB5693" w:rsidRPr="00C93770" w14:paraId="275A2CCB" w14:textId="77777777" w:rsidTr="1756A420">
        <w:tc>
          <w:tcPr>
            <w:tcW w:w="4074" w:type="dxa"/>
          </w:tcPr>
          <w:p w14:paraId="0CDF9CD6" w14:textId="7659598A" w:rsidR="00AB5693" w:rsidRPr="00D462F0" w:rsidRDefault="00AB569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79906394" w14:textId="4611FB91" w:rsidR="00AB5693" w:rsidRPr="00D462F0" w:rsidRDefault="00AB5693"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33491A8E" w14:textId="77777777" w:rsidR="00AB5693" w:rsidRPr="00D462F0" w:rsidRDefault="00AB5693" w:rsidP="00D462F0">
            <w:pPr>
              <w:jc w:val="both"/>
              <w:rPr>
                <w:rFonts w:asciiTheme="majorHAnsi" w:hAnsiTheme="majorHAnsi" w:cstheme="majorHAnsi"/>
                <w:sz w:val="24"/>
                <w:szCs w:val="24"/>
              </w:rPr>
            </w:pPr>
          </w:p>
        </w:tc>
        <w:tc>
          <w:tcPr>
            <w:tcW w:w="4075" w:type="dxa"/>
          </w:tcPr>
          <w:p w14:paraId="168C81BF" w14:textId="77777777" w:rsidR="00AB5693" w:rsidRPr="00D462F0" w:rsidRDefault="00AB5693" w:rsidP="00D462F0">
            <w:pPr>
              <w:jc w:val="both"/>
              <w:rPr>
                <w:rFonts w:asciiTheme="majorHAnsi" w:hAnsiTheme="majorHAnsi" w:cstheme="majorHAnsi"/>
                <w:bCs/>
                <w:sz w:val="24"/>
                <w:szCs w:val="24"/>
              </w:rPr>
            </w:pPr>
          </w:p>
        </w:tc>
      </w:tr>
      <w:tr w:rsidR="00A26CD8" w:rsidRPr="00C93770" w14:paraId="5DC74F9F" w14:textId="77777777" w:rsidTr="1756A420">
        <w:tc>
          <w:tcPr>
            <w:tcW w:w="4074" w:type="dxa"/>
          </w:tcPr>
          <w:p w14:paraId="1D3CA01B" w14:textId="77777777"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IV - cônjuges e parentes consanguíneos ou afins, até o quarto grau </w:t>
            </w:r>
            <w:r w:rsidRPr="00D462F0">
              <w:rPr>
                <w:rFonts w:asciiTheme="majorHAnsi" w:hAnsiTheme="majorHAnsi" w:cstheme="majorHAnsi"/>
                <w:bCs/>
                <w:color w:val="000000"/>
                <w:sz w:val="24"/>
                <w:szCs w:val="24"/>
              </w:rPr>
              <w:t>ou por adoção,</w:t>
            </w:r>
            <w:r w:rsidRPr="00D462F0">
              <w:rPr>
                <w:rFonts w:asciiTheme="majorHAnsi" w:hAnsiTheme="majorHAnsi" w:cstheme="majorHAnsi"/>
                <w:color w:val="000000"/>
                <w:sz w:val="24"/>
                <w:szCs w:val="24"/>
              </w:rPr>
              <w:t xml:space="preserve"> das pessoas físicas referidas nos incisos I a III.</w:t>
            </w:r>
          </w:p>
          <w:p w14:paraId="641323BA" w14:textId="77777777" w:rsidR="00A26CD8" w:rsidRPr="00D462F0" w:rsidRDefault="00A26CD8" w:rsidP="00D462F0">
            <w:pPr>
              <w:jc w:val="both"/>
              <w:rPr>
                <w:rFonts w:asciiTheme="majorHAnsi" w:hAnsiTheme="majorHAnsi" w:cstheme="majorHAnsi"/>
                <w:color w:val="000000"/>
                <w:sz w:val="24"/>
                <w:szCs w:val="24"/>
              </w:rPr>
            </w:pPr>
          </w:p>
        </w:tc>
        <w:tc>
          <w:tcPr>
            <w:tcW w:w="4074" w:type="dxa"/>
          </w:tcPr>
          <w:p w14:paraId="1F13E5D9" w14:textId="5023F550"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IV - cônjuges e parentes consanguíneos ou afins, até o </w:t>
            </w:r>
            <w:r w:rsidRPr="00D462F0">
              <w:rPr>
                <w:rFonts w:asciiTheme="majorHAnsi" w:hAnsiTheme="majorHAnsi" w:cstheme="majorHAnsi"/>
                <w:bCs/>
                <w:sz w:val="24"/>
                <w:szCs w:val="24"/>
              </w:rPr>
              <w:t>quarto grau</w:t>
            </w:r>
            <w:r w:rsidR="004F0F51" w:rsidRPr="00D462F0">
              <w:rPr>
                <w:rFonts w:asciiTheme="majorHAnsi" w:hAnsiTheme="majorHAnsi" w:cstheme="majorHAnsi"/>
                <w:bCs/>
                <w:sz w:val="24"/>
                <w:szCs w:val="24"/>
              </w:rPr>
              <w:t xml:space="preserve"> </w:t>
            </w:r>
            <w:r w:rsidR="004F0F51" w:rsidRPr="00D462F0">
              <w:rPr>
                <w:rFonts w:asciiTheme="majorHAnsi" w:hAnsiTheme="majorHAnsi" w:cstheme="majorHAnsi"/>
                <w:bCs/>
                <w:strike/>
                <w:color w:val="EE0000"/>
                <w:sz w:val="24"/>
                <w:szCs w:val="24"/>
              </w:rPr>
              <w:t>ou por adoção</w:t>
            </w:r>
            <w:r w:rsidRPr="00D462F0">
              <w:rPr>
                <w:rFonts w:asciiTheme="majorHAnsi" w:hAnsiTheme="majorHAnsi" w:cstheme="majorHAnsi"/>
                <w:bCs/>
                <w:color w:val="0000FF"/>
                <w:sz w:val="24"/>
                <w:szCs w:val="24"/>
              </w:rPr>
              <w:t>,</w:t>
            </w:r>
            <w:r w:rsidRPr="00D462F0">
              <w:rPr>
                <w:rFonts w:asciiTheme="majorHAnsi" w:hAnsiTheme="majorHAnsi" w:cstheme="majorHAnsi"/>
                <w:bCs/>
                <w:color w:val="000000"/>
                <w:sz w:val="24"/>
                <w:szCs w:val="24"/>
              </w:rPr>
              <w:t xml:space="preserve"> das pessoas físicas referidas nos incisos I a III.</w:t>
            </w:r>
          </w:p>
          <w:p w14:paraId="4D4E7FEB" w14:textId="6376AD7B" w:rsidR="00A26CD8" w:rsidRPr="00D462F0" w:rsidRDefault="00A26CD8" w:rsidP="00D462F0">
            <w:pPr>
              <w:jc w:val="both"/>
              <w:rPr>
                <w:rFonts w:asciiTheme="majorHAnsi" w:hAnsiTheme="majorHAnsi" w:cstheme="majorHAnsi"/>
                <w:bCs/>
                <w:color w:val="000000"/>
                <w:sz w:val="24"/>
                <w:szCs w:val="24"/>
              </w:rPr>
            </w:pPr>
          </w:p>
        </w:tc>
        <w:tc>
          <w:tcPr>
            <w:tcW w:w="4074" w:type="dxa"/>
          </w:tcPr>
          <w:p w14:paraId="5AFAB95E"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Retirada de expressão sem valor jurídico.</w:t>
            </w:r>
          </w:p>
          <w:p w14:paraId="578E430B" w14:textId="77777777" w:rsidR="00A26CD8" w:rsidRPr="00D462F0" w:rsidRDefault="00A26CD8" w:rsidP="00D462F0">
            <w:pPr>
              <w:jc w:val="both"/>
              <w:rPr>
                <w:rFonts w:asciiTheme="majorHAnsi" w:hAnsiTheme="majorHAnsi" w:cstheme="majorHAnsi"/>
                <w:sz w:val="24"/>
                <w:szCs w:val="24"/>
              </w:rPr>
            </w:pPr>
          </w:p>
        </w:tc>
        <w:tc>
          <w:tcPr>
            <w:tcW w:w="4075" w:type="dxa"/>
          </w:tcPr>
          <w:p w14:paraId="7D2F5AC0"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IV.</w:t>
            </w:r>
          </w:p>
          <w:p w14:paraId="1CB98046"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atualização de artigo em razão de uso de termo que caiu em desuso, apenas no sentido de obter maior clareza e sem alteração de mérito.</w:t>
            </w:r>
          </w:p>
          <w:p w14:paraId="07AEF3B0" w14:textId="77777777" w:rsidR="00A26CD8" w:rsidRPr="00D462F0" w:rsidRDefault="00A26CD8" w:rsidP="00D462F0">
            <w:pPr>
              <w:jc w:val="both"/>
              <w:rPr>
                <w:rFonts w:asciiTheme="majorHAnsi" w:hAnsiTheme="majorHAnsi" w:cstheme="majorHAnsi"/>
                <w:bCs/>
                <w:sz w:val="24"/>
                <w:szCs w:val="24"/>
              </w:rPr>
            </w:pPr>
          </w:p>
        </w:tc>
      </w:tr>
      <w:tr w:rsidR="00A26CD8" w:rsidRPr="00C93770" w14:paraId="24CAC36E" w14:textId="77777777" w:rsidTr="1756A420">
        <w:tc>
          <w:tcPr>
            <w:tcW w:w="4074" w:type="dxa"/>
          </w:tcPr>
          <w:p w14:paraId="72A18E8A" w14:textId="781EE32F"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110. </w:t>
            </w:r>
            <w:r w:rsidR="00A65603"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A EFPC, quando autorizada pela Previc, pode assumir a qualidade de instituidor em planos de benefícios instituídos, em relação:</w:t>
            </w:r>
          </w:p>
        </w:tc>
        <w:tc>
          <w:tcPr>
            <w:tcW w:w="4074" w:type="dxa"/>
          </w:tcPr>
          <w:p w14:paraId="3AE635A6" w14:textId="6687E468" w:rsidR="00A26CD8" w:rsidRPr="00D462F0" w:rsidRDefault="0091362C"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Art. 110.  ...</w:t>
            </w:r>
          </w:p>
        </w:tc>
        <w:tc>
          <w:tcPr>
            <w:tcW w:w="4074" w:type="dxa"/>
          </w:tcPr>
          <w:p w14:paraId="2CA50257" w14:textId="2BDB744A" w:rsidR="00A26CD8" w:rsidRPr="00D462F0" w:rsidRDefault="0091362C"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51577FB2" w14:textId="77777777" w:rsidR="00A26CD8" w:rsidRPr="00D462F0" w:rsidRDefault="00A26CD8" w:rsidP="00D462F0">
            <w:pPr>
              <w:jc w:val="both"/>
              <w:rPr>
                <w:rFonts w:asciiTheme="majorHAnsi" w:hAnsiTheme="majorHAnsi" w:cstheme="majorHAnsi"/>
                <w:bCs/>
                <w:sz w:val="24"/>
                <w:szCs w:val="24"/>
              </w:rPr>
            </w:pPr>
          </w:p>
        </w:tc>
      </w:tr>
      <w:tr w:rsidR="00AB5693" w:rsidRPr="00C93770" w14:paraId="7E7100CE" w14:textId="77777777" w:rsidTr="1756A420">
        <w:tc>
          <w:tcPr>
            <w:tcW w:w="4074" w:type="dxa"/>
          </w:tcPr>
          <w:p w14:paraId="03030855" w14:textId="3CBD14CE" w:rsidR="00AB5693" w:rsidRPr="00D462F0" w:rsidRDefault="00AB569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663568F" w14:textId="4369555F" w:rsidR="00AB5693" w:rsidRPr="00D462F0" w:rsidRDefault="00AB5693"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4BFC6FD6" w14:textId="77777777" w:rsidR="00AB5693" w:rsidRPr="00D462F0" w:rsidRDefault="00AB5693" w:rsidP="00D462F0">
            <w:pPr>
              <w:jc w:val="both"/>
              <w:rPr>
                <w:rFonts w:asciiTheme="majorHAnsi" w:hAnsiTheme="majorHAnsi" w:cstheme="majorHAnsi"/>
                <w:sz w:val="24"/>
                <w:szCs w:val="24"/>
              </w:rPr>
            </w:pPr>
          </w:p>
        </w:tc>
        <w:tc>
          <w:tcPr>
            <w:tcW w:w="4075" w:type="dxa"/>
          </w:tcPr>
          <w:p w14:paraId="2E5B44F4" w14:textId="77777777" w:rsidR="00AB5693" w:rsidRPr="00D462F0" w:rsidRDefault="00AB5693" w:rsidP="00D462F0">
            <w:pPr>
              <w:jc w:val="both"/>
              <w:rPr>
                <w:rFonts w:asciiTheme="majorHAnsi" w:hAnsiTheme="majorHAnsi" w:cstheme="majorHAnsi"/>
                <w:bCs/>
                <w:sz w:val="24"/>
                <w:szCs w:val="24"/>
              </w:rPr>
            </w:pPr>
          </w:p>
        </w:tc>
      </w:tr>
      <w:tr w:rsidR="00A26CD8" w:rsidRPr="00C93770" w14:paraId="2D97E1E9" w14:textId="77777777" w:rsidTr="1756A420">
        <w:tc>
          <w:tcPr>
            <w:tcW w:w="4074" w:type="dxa"/>
          </w:tcPr>
          <w:p w14:paraId="7042A388" w14:textId="437AD945"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 xml:space="preserve">IV - aos cônjuges e aos parentes consanguíneos ou afins, até o quarto grau </w:t>
            </w:r>
            <w:r w:rsidRPr="00D462F0">
              <w:rPr>
                <w:rFonts w:asciiTheme="majorHAnsi" w:hAnsiTheme="majorHAnsi" w:cstheme="majorHAnsi"/>
                <w:bCs/>
                <w:color w:val="000000"/>
                <w:sz w:val="24"/>
                <w:szCs w:val="24"/>
              </w:rPr>
              <w:t>ou por adoção,</w:t>
            </w:r>
            <w:r w:rsidRPr="00D462F0">
              <w:rPr>
                <w:rFonts w:asciiTheme="majorHAnsi" w:hAnsiTheme="majorHAnsi" w:cstheme="majorHAnsi"/>
                <w:color w:val="000000"/>
                <w:sz w:val="24"/>
                <w:szCs w:val="24"/>
              </w:rPr>
              <w:t xml:space="preserve"> das pessoas físicas referidas nos incisos I a III.</w:t>
            </w:r>
          </w:p>
        </w:tc>
        <w:tc>
          <w:tcPr>
            <w:tcW w:w="4074" w:type="dxa"/>
          </w:tcPr>
          <w:p w14:paraId="47887F35" w14:textId="7C627FD8"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IV - aos cônjuges e aos parentes consanguíneos ou afins, até o quarto </w:t>
            </w:r>
            <w:r w:rsidRPr="00D462F0">
              <w:rPr>
                <w:rFonts w:asciiTheme="majorHAnsi" w:hAnsiTheme="majorHAnsi" w:cstheme="majorHAnsi"/>
                <w:bCs/>
                <w:sz w:val="24"/>
                <w:szCs w:val="24"/>
              </w:rPr>
              <w:t>grau</w:t>
            </w:r>
            <w:r w:rsidR="004F0F51" w:rsidRPr="00D462F0">
              <w:rPr>
                <w:rFonts w:asciiTheme="majorHAnsi" w:hAnsiTheme="majorHAnsi" w:cstheme="majorHAnsi"/>
                <w:bCs/>
                <w:sz w:val="24"/>
                <w:szCs w:val="24"/>
              </w:rPr>
              <w:t xml:space="preserve"> </w:t>
            </w:r>
            <w:r w:rsidR="004F0F51" w:rsidRPr="00D462F0">
              <w:rPr>
                <w:rFonts w:asciiTheme="majorHAnsi" w:hAnsiTheme="majorHAnsi" w:cstheme="majorHAnsi"/>
                <w:bCs/>
                <w:strike/>
                <w:color w:val="EE0000"/>
                <w:sz w:val="24"/>
                <w:szCs w:val="24"/>
              </w:rPr>
              <w:t>ou por adoção</w:t>
            </w:r>
            <w:r w:rsidRPr="00D462F0">
              <w:rPr>
                <w:rFonts w:asciiTheme="majorHAnsi" w:hAnsiTheme="majorHAnsi" w:cstheme="majorHAnsi"/>
                <w:bCs/>
                <w:sz w:val="24"/>
                <w:szCs w:val="24"/>
              </w:rPr>
              <w:t xml:space="preserve">, </w:t>
            </w:r>
            <w:r w:rsidRPr="00D462F0">
              <w:rPr>
                <w:rFonts w:asciiTheme="majorHAnsi" w:hAnsiTheme="majorHAnsi" w:cstheme="majorHAnsi"/>
                <w:bCs/>
                <w:color w:val="000000"/>
                <w:sz w:val="24"/>
                <w:szCs w:val="24"/>
              </w:rPr>
              <w:t>das pessoas físicas referidas nos incisos I a III.</w:t>
            </w:r>
          </w:p>
        </w:tc>
        <w:tc>
          <w:tcPr>
            <w:tcW w:w="4074" w:type="dxa"/>
          </w:tcPr>
          <w:p w14:paraId="5A84F62F" w14:textId="77777777" w:rsidR="00A26CD8" w:rsidRPr="00D462F0" w:rsidRDefault="00A26CD8" w:rsidP="00D462F0">
            <w:pPr>
              <w:jc w:val="both"/>
              <w:rPr>
                <w:rFonts w:asciiTheme="majorHAnsi" w:hAnsiTheme="majorHAnsi" w:cstheme="majorHAnsi"/>
                <w:sz w:val="24"/>
                <w:szCs w:val="24"/>
              </w:rPr>
            </w:pPr>
          </w:p>
        </w:tc>
        <w:tc>
          <w:tcPr>
            <w:tcW w:w="4075" w:type="dxa"/>
          </w:tcPr>
          <w:p w14:paraId="604B0E8D" w14:textId="77777777" w:rsidR="0091362C" w:rsidRPr="00D462F0" w:rsidRDefault="0091362C"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a alteração do artigo em questão dispensa-se a realização de AIR por se tratar de artigo que visa “(...) a atualização ou à revogação de normas consideradas obsoletas, sem alteração de mérito”, conforme disposto no inciso IV, do art. 4º do Decreto nº 10.411, de 2020.</w:t>
            </w:r>
          </w:p>
          <w:p w14:paraId="39E5526D" w14:textId="77777777" w:rsidR="00A26CD8" w:rsidRPr="00D462F0" w:rsidRDefault="00A26CD8" w:rsidP="00D462F0">
            <w:pPr>
              <w:jc w:val="both"/>
              <w:rPr>
                <w:rFonts w:asciiTheme="majorHAnsi" w:hAnsiTheme="majorHAnsi" w:cstheme="majorHAnsi"/>
                <w:bCs/>
                <w:sz w:val="24"/>
                <w:szCs w:val="24"/>
              </w:rPr>
            </w:pPr>
          </w:p>
        </w:tc>
      </w:tr>
      <w:tr w:rsidR="00A26CD8" w:rsidRPr="00C93770" w14:paraId="690E3CCF" w14:textId="77777777" w:rsidTr="1756A420">
        <w:trPr>
          <w:trHeight w:val="1497"/>
        </w:trPr>
        <w:tc>
          <w:tcPr>
            <w:tcW w:w="4074" w:type="dxa"/>
          </w:tcPr>
          <w:p w14:paraId="5E206CC0" w14:textId="59299D6D"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Parágrafo único.</w:t>
            </w:r>
            <w:r w:rsidR="0091362C"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 A EFPC, na condição de instituidor, não pode efetuar contribuições para o plano de benefícios</w:t>
            </w:r>
          </w:p>
        </w:tc>
        <w:tc>
          <w:tcPr>
            <w:tcW w:w="4074" w:type="dxa"/>
          </w:tcPr>
          <w:p w14:paraId="4DB43535" w14:textId="1E1BA0B9"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1º</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00"/>
                <w:sz w:val="24"/>
                <w:szCs w:val="24"/>
              </w:rPr>
              <w:t xml:space="preserve"> A EFPC, na condição de instituidor, não pode efetuar contribuições para o plano de benefícios</w:t>
            </w:r>
            <w:r w:rsidR="0091362C" w:rsidRPr="00D462F0">
              <w:rPr>
                <w:rFonts w:asciiTheme="majorHAnsi" w:hAnsiTheme="majorHAnsi" w:cstheme="majorHAnsi"/>
                <w:bCs/>
                <w:color w:val="000000"/>
                <w:sz w:val="24"/>
                <w:szCs w:val="24"/>
              </w:rPr>
              <w:t>.</w:t>
            </w:r>
          </w:p>
          <w:p w14:paraId="1CF8F2F8" w14:textId="77777777" w:rsidR="00A26CD8" w:rsidRPr="00D462F0" w:rsidRDefault="00A26CD8" w:rsidP="00D462F0">
            <w:pPr>
              <w:jc w:val="both"/>
              <w:rPr>
                <w:rFonts w:asciiTheme="majorHAnsi" w:hAnsiTheme="majorHAnsi" w:cstheme="majorHAnsi"/>
                <w:bCs/>
                <w:sz w:val="24"/>
                <w:szCs w:val="24"/>
              </w:rPr>
            </w:pPr>
          </w:p>
        </w:tc>
        <w:tc>
          <w:tcPr>
            <w:tcW w:w="4074" w:type="dxa"/>
          </w:tcPr>
          <w:p w14:paraId="158DD92E" w14:textId="77777777" w:rsidR="00A26CD8" w:rsidRPr="00D462F0" w:rsidRDefault="00A26CD8" w:rsidP="00D462F0">
            <w:pPr>
              <w:jc w:val="both"/>
              <w:rPr>
                <w:rFonts w:asciiTheme="majorHAnsi" w:hAnsiTheme="majorHAnsi" w:cstheme="majorHAnsi"/>
                <w:sz w:val="24"/>
                <w:szCs w:val="24"/>
              </w:rPr>
            </w:pPr>
          </w:p>
        </w:tc>
        <w:tc>
          <w:tcPr>
            <w:tcW w:w="4075" w:type="dxa"/>
          </w:tcPr>
          <w:p w14:paraId="7DD17F51" w14:textId="77777777" w:rsidR="00A26CD8" w:rsidRPr="00D462F0" w:rsidRDefault="00A26CD8" w:rsidP="00D462F0">
            <w:pPr>
              <w:jc w:val="both"/>
              <w:rPr>
                <w:rFonts w:asciiTheme="majorHAnsi" w:hAnsiTheme="majorHAnsi" w:cstheme="majorHAnsi"/>
                <w:bCs/>
                <w:sz w:val="24"/>
                <w:szCs w:val="24"/>
              </w:rPr>
            </w:pPr>
          </w:p>
        </w:tc>
      </w:tr>
      <w:tr w:rsidR="00A26CD8" w:rsidRPr="00C93770" w14:paraId="2B4824BC" w14:textId="77777777" w:rsidTr="1756A420">
        <w:tc>
          <w:tcPr>
            <w:tcW w:w="4074" w:type="dxa"/>
          </w:tcPr>
          <w:p w14:paraId="4B34FEDF" w14:textId="0D88C7FA"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4B2297BD" w14:textId="5B9E1ABE"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2º  A EFPC, na condição de instituidor, não pode indicar membros para os Conselhos Deliberativo e Fiscal, nem contratar empregados.</w:t>
            </w:r>
          </w:p>
        </w:tc>
        <w:tc>
          <w:tcPr>
            <w:tcW w:w="4074" w:type="dxa"/>
          </w:tcPr>
          <w:p w14:paraId="2203D1BA"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Conforme previsto no art. 11 da Resolução CNPC nº 54, de 18 de março de 2022, que estabelece competência à Previc para editar instruções complementares que se fizerem necessárias à execução do disposto, a atualização do art. 110 visa vedar a indicação da própria EFPC para membros dos Conselhos dela mesma a fim de evitar potencial conflito de interesses.</w:t>
            </w:r>
          </w:p>
          <w:p w14:paraId="092408A0" w14:textId="079198A0"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 designação de representantes para o Conselho Fiscal e Deliberativo pela própria EFPC pode gerar um conflito de interesses inerente, no qual o interesse desses dirigentes na indicação ou a contratação de empregados pode não estar alinhado com o que deveria ser interesse das patrocinadoras e instituidoras, bem como dos próprios participantes, conforme Despacho nº 0706446 da Coordenação-Geral de Fiscalização Direta no âmbito do SEI 44011.005407/2024-55.</w:t>
            </w:r>
          </w:p>
        </w:tc>
        <w:tc>
          <w:tcPr>
            <w:tcW w:w="4075" w:type="dxa"/>
          </w:tcPr>
          <w:p w14:paraId="7798F39C"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 alínea “a”.</w:t>
            </w:r>
          </w:p>
          <w:p w14:paraId="41C69E6F"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artigo que visa vedar a indicação da própria EFPC para membros dos Conselhos dela mesma a fim de evitar potencial conflito de interesses.</w:t>
            </w:r>
          </w:p>
          <w:p w14:paraId="7BB8DE6A" w14:textId="77777777"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Tal medida pretende preservar a higidez da entidade assim como de todo o sistema. Conceitualmente higidez é a condição de uma entidade que demonstra equilíbrio atuarial, sustentabilidade de longo prazo e conformidade regulatória. Nesse sentido, trata-se de componente da higidez a governança e controles internos, tendo como pilar as boas práticas de gestão e fiscalização dos processos decisórios.</w:t>
            </w:r>
          </w:p>
          <w:p w14:paraId="466BA93B" w14:textId="7E397D64"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Por isso, o artigo em questão se enquadra na dispensa de análise de impacto regulatório, por visar preservar a liquidez, solvência ou higidez, </w:t>
            </w:r>
            <w:r w:rsidRPr="00D462F0">
              <w:rPr>
                <w:rFonts w:asciiTheme="majorHAnsi" w:hAnsiTheme="majorHAnsi" w:cstheme="majorHAnsi"/>
                <w:bCs/>
                <w:sz w:val="24"/>
                <w:szCs w:val="24"/>
              </w:rPr>
              <w:lastRenderedPageBreak/>
              <w:t>conforme art. 4º, inciso V, alínea “a”, do Decreto nº 10.411, de 2020.</w:t>
            </w:r>
          </w:p>
        </w:tc>
      </w:tr>
      <w:tr w:rsidR="00524962" w:rsidRPr="00C93770" w14:paraId="0387C937" w14:textId="77777777" w:rsidTr="1756A420">
        <w:tc>
          <w:tcPr>
            <w:tcW w:w="4074" w:type="dxa"/>
          </w:tcPr>
          <w:p w14:paraId="49B8C3BE" w14:textId="1CAAB704"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sz w:val="24"/>
                <w:szCs w:val="24"/>
              </w:rPr>
              <w:lastRenderedPageBreak/>
              <w:t>...</w:t>
            </w:r>
          </w:p>
        </w:tc>
        <w:tc>
          <w:tcPr>
            <w:tcW w:w="4074" w:type="dxa"/>
          </w:tcPr>
          <w:p w14:paraId="503A3746" w14:textId="4CBE0330"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4675DCE" w14:textId="77777777" w:rsidR="00524962" w:rsidRPr="00D462F0" w:rsidRDefault="00524962" w:rsidP="00D462F0">
            <w:pPr>
              <w:jc w:val="both"/>
              <w:rPr>
                <w:rFonts w:asciiTheme="majorHAnsi" w:hAnsiTheme="majorHAnsi" w:cstheme="majorHAnsi"/>
                <w:sz w:val="24"/>
                <w:szCs w:val="24"/>
              </w:rPr>
            </w:pPr>
          </w:p>
        </w:tc>
        <w:tc>
          <w:tcPr>
            <w:tcW w:w="4075" w:type="dxa"/>
          </w:tcPr>
          <w:p w14:paraId="6C869ED2" w14:textId="77777777" w:rsidR="00524962" w:rsidRPr="00D462F0" w:rsidRDefault="00524962" w:rsidP="00D462F0">
            <w:pPr>
              <w:jc w:val="both"/>
              <w:rPr>
                <w:rFonts w:asciiTheme="majorHAnsi" w:hAnsiTheme="majorHAnsi" w:cstheme="majorHAnsi"/>
                <w:bCs/>
                <w:sz w:val="24"/>
                <w:szCs w:val="24"/>
              </w:rPr>
            </w:pPr>
          </w:p>
        </w:tc>
      </w:tr>
      <w:tr w:rsidR="00524962" w:rsidRPr="00C93770" w14:paraId="60EF7229" w14:textId="77777777" w:rsidTr="1756A420">
        <w:tc>
          <w:tcPr>
            <w:tcW w:w="4074" w:type="dxa"/>
          </w:tcPr>
          <w:p w14:paraId="2FA7114E" w14:textId="77777777" w:rsidR="00524962" w:rsidRPr="00D462F0" w:rsidRDefault="00524962"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Subseção V</w:t>
            </w:r>
          </w:p>
          <w:p w14:paraId="193313E6" w14:textId="503D7CF0"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b/>
                <w:sz w:val="24"/>
                <w:szCs w:val="24"/>
              </w:rPr>
              <w:t>Institutos Benefício Proporcional Diferido, Portabilidade, Resgate e Autopatrocínio</w:t>
            </w:r>
          </w:p>
        </w:tc>
        <w:tc>
          <w:tcPr>
            <w:tcW w:w="4074" w:type="dxa"/>
          </w:tcPr>
          <w:p w14:paraId="704BB9FD" w14:textId="77777777" w:rsidR="00524962" w:rsidRPr="00D462F0" w:rsidRDefault="00524962"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Subseção V</w:t>
            </w:r>
          </w:p>
          <w:p w14:paraId="578F2270" w14:textId="242B1A9E"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
                <w:sz w:val="24"/>
                <w:szCs w:val="24"/>
              </w:rPr>
              <w:t>Institutos Benefício Proporcional Diferido, Portabilidade, Resgate e Autopatrocínio</w:t>
            </w:r>
          </w:p>
        </w:tc>
        <w:tc>
          <w:tcPr>
            <w:tcW w:w="4074" w:type="dxa"/>
          </w:tcPr>
          <w:p w14:paraId="29291242" w14:textId="77777777" w:rsidR="00524962" w:rsidRPr="00D462F0" w:rsidRDefault="00524962" w:rsidP="00D462F0">
            <w:pPr>
              <w:jc w:val="both"/>
              <w:rPr>
                <w:rFonts w:asciiTheme="majorHAnsi" w:hAnsiTheme="majorHAnsi" w:cstheme="majorHAnsi"/>
                <w:sz w:val="24"/>
                <w:szCs w:val="24"/>
              </w:rPr>
            </w:pPr>
          </w:p>
        </w:tc>
        <w:tc>
          <w:tcPr>
            <w:tcW w:w="4075" w:type="dxa"/>
          </w:tcPr>
          <w:p w14:paraId="27AE3336" w14:textId="77777777" w:rsidR="00524962" w:rsidRPr="00D462F0" w:rsidRDefault="00524962" w:rsidP="00D462F0">
            <w:pPr>
              <w:jc w:val="both"/>
              <w:rPr>
                <w:rFonts w:asciiTheme="majorHAnsi" w:hAnsiTheme="majorHAnsi" w:cstheme="majorHAnsi"/>
                <w:bCs/>
                <w:sz w:val="24"/>
                <w:szCs w:val="24"/>
              </w:rPr>
            </w:pPr>
          </w:p>
        </w:tc>
      </w:tr>
      <w:tr w:rsidR="00524962" w:rsidRPr="00C93770" w14:paraId="22B09940" w14:textId="77777777" w:rsidTr="1756A420">
        <w:tc>
          <w:tcPr>
            <w:tcW w:w="4074" w:type="dxa"/>
          </w:tcPr>
          <w:p w14:paraId="37AB1AF6" w14:textId="4EBFE34E"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3A360E75" w14:textId="5CCA693E"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46D57618" w14:textId="77777777" w:rsidR="00524962" w:rsidRPr="00D462F0" w:rsidRDefault="00524962" w:rsidP="00D462F0">
            <w:pPr>
              <w:jc w:val="both"/>
              <w:rPr>
                <w:rFonts w:asciiTheme="majorHAnsi" w:hAnsiTheme="majorHAnsi" w:cstheme="majorHAnsi"/>
                <w:sz w:val="24"/>
                <w:szCs w:val="24"/>
              </w:rPr>
            </w:pPr>
          </w:p>
        </w:tc>
        <w:tc>
          <w:tcPr>
            <w:tcW w:w="4075" w:type="dxa"/>
          </w:tcPr>
          <w:p w14:paraId="06205D86" w14:textId="77777777" w:rsidR="00524962" w:rsidRPr="00D462F0" w:rsidRDefault="00524962" w:rsidP="00D462F0">
            <w:pPr>
              <w:jc w:val="both"/>
              <w:rPr>
                <w:rFonts w:asciiTheme="majorHAnsi" w:hAnsiTheme="majorHAnsi" w:cstheme="majorHAnsi"/>
                <w:bCs/>
                <w:sz w:val="24"/>
                <w:szCs w:val="24"/>
              </w:rPr>
            </w:pPr>
          </w:p>
        </w:tc>
      </w:tr>
      <w:tr w:rsidR="00A26CD8" w:rsidRPr="00C93770" w14:paraId="72915B87" w14:textId="77777777" w:rsidTr="1756A420">
        <w:tc>
          <w:tcPr>
            <w:tcW w:w="4074" w:type="dxa"/>
          </w:tcPr>
          <w:p w14:paraId="42EAED62" w14:textId="2E1F0563"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129. </w:t>
            </w:r>
            <w:r w:rsidR="0091362C" w:rsidRPr="00D462F0">
              <w:rPr>
                <w:rFonts w:asciiTheme="majorHAnsi" w:hAnsiTheme="majorHAnsi" w:cstheme="majorHAnsi"/>
                <w:sz w:val="24"/>
                <w:szCs w:val="24"/>
              </w:rPr>
              <w:t xml:space="preserve"> </w:t>
            </w:r>
            <w:r w:rsidRPr="00D462F0">
              <w:rPr>
                <w:rFonts w:asciiTheme="majorHAnsi" w:hAnsiTheme="majorHAnsi" w:cstheme="majorHAnsi"/>
                <w:sz w:val="24"/>
                <w:szCs w:val="24"/>
              </w:rPr>
              <w:t xml:space="preserve">As EFPC devem realizar as adaptações obrigatórias nos regulamentos dos planos de benefícios administrados, em razão das disposições da Resolução CNPC nº 50, de 16 de fevereiro de 2022, até o dia 31 de dezembro de </w:t>
            </w:r>
            <w:r w:rsidRPr="00D462F0">
              <w:rPr>
                <w:rFonts w:asciiTheme="majorHAnsi" w:hAnsiTheme="majorHAnsi" w:cstheme="majorHAnsi"/>
                <w:bCs/>
                <w:sz w:val="24"/>
                <w:szCs w:val="24"/>
              </w:rPr>
              <w:t>2025</w:t>
            </w:r>
            <w:r w:rsidRPr="00D462F0">
              <w:rPr>
                <w:rFonts w:asciiTheme="majorHAnsi" w:hAnsiTheme="majorHAnsi" w:cstheme="majorHAnsi"/>
                <w:sz w:val="24"/>
                <w:szCs w:val="24"/>
              </w:rPr>
              <w:t>, observado o disposto no art. 17 da Lei Complementar nº 109, de 2001.</w:t>
            </w:r>
          </w:p>
        </w:tc>
        <w:tc>
          <w:tcPr>
            <w:tcW w:w="4074" w:type="dxa"/>
          </w:tcPr>
          <w:p w14:paraId="49A19AF3" w14:textId="6086582E"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129. </w:t>
            </w:r>
            <w:r w:rsidR="0091362C"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 xml:space="preserve">As EFPC devem realizar as adaptações obrigatórias nos regulamentos dos planos de benefícios administrados, em razão das disposições da Resolução CNPC nº 50, de 16 de fevereiro de 2022, até o dia 31 de dezembro de </w:t>
            </w:r>
            <w:r w:rsidR="00C905A7" w:rsidRPr="00D462F0">
              <w:rPr>
                <w:rFonts w:asciiTheme="majorHAnsi" w:hAnsiTheme="majorHAnsi" w:cstheme="majorHAnsi"/>
                <w:bCs/>
                <w:strike/>
                <w:color w:val="EE0000"/>
                <w:sz w:val="24"/>
                <w:szCs w:val="24"/>
              </w:rPr>
              <w:t>2025</w:t>
            </w:r>
            <w:r w:rsidR="00C905A7"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2026</w:t>
            </w:r>
            <w:r w:rsidRPr="00D462F0">
              <w:rPr>
                <w:rFonts w:asciiTheme="majorHAnsi" w:hAnsiTheme="majorHAnsi" w:cstheme="majorHAnsi"/>
                <w:bCs/>
                <w:sz w:val="24"/>
                <w:szCs w:val="24"/>
              </w:rPr>
              <w:t>, observado o disposto no art. 17 da Lei Complementar nº 109, de 2001.</w:t>
            </w:r>
          </w:p>
        </w:tc>
        <w:tc>
          <w:tcPr>
            <w:tcW w:w="4074" w:type="dxa"/>
          </w:tcPr>
          <w:p w14:paraId="0CE24627"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Considerando que está tramitando no CNPC nova alteração à Resolução CNPC nº 50, de 2022, prorroga-se o prazo para as EFPC ajustarem os seus Regulamentos até 31 de dezembro de 2026.</w:t>
            </w:r>
          </w:p>
          <w:p w14:paraId="57C227A7" w14:textId="405B6298" w:rsidR="00A26CD8" w:rsidRPr="00D462F0" w:rsidRDefault="00A26CD8" w:rsidP="00D462F0">
            <w:pPr>
              <w:jc w:val="both"/>
              <w:rPr>
                <w:rFonts w:asciiTheme="majorHAnsi" w:hAnsiTheme="majorHAnsi" w:cstheme="majorHAnsi"/>
                <w:sz w:val="24"/>
                <w:szCs w:val="24"/>
              </w:rPr>
            </w:pPr>
          </w:p>
        </w:tc>
        <w:tc>
          <w:tcPr>
            <w:tcW w:w="4075" w:type="dxa"/>
          </w:tcPr>
          <w:p w14:paraId="2426E6CD" w14:textId="7205640C"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VII.</w:t>
            </w:r>
          </w:p>
          <w:p w14:paraId="03710F9B"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artigo em questão tem intuito de reduzir exigências à medida que amplia o prazo para as entidades levando em consideração o andamento da tramitação no CNPC nova alteração à Resolução CNPC nº 50, de 2022, para atualização do seu regulamento. Nesse sentido, tal alteração reduz exigência à medida que amplia o prazo para ajuste dos regulamentos das EFPC até dezembro de 2026. </w:t>
            </w:r>
          </w:p>
          <w:p w14:paraId="23706B93"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Por isso, o artigo em questão se enquadra em uma dispensa de AIR </w:t>
            </w:r>
          </w:p>
          <w:p w14:paraId="4E782788" w14:textId="2ADBBE12"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“ato normativo que reduza exigências, obrigações, restrições, requerimentos ou especificações com o objetivo de diminuir os custos regulatórios”, conforme consta do art. 4º, inciso VII do Decreto nº 10.411, de 2020.</w:t>
            </w:r>
          </w:p>
        </w:tc>
      </w:tr>
      <w:tr w:rsidR="00524962" w:rsidRPr="00C93770" w14:paraId="0731E496" w14:textId="77777777" w:rsidTr="1756A420">
        <w:tc>
          <w:tcPr>
            <w:tcW w:w="4074" w:type="dxa"/>
          </w:tcPr>
          <w:p w14:paraId="5C9CADFA" w14:textId="14D262CB"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01CB44DD" w14:textId="4AB49A66"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E1D7B1E" w14:textId="77777777" w:rsidR="00524962" w:rsidRPr="00D462F0" w:rsidRDefault="00524962" w:rsidP="00D462F0">
            <w:pPr>
              <w:jc w:val="both"/>
              <w:rPr>
                <w:rFonts w:asciiTheme="majorHAnsi" w:hAnsiTheme="majorHAnsi" w:cstheme="majorHAnsi"/>
                <w:sz w:val="24"/>
                <w:szCs w:val="24"/>
              </w:rPr>
            </w:pPr>
          </w:p>
        </w:tc>
        <w:tc>
          <w:tcPr>
            <w:tcW w:w="4075" w:type="dxa"/>
          </w:tcPr>
          <w:p w14:paraId="7C092DE0" w14:textId="77777777" w:rsidR="00524962" w:rsidRPr="00D462F0" w:rsidRDefault="00524962" w:rsidP="00D462F0">
            <w:pPr>
              <w:jc w:val="both"/>
              <w:rPr>
                <w:rFonts w:asciiTheme="majorHAnsi" w:hAnsiTheme="majorHAnsi" w:cstheme="majorHAnsi"/>
                <w:bCs/>
                <w:sz w:val="24"/>
                <w:szCs w:val="24"/>
              </w:rPr>
            </w:pPr>
          </w:p>
        </w:tc>
      </w:tr>
      <w:tr w:rsidR="00524962" w:rsidRPr="00C93770" w14:paraId="32A94FEC" w14:textId="77777777" w:rsidTr="1756A420">
        <w:tc>
          <w:tcPr>
            <w:tcW w:w="4074" w:type="dxa"/>
          </w:tcPr>
          <w:p w14:paraId="02EEB262" w14:textId="77777777" w:rsidR="00524962" w:rsidRPr="00D462F0" w:rsidRDefault="00524962"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Subseção VII</w:t>
            </w:r>
          </w:p>
          <w:p w14:paraId="2E3A159A" w14:textId="2A788C20"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b/>
                <w:sz w:val="24"/>
                <w:szCs w:val="24"/>
              </w:rPr>
              <w:t>Retirada de Patrocínio</w:t>
            </w:r>
          </w:p>
        </w:tc>
        <w:tc>
          <w:tcPr>
            <w:tcW w:w="4074" w:type="dxa"/>
          </w:tcPr>
          <w:p w14:paraId="787CC896" w14:textId="77777777" w:rsidR="00524962" w:rsidRPr="00D462F0" w:rsidRDefault="00524962"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Subseção VII</w:t>
            </w:r>
          </w:p>
          <w:p w14:paraId="055B83D9" w14:textId="66281E0C"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
                <w:sz w:val="24"/>
                <w:szCs w:val="24"/>
              </w:rPr>
              <w:t>Retirada de Patrocínio</w:t>
            </w:r>
          </w:p>
        </w:tc>
        <w:tc>
          <w:tcPr>
            <w:tcW w:w="4074" w:type="dxa"/>
          </w:tcPr>
          <w:p w14:paraId="22DDD993" w14:textId="77777777" w:rsidR="00524962" w:rsidRPr="00D462F0" w:rsidRDefault="00524962" w:rsidP="00D462F0">
            <w:pPr>
              <w:jc w:val="both"/>
              <w:rPr>
                <w:rFonts w:asciiTheme="majorHAnsi" w:hAnsiTheme="majorHAnsi" w:cstheme="majorHAnsi"/>
                <w:sz w:val="24"/>
                <w:szCs w:val="24"/>
              </w:rPr>
            </w:pPr>
          </w:p>
        </w:tc>
        <w:tc>
          <w:tcPr>
            <w:tcW w:w="4075" w:type="dxa"/>
          </w:tcPr>
          <w:p w14:paraId="33F0A9A8" w14:textId="77777777" w:rsidR="00524962" w:rsidRPr="00D462F0" w:rsidRDefault="00524962" w:rsidP="00D462F0">
            <w:pPr>
              <w:jc w:val="both"/>
              <w:rPr>
                <w:rFonts w:asciiTheme="majorHAnsi" w:hAnsiTheme="majorHAnsi" w:cstheme="majorHAnsi"/>
                <w:bCs/>
                <w:sz w:val="24"/>
                <w:szCs w:val="24"/>
              </w:rPr>
            </w:pPr>
          </w:p>
        </w:tc>
      </w:tr>
      <w:tr w:rsidR="00524962" w:rsidRPr="00C93770" w14:paraId="4158BB57" w14:textId="77777777" w:rsidTr="1756A420">
        <w:tc>
          <w:tcPr>
            <w:tcW w:w="4074" w:type="dxa"/>
          </w:tcPr>
          <w:p w14:paraId="651F9ECD" w14:textId="38676E3F"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091C1829" w14:textId="498C813A"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15D78FC6" w14:textId="77777777" w:rsidR="00524962" w:rsidRPr="00D462F0" w:rsidRDefault="00524962" w:rsidP="00D462F0">
            <w:pPr>
              <w:jc w:val="both"/>
              <w:rPr>
                <w:rFonts w:asciiTheme="majorHAnsi" w:hAnsiTheme="majorHAnsi" w:cstheme="majorHAnsi"/>
                <w:sz w:val="24"/>
                <w:szCs w:val="24"/>
              </w:rPr>
            </w:pPr>
          </w:p>
        </w:tc>
        <w:tc>
          <w:tcPr>
            <w:tcW w:w="4075" w:type="dxa"/>
          </w:tcPr>
          <w:p w14:paraId="09B35F39" w14:textId="77777777" w:rsidR="00524962" w:rsidRPr="00D462F0" w:rsidRDefault="00524962" w:rsidP="00D462F0">
            <w:pPr>
              <w:jc w:val="both"/>
              <w:rPr>
                <w:rFonts w:asciiTheme="majorHAnsi" w:hAnsiTheme="majorHAnsi" w:cstheme="majorHAnsi"/>
                <w:bCs/>
                <w:sz w:val="24"/>
                <w:szCs w:val="24"/>
              </w:rPr>
            </w:pPr>
          </w:p>
        </w:tc>
      </w:tr>
      <w:tr w:rsidR="00A26CD8" w:rsidRPr="00C93770" w14:paraId="52101E60" w14:textId="77777777" w:rsidTr="1756A420">
        <w:tc>
          <w:tcPr>
            <w:tcW w:w="4074" w:type="dxa"/>
          </w:tcPr>
          <w:p w14:paraId="450CD1E9" w14:textId="16400F89"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135. </w:t>
            </w:r>
            <w:r w:rsidR="0091362C" w:rsidRPr="00D462F0">
              <w:rPr>
                <w:rFonts w:asciiTheme="majorHAnsi" w:hAnsiTheme="majorHAnsi" w:cstheme="majorHAnsi"/>
                <w:sz w:val="24"/>
                <w:szCs w:val="24"/>
              </w:rPr>
              <w:t xml:space="preserve"> </w:t>
            </w:r>
            <w:r w:rsidRPr="00D462F0">
              <w:rPr>
                <w:rFonts w:asciiTheme="majorHAnsi" w:hAnsiTheme="majorHAnsi" w:cstheme="majorHAnsi"/>
                <w:sz w:val="24"/>
                <w:szCs w:val="24"/>
              </w:rPr>
              <w:t xml:space="preserve">Para os fins desta </w:t>
            </w:r>
            <w:r w:rsidRPr="00D462F0">
              <w:rPr>
                <w:rFonts w:asciiTheme="majorHAnsi" w:hAnsiTheme="majorHAnsi" w:cstheme="majorHAnsi"/>
                <w:bCs/>
                <w:sz w:val="24"/>
                <w:szCs w:val="24"/>
              </w:rPr>
              <w:t>Seção</w:t>
            </w:r>
            <w:r w:rsidRPr="00D462F0">
              <w:rPr>
                <w:rFonts w:asciiTheme="majorHAnsi" w:hAnsiTheme="majorHAnsi" w:cstheme="majorHAnsi"/>
                <w:sz w:val="24"/>
                <w:szCs w:val="24"/>
              </w:rPr>
              <w:t>, considera-se as seguintes definições: (Redação dada pela Resolução Previc nº 25, de 15 de outubro de 2024)</w:t>
            </w:r>
          </w:p>
        </w:tc>
        <w:tc>
          <w:tcPr>
            <w:tcW w:w="4074" w:type="dxa"/>
          </w:tcPr>
          <w:p w14:paraId="17DDB5AF" w14:textId="2CBC7298"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135. </w:t>
            </w:r>
            <w:r w:rsidR="0091362C"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 xml:space="preserve">Para os fins desta </w:t>
            </w:r>
            <w:r w:rsidR="00C905A7" w:rsidRPr="00D462F0">
              <w:rPr>
                <w:rFonts w:asciiTheme="majorHAnsi" w:hAnsiTheme="majorHAnsi" w:cstheme="majorHAnsi"/>
                <w:bCs/>
                <w:strike/>
                <w:color w:val="EE0000"/>
                <w:sz w:val="24"/>
                <w:szCs w:val="24"/>
              </w:rPr>
              <w:t>Seção</w:t>
            </w:r>
            <w:r w:rsidR="00C905A7"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Subseção</w:t>
            </w:r>
            <w:r w:rsidRPr="00D462F0">
              <w:rPr>
                <w:rFonts w:asciiTheme="majorHAnsi" w:hAnsiTheme="majorHAnsi" w:cstheme="majorHAnsi"/>
                <w:bCs/>
                <w:sz w:val="24"/>
                <w:szCs w:val="24"/>
              </w:rPr>
              <w:t xml:space="preserve">, considera-se as seguintes definições: </w:t>
            </w:r>
          </w:p>
        </w:tc>
        <w:tc>
          <w:tcPr>
            <w:tcW w:w="4074" w:type="dxa"/>
          </w:tcPr>
          <w:p w14:paraId="08B11393"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remissão da Subseção</w:t>
            </w:r>
          </w:p>
          <w:p w14:paraId="2F8FAC7A" w14:textId="3C7C540C" w:rsidR="00A26CD8" w:rsidRPr="00D462F0" w:rsidRDefault="00A26CD8" w:rsidP="00D462F0">
            <w:pPr>
              <w:jc w:val="both"/>
              <w:rPr>
                <w:rFonts w:asciiTheme="majorHAnsi" w:hAnsiTheme="majorHAnsi" w:cstheme="majorHAnsi"/>
                <w:sz w:val="24"/>
                <w:szCs w:val="24"/>
              </w:rPr>
            </w:pPr>
          </w:p>
        </w:tc>
        <w:tc>
          <w:tcPr>
            <w:tcW w:w="4075" w:type="dxa"/>
          </w:tcPr>
          <w:p w14:paraId="29F89E84"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IV.</w:t>
            </w:r>
          </w:p>
          <w:p w14:paraId="54D90D58"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Trata-se de atualização de artigo em razão de uso de termo inadequado, </w:t>
            </w:r>
            <w:r w:rsidRPr="00D462F0">
              <w:rPr>
                <w:rFonts w:asciiTheme="majorHAnsi" w:hAnsiTheme="majorHAnsi" w:cstheme="majorHAnsi"/>
                <w:bCs/>
                <w:sz w:val="24"/>
                <w:szCs w:val="24"/>
              </w:rPr>
              <w:lastRenderedPageBreak/>
              <w:t>apenas no sentido de obter maior clareza e sem alteração de mérito.</w:t>
            </w:r>
          </w:p>
          <w:p w14:paraId="35D89D1C" w14:textId="700410FB"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a alteração do artigo em questão dispensa-se a realização de AIR por se tratar de artigo que visa “(...) a atualização ou à revogação de normas consideradas obsoletas, sem alteração de mérito”, conforme disposto no inciso IV, do art. 4º do Decreto nº 10.411, de 2020.</w:t>
            </w:r>
          </w:p>
        </w:tc>
      </w:tr>
      <w:tr w:rsidR="00A26CD8" w:rsidRPr="00C93770" w14:paraId="5320C0BA" w14:textId="77777777" w:rsidTr="1756A420">
        <w:tc>
          <w:tcPr>
            <w:tcW w:w="4074" w:type="dxa"/>
          </w:tcPr>
          <w:p w14:paraId="0C966DFA" w14:textId="65C5C134"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Art. 136.  A EFPC deve, no prazo de até dez dias úteis, contados da data da notificação do patrocinador: </w:t>
            </w:r>
          </w:p>
        </w:tc>
        <w:tc>
          <w:tcPr>
            <w:tcW w:w="4074" w:type="dxa"/>
          </w:tcPr>
          <w:p w14:paraId="49D794A8" w14:textId="634D2C18"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136.  </w:t>
            </w:r>
            <w:r w:rsidR="0091362C" w:rsidRPr="00D462F0">
              <w:rPr>
                <w:rFonts w:asciiTheme="majorHAnsi" w:hAnsiTheme="majorHAnsi" w:cstheme="majorHAnsi"/>
                <w:bCs/>
                <w:sz w:val="24"/>
                <w:szCs w:val="24"/>
              </w:rPr>
              <w:t>...</w:t>
            </w:r>
          </w:p>
          <w:p w14:paraId="0205DA14" w14:textId="31A3E4C3" w:rsidR="00A26CD8" w:rsidRPr="00D462F0" w:rsidRDefault="00A26CD8" w:rsidP="00D462F0">
            <w:pPr>
              <w:jc w:val="both"/>
              <w:rPr>
                <w:rFonts w:asciiTheme="majorHAnsi" w:hAnsiTheme="majorHAnsi" w:cstheme="majorHAnsi"/>
                <w:bCs/>
                <w:sz w:val="24"/>
                <w:szCs w:val="24"/>
              </w:rPr>
            </w:pPr>
          </w:p>
        </w:tc>
        <w:tc>
          <w:tcPr>
            <w:tcW w:w="4074" w:type="dxa"/>
          </w:tcPr>
          <w:p w14:paraId="358BE4F8" w14:textId="667485A4" w:rsidR="00A26CD8" w:rsidRPr="00D462F0" w:rsidRDefault="0091362C"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52DBBE4F" w14:textId="77777777" w:rsidR="00A26CD8" w:rsidRPr="00D462F0" w:rsidRDefault="00A26CD8" w:rsidP="00D462F0">
            <w:pPr>
              <w:jc w:val="both"/>
              <w:rPr>
                <w:rFonts w:asciiTheme="majorHAnsi" w:hAnsiTheme="majorHAnsi" w:cstheme="majorHAnsi"/>
                <w:bCs/>
                <w:sz w:val="24"/>
                <w:szCs w:val="24"/>
              </w:rPr>
            </w:pPr>
          </w:p>
        </w:tc>
      </w:tr>
      <w:tr w:rsidR="00524962" w:rsidRPr="00C93770" w14:paraId="636DD02E" w14:textId="77777777" w:rsidTr="1756A420">
        <w:tc>
          <w:tcPr>
            <w:tcW w:w="4074" w:type="dxa"/>
          </w:tcPr>
          <w:p w14:paraId="076630BB" w14:textId="659AEB2A"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76681CAB" w14:textId="2F02A56F"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1320C8CE" w14:textId="77777777" w:rsidR="00524962" w:rsidRPr="00D462F0" w:rsidRDefault="00524962" w:rsidP="00D462F0">
            <w:pPr>
              <w:jc w:val="both"/>
              <w:rPr>
                <w:rFonts w:asciiTheme="majorHAnsi" w:hAnsiTheme="majorHAnsi" w:cstheme="majorHAnsi"/>
                <w:sz w:val="24"/>
                <w:szCs w:val="24"/>
              </w:rPr>
            </w:pPr>
          </w:p>
        </w:tc>
        <w:tc>
          <w:tcPr>
            <w:tcW w:w="4075" w:type="dxa"/>
          </w:tcPr>
          <w:p w14:paraId="6BC443E6" w14:textId="77777777" w:rsidR="00524962" w:rsidRPr="00D462F0" w:rsidRDefault="00524962" w:rsidP="00D462F0">
            <w:pPr>
              <w:jc w:val="both"/>
              <w:rPr>
                <w:rFonts w:asciiTheme="majorHAnsi" w:hAnsiTheme="majorHAnsi" w:cstheme="majorHAnsi"/>
                <w:bCs/>
                <w:sz w:val="24"/>
                <w:szCs w:val="24"/>
              </w:rPr>
            </w:pPr>
          </w:p>
        </w:tc>
      </w:tr>
      <w:tr w:rsidR="00A26CD8" w:rsidRPr="00C93770" w14:paraId="480B3997" w14:textId="77777777" w:rsidTr="1756A420">
        <w:tc>
          <w:tcPr>
            <w:tcW w:w="4074" w:type="dxa"/>
          </w:tcPr>
          <w:p w14:paraId="1C5805A4" w14:textId="2B86B3BE"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§2º  A EFPC e o patrocinador retirante devem dar início à atualização cadastral dos participantes e assistidos vinculados ao plano de benefícios objeto da retirada de patrocínio, incluindo os participantes optantes pelos institutos do autopatrocínio e do benefício proporcional diferido e os </w:t>
            </w:r>
            <w:proofErr w:type="spellStart"/>
            <w:r w:rsidRPr="00D462F0">
              <w:rPr>
                <w:rFonts w:asciiTheme="majorHAnsi" w:hAnsiTheme="majorHAnsi" w:cstheme="majorHAnsi"/>
                <w:bCs/>
                <w:sz w:val="24"/>
                <w:szCs w:val="24"/>
              </w:rPr>
              <w:t>ex-participantes</w:t>
            </w:r>
            <w:proofErr w:type="spellEnd"/>
            <w:r w:rsidRPr="00D462F0">
              <w:rPr>
                <w:rFonts w:asciiTheme="majorHAnsi" w:hAnsiTheme="majorHAnsi" w:cstheme="majorHAnsi"/>
                <w:sz w:val="24"/>
                <w:szCs w:val="24"/>
              </w:rPr>
              <w:t xml:space="preserve"> com recursos financeiros no plano de benefícios, em, no máximo, trinta dias, contados da data da notificação.</w:t>
            </w:r>
          </w:p>
        </w:tc>
        <w:tc>
          <w:tcPr>
            <w:tcW w:w="4074" w:type="dxa"/>
          </w:tcPr>
          <w:p w14:paraId="77DD2025" w14:textId="19850103"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§2º  A EFPC e o patrocinador retirante devem dar início à atualização cadastral dos participantes e assistidos vinculados ao plano de benefícios objeto da retirada de patrocínio, incluindo os participantes optantes pelos institutos do autopatrocínio e do benefício proporcional diferido e os</w:t>
            </w:r>
            <w:r w:rsidR="00C905A7" w:rsidRPr="00D462F0">
              <w:rPr>
                <w:rFonts w:asciiTheme="majorHAnsi" w:hAnsiTheme="majorHAnsi" w:cstheme="majorHAnsi"/>
                <w:bCs/>
                <w:color w:val="0000FF"/>
                <w:sz w:val="24"/>
                <w:szCs w:val="24"/>
              </w:rPr>
              <w:t xml:space="preserve"> </w:t>
            </w:r>
            <w:proofErr w:type="spellStart"/>
            <w:r w:rsidR="00C905A7" w:rsidRPr="00D462F0">
              <w:rPr>
                <w:rFonts w:asciiTheme="majorHAnsi" w:hAnsiTheme="majorHAnsi" w:cstheme="majorHAnsi"/>
                <w:bCs/>
                <w:strike/>
                <w:color w:val="EE0000"/>
                <w:sz w:val="24"/>
                <w:szCs w:val="24"/>
              </w:rPr>
              <w:t>ex-participantes</w:t>
            </w:r>
            <w:proofErr w:type="spellEnd"/>
            <w:r w:rsidRPr="00D462F0">
              <w:rPr>
                <w:rFonts w:asciiTheme="majorHAnsi" w:hAnsiTheme="majorHAnsi" w:cstheme="majorHAnsi"/>
                <w:bCs/>
                <w:strike/>
                <w:color w:val="EE0000"/>
                <w:sz w:val="24"/>
                <w:szCs w:val="24"/>
              </w:rPr>
              <w:t xml:space="preserve"> </w:t>
            </w:r>
            <w:r w:rsidRPr="00D462F0">
              <w:rPr>
                <w:rFonts w:asciiTheme="majorHAnsi" w:hAnsiTheme="majorHAnsi" w:cstheme="majorHAnsi"/>
                <w:bCs/>
                <w:color w:val="0000FF"/>
                <w:sz w:val="24"/>
                <w:szCs w:val="24"/>
              </w:rPr>
              <w:t xml:space="preserve">participantes cancelados </w:t>
            </w:r>
            <w:r w:rsidRPr="00D462F0">
              <w:rPr>
                <w:rFonts w:asciiTheme="majorHAnsi" w:hAnsiTheme="majorHAnsi" w:cstheme="majorHAnsi"/>
                <w:bCs/>
                <w:sz w:val="24"/>
                <w:szCs w:val="24"/>
              </w:rPr>
              <w:t>com recursos financeiros no plano de benefícios, em, no máximo, trinta dias, contados da data da notificação.</w:t>
            </w:r>
          </w:p>
        </w:tc>
        <w:tc>
          <w:tcPr>
            <w:tcW w:w="4074" w:type="dxa"/>
          </w:tcPr>
          <w:p w14:paraId="556DE894"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Ajuste no termo técnico para definição clara dos participantes que tiveram seus planos cancelados, mas ainda possuam recursos a serem tratados.</w:t>
            </w:r>
          </w:p>
          <w:p w14:paraId="792714CA" w14:textId="3D648C7A" w:rsidR="00A26CD8" w:rsidRPr="00D462F0" w:rsidRDefault="00A26CD8" w:rsidP="00D462F0">
            <w:pPr>
              <w:jc w:val="both"/>
              <w:rPr>
                <w:rFonts w:asciiTheme="majorHAnsi" w:hAnsiTheme="majorHAnsi" w:cstheme="majorHAnsi"/>
                <w:sz w:val="24"/>
                <w:szCs w:val="24"/>
              </w:rPr>
            </w:pPr>
          </w:p>
        </w:tc>
        <w:tc>
          <w:tcPr>
            <w:tcW w:w="4075" w:type="dxa"/>
          </w:tcPr>
          <w:p w14:paraId="4B9D4ED6"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IV.</w:t>
            </w:r>
          </w:p>
          <w:p w14:paraId="6CE63EF5"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atualização de artigo em razão de uso de termo inadequado, apenas no sentido de obter maior clareza e sem alteração de mérito.</w:t>
            </w:r>
          </w:p>
          <w:p w14:paraId="580A2753"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a alteração do artigo em questão dispensa-se a realização de AIR por se tratar de artigo que visa “(...) a atualização ou à revogação de normas consideradas obsoletas, sem alteração de mérito”, conforme disposto no inciso IV, do art. 4º do Decreto nº 10.411, de 2020.</w:t>
            </w:r>
          </w:p>
          <w:p w14:paraId="6B557235" w14:textId="77777777" w:rsidR="00A26CD8" w:rsidRPr="00D462F0" w:rsidRDefault="00A26CD8" w:rsidP="00D462F0">
            <w:pPr>
              <w:jc w:val="both"/>
              <w:rPr>
                <w:rFonts w:asciiTheme="majorHAnsi" w:hAnsiTheme="majorHAnsi" w:cstheme="majorHAnsi"/>
                <w:bCs/>
                <w:sz w:val="24"/>
                <w:szCs w:val="24"/>
              </w:rPr>
            </w:pPr>
          </w:p>
        </w:tc>
      </w:tr>
      <w:tr w:rsidR="00524962" w:rsidRPr="00C93770" w14:paraId="147702D0" w14:textId="77777777" w:rsidTr="1756A420">
        <w:tc>
          <w:tcPr>
            <w:tcW w:w="4074" w:type="dxa"/>
          </w:tcPr>
          <w:p w14:paraId="3912A034" w14:textId="2C48CC2A"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1A98C196" w14:textId="6B4C1600"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1475109" w14:textId="77777777" w:rsidR="00524962" w:rsidRPr="00D462F0" w:rsidRDefault="00524962" w:rsidP="00D462F0">
            <w:pPr>
              <w:jc w:val="both"/>
              <w:rPr>
                <w:rFonts w:asciiTheme="majorHAnsi" w:hAnsiTheme="majorHAnsi" w:cstheme="majorHAnsi"/>
                <w:sz w:val="24"/>
                <w:szCs w:val="24"/>
              </w:rPr>
            </w:pPr>
          </w:p>
        </w:tc>
        <w:tc>
          <w:tcPr>
            <w:tcW w:w="4075" w:type="dxa"/>
          </w:tcPr>
          <w:p w14:paraId="57FCB34A" w14:textId="77777777" w:rsidR="00524962" w:rsidRPr="00D462F0" w:rsidRDefault="00524962" w:rsidP="00D462F0">
            <w:pPr>
              <w:jc w:val="both"/>
              <w:rPr>
                <w:rFonts w:asciiTheme="majorHAnsi" w:hAnsiTheme="majorHAnsi" w:cstheme="majorHAnsi"/>
                <w:bCs/>
                <w:sz w:val="24"/>
                <w:szCs w:val="24"/>
              </w:rPr>
            </w:pPr>
          </w:p>
        </w:tc>
      </w:tr>
      <w:tr w:rsidR="00A26CD8" w:rsidRPr="00C93770" w14:paraId="23263692" w14:textId="77777777" w:rsidTr="1756A420">
        <w:tc>
          <w:tcPr>
            <w:tcW w:w="4074" w:type="dxa"/>
          </w:tcPr>
          <w:p w14:paraId="0AA64817" w14:textId="00514348"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142. </w:t>
            </w:r>
            <w:r w:rsidR="0091362C" w:rsidRPr="00D462F0">
              <w:rPr>
                <w:rFonts w:asciiTheme="majorHAnsi" w:hAnsiTheme="majorHAnsi" w:cstheme="majorHAnsi"/>
                <w:sz w:val="24"/>
                <w:szCs w:val="24"/>
              </w:rPr>
              <w:t xml:space="preserve"> </w:t>
            </w:r>
            <w:r w:rsidRPr="00D462F0">
              <w:rPr>
                <w:rFonts w:asciiTheme="majorHAnsi" w:hAnsiTheme="majorHAnsi" w:cstheme="majorHAnsi"/>
                <w:sz w:val="24"/>
                <w:szCs w:val="24"/>
              </w:rPr>
              <w:t xml:space="preserve">A EFPC deve encaminhar a documentação comprobatória da finalização da retirada de patrocínio em até noventa dias contados da data de conclusão da </w:t>
            </w:r>
            <w:r w:rsidRPr="00D462F0">
              <w:rPr>
                <w:rFonts w:asciiTheme="majorHAnsi" w:hAnsiTheme="majorHAnsi" w:cstheme="majorHAnsi"/>
                <w:bCs/>
                <w:sz w:val="24"/>
                <w:szCs w:val="24"/>
              </w:rPr>
              <w:t>retirada</w:t>
            </w:r>
            <w:r w:rsidRPr="00D462F0">
              <w:rPr>
                <w:rFonts w:asciiTheme="majorHAnsi" w:hAnsiTheme="majorHAnsi" w:cstheme="majorHAnsi"/>
                <w:sz w:val="24"/>
                <w:szCs w:val="24"/>
              </w:rPr>
              <w:t xml:space="preserve">. </w:t>
            </w:r>
          </w:p>
        </w:tc>
        <w:tc>
          <w:tcPr>
            <w:tcW w:w="4074" w:type="dxa"/>
          </w:tcPr>
          <w:p w14:paraId="282858D9" w14:textId="488ED395"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142. </w:t>
            </w:r>
            <w:r w:rsidR="0091362C"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 xml:space="preserve">A EFPC deve encaminhar a documentação comprobatória da finalização da retirada de patrocínio </w:t>
            </w:r>
            <w:r w:rsidRPr="00D462F0">
              <w:rPr>
                <w:rFonts w:asciiTheme="majorHAnsi" w:hAnsiTheme="majorHAnsi" w:cstheme="majorHAnsi"/>
                <w:bCs/>
                <w:color w:val="0000FF"/>
                <w:sz w:val="24"/>
                <w:szCs w:val="24"/>
              </w:rPr>
              <w:t>ou da rescisão de convênio de adesão por iniciativa da EFPC</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 xml:space="preserve">em até noventa dias contados da data de conclusão da </w:t>
            </w:r>
            <w:r w:rsidR="00C905A7" w:rsidRPr="00D462F0">
              <w:rPr>
                <w:rFonts w:asciiTheme="majorHAnsi" w:hAnsiTheme="majorHAnsi" w:cstheme="majorHAnsi"/>
                <w:bCs/>
                <w:strike/>
                <w:color w:val="EE0000"/>
                <w:sz w:val="24"/>
                <w:szCs w:val="24"/>
              </w:rPr>
              <w:t>retirada</w:t>
            </w:r>
            <w:r w:rsidR="00C905A7"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operação.</w:t>
            </w:r>
            <w:r w:rsidRPr="00D462F0">
              <w:rPr>
                <w:rFonts w:asciiTheme="majorHAnsi" w:hAnsiTheme="majorHAnsi" w:cstheme="majorHAnsi"/>
                <w:bCs/>
                <w:sz w:val="24"/>
                <w:szCs w:val="24"/>
              </w:rPr>
              <w:t xml:space="preserve"> </w:t>
            </w:r>
          </w:p>
        </w:tc>
        <w:tc>
          <w:tcPr>
            <w:tcW w:w="4074" w:type="dxa"/>
          </w:tcPr>
          <w:p w14:paraId="56CEFDE7"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Ajuste no dispositivo busca garantir maior clareza e conformidade legal nos processos de licenciamento da retirada de patrocínio e rescisão de convênio de adesão por iniciativa da EFPC, em conformidade com o que dispõe o art. 150 da Resolução Previc nº 23, de 2023.</w:t>
            </w:r>
          </w:p>
          <w:p w14:paraId="2EE5430B" w14:textId="77777777" w:rsidR="00A26CD8" w:rsidRPr="00D462F0" w:rsidRDefault="00A26CD8" w:rsidP="00D462F0">
            <w:pPr>
              <w:jc w:val="both"/>
              <w:rPr>
                <w:rFonts w:asciiTheme="majorHAnsi" w:hAnsiTheme="majorHAnsi" w:cstheme="majorHAnsi"/>
                <w:sz w:val="24"/>
                <w:szCs w:val="24"/>
              </w:rPr>
            </w:pPr>
          </w:p>
        </w:tc>
        <w:tc>
          <w:tcPr>
            <w:tcW w:w="4075" w:type="dxa"/>
          </w:tcPr>
          <w:p w14:paraId="19216F2E" w14:textId="1E008229"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32B2F288"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referido artigo visa garantir maior clareza e conformidade legal nos processos de licenciamento da retirada de patrocínio e rescisão de convênio de adesão por iniciativa da EFPC, em conformidade com o que </w:t>
            </w:r>
            <w:r w:rsidRPr="00D462F0">
              <w:rPr>
                <w:rFonts w:asciiTheme="majorHAnsi" w:hAnsiTheme="majorHAnsi" w:cstheme="majorHAnsi"/>
                <w:bCs/>
                <w:sz w:val="24"/>
                <w:szCs w:val="24"/>
              </w:rPr>
              <w:lastRenderedPageBreak/>
              <w:t xml:space="preserve">dispõe o art. 150 da Resolução Previc nº 23, de 2023.  </w:t>
            </w:r>
          </w:p>
          <w:p w14:paraId="160F23CE"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Conceitualmente higidez é a condição de uma entidade que demonstra equilíbrio atuarial, sustentabilidade de longo prazo e conformidade regulatória. Nesse sentido, trata-se de componente da higidez a conformidade regulatória tendo como pilar a observância das normas da Previc e do CNPC. </w:t>
            </w:r>
          </w:p>
          <w:p w14:paraId="2C49B80B" w14:textId="5DDD5E11"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524962" w:rsidRPr="00C93770" w14:paraId="7D0D1C56" w14:textId="77777777" w:rsidTr="1756A420">
        <w:tc>
          <w:tcPr>
            <w:tcW w:w="4074" w:type="dxa"/>
          </w:tcPr>
          <w:p w14:paraId="01AE90C8" w14:textId="4BDF220F" w:rsidR="00524962" w:rsidRPr="00D462F0" w:rsidRDefault="00524962"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20F4EEB9" w14:textId="0BE35677" w:rsidR="00524962" w:rsidRPr="00D462F0" w:rsidRDefault="00524962"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6F76ED2C" w14:textId="77777777" w:rsidR="00524962" w:rsidRPr="00D462F0" w:rsidRDefault="00524962" w:rsidP="00D462F0">
            <w:pPr>
              <w:jc w:val="both"/>
              <w:rPr>
                <w:rFonts w:asciiTheme="majorHAnsi" w:hAnsiTheme="majorHAnsi" w:cstheme="majorHAnsi"/>
                <w:sz w:val="24"/>
                <w:szCs w:val="24"/>
              </w:rPr>
            </w:pPr>
          </w:p>
        </w:tc>
        <w:tc>
          <w:tcPr>
            <w:tcW w:w="4075" w:type="dxa"/>
          </w:tcPr>
          <w:p w14:paraId="4075AA25" w14:textId="77777777" w:rsidR="00524962" w:rsidRPr="00D462F0" w:rsidRDefault="00524962" w:rsidP="00D462F0">
            <w:pPr>
              <w:jc w:val="both"/>
              <w:rPr>
                <w:rFonts w:asciiTheme="majorHAnsi" w:hAnsiTheme="majorHAnsi" w:cstheme="majorHAnsi"/>
                <w:bCs/>
                <w:sz w:val="24"/>
                <w:szCs w:val="24"/>
              </w:rPr>
            </w:pPr>
          </w:p>
        </w:tc>
      </w:tr>
      <w:tr w:rsidR="00524962" w:rsidRPr="00C93770" w14:paraId="67F475F5" w14:textId="77777777" w:rsidTr="1756A420">
        <w:tc>
          <w:tcPr>
            <w:tcW w:w="4074" w:type="dxa"/>
          </w:tcPr>
          <w:p w14:paraId="2E15EBA3" w14:textId="77777777" w:rsidR="00524962" w:rsidRPr="00D462F0" w:rsidRDefault="00524962"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II</w:t>
            </w:r>
          </w:p>
          <w:p w14:paraId="2646CBE3" w14:textId="7FA8798E" w:rsidR="000C2148" w:rsidRPr="00D462F0" w:rsidRDefault="000C2148" w:rsidP="0028717C">
            <w:pPr>
              <w:jc w:val="center"/>
              <w:rPr>
                <w:rFonts w:asciiTheme="majorHAnsi" w:hAnsiTheme="majorHAnsi" w:cstheme="majorHAnsi"/>
                <w:color w:val="000000"/>
                <w:sz w:val="24"/>
                <w:szCs w:val="24"/>
              </w:rPr>
            </w:pPr>
            <w:r w:rsidRPr="00D462F0">
              <w:rPr>
                <w:rFonts w:asciiTheme="majorHAnsi" w:hAnsiTheme="majorHAnsi" w:cstheme="majorHAnsi"/>
                <w:b/>
                <w:color w:val="000000"/>
                <w:sz w:val="24"/>
                <w:szCs w:val="24"/>
              </w:rPr>
              <w:t>Requerimentos de Licenciamento</w:t>
            </w:r>
          </w:p>
        </w:tc>
        <w:tc>
          <w:tcPr>
            <w:tcW w:w="4074" w:type="dxa"/>
          </w:tcPr>
          <w:p w14:paraId="1B235657" w14:textId="77777777" w:rsidR="000C2148" w:rsidRPr="00D462F0" w:rsidRDefault="000C2148"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II</w:t>
            </w:r>
          </w:p>
          <w:p w14:paraId="0508888D" w14:textId="35B4025A" w:rsidR="00524962" w:rsidRPr="00D462F0" w:rsidRDefault="000C2148" w:rsidP="0028717C">
            <w:pPr>
              <w:jc w:val="center"/>
              <w:rPr>
                <w:rFonts w:asciiTheme="majorHAnsi" w:hAnsiTheme="majorHAnsi" w:cstheme="majorHAnsi"/>
                <w:bCs/>
                <w:color w:val="000000"/>
                <w:sz w:val="24"/>
                <w:szCs w:val="24"/>
              </w:rPr>
            </w:pPr>
            <w:r w:rsidRPr="00D462F0">
              <w:rPr>
                <w:rFonts w:asciiTheme="majorHAnsi" w:hAnsiTheme="majorHAnsi" w:cstheme="majorHAnsi"/>
                <w:b/>
                <w:color w:val="000000"/>
                <w:sz w:val="24"/>
                <w:szCs w:val="24"/>
              </w:rPr>
              <w:t>Requerimentos de Licenciamento</w:t>
            </w:r>
          </w:p>
        </w:tc>
        <w:tc>
          <w:tcPr>
            <w:tcW w:w="4074" w:type="dxa"/>
          </w:tcPr>
          <w:p w14:paraId="336B4ED5" w14:textId="77777777" w:rsidR="00524962" w:rsidRPr="00D462F0" w:rsidRDefault="00524962" w:rsidP="00D462F0">
            <w:pPr>
              <w:jc w:val="both"/>
              <w:rPr>
                <w:rFonts w:asciiTheme="majorHAnsi" w:hAnsiTheme="majorHAnsi" w:cstheme="majorHAnsi"/>
                <w:sz w:val="24"/>
                <w:szCs w:val="24"/>
              </w:rPr>
            </w:pPr>
          </w:p>
        </w:tc>
        <w:tc>
          <w:tcPr>
            <w:tcW w:w="4075" w:type="dxa"/>
          </w:tcPr>
          <w:p w14:paraId="36BC1167" w14:textId="77777777" w:rsidR="00524962" w:rsidRPr="00D462F0" w:rsidRDefault="00524962" w:rsidP="00D462F0">
            <w:pPr>
              <w:jc w:val="both"/>
              <w:rPr>
                <w:rFonts w:asciiTheme="majorHAnsi" w:hAnsiTheme="majorHAnsi" w:cstheme="majorHAnsi"/>
                <w:bCs/>
                <w:sz w:val="24"/>
                <w:szCs w:val="24"/>
              </w:rPr>
            </w:pPr>
          </w:p>
        </w:tc>
      </w:tr>
      <w:tr w:rsidR="00A26CD8" w:rsidRPr="00C93770" w14:paraId="3779A516" w14:textId="77777777" w:rsidTr="1756A420">
        <w:tc>
          <w:tcPr>
            <w:tcW w:w="4074" w:type="dxa"/>
          </w:tcPr>
          <w:p w14:paraId="087463AA" w14:textId="00C6F79E"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151. </w:t>
            </w:r>
            <w:r w:rsidR="0091362C"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São operações sujeitas ao licenciamento da Previc:</w:t>
            </w:r>
          </w:p>
        </w:tc>
        <w:tc>
          <w:tcPr>
            <w:tcW w:w="4074" w:type="dxa"/>
          </w:tcPr>
          <w:p w14:paraId="547353DE" w14:textId="425A5C59"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151. </w:t>
            </w:r>
            <w:r w:rsidR="0091362C"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00"/>
                <w:sz w:val="24"/>
                <w:szCs w:val="24"/>
              </w:rPr>
              <w:t>...</w:t>
            </w:r>
          </w:p>
          <w:p w14:paraId="74203790" w14:textId="021C8E94" w:rsidR="00A26CD8" w:rsidRPr="00D462F0" w:rsidRDefault="00A26CD8" w:rsidP="00D462F0">
            <w:pPr>
              <w:jc w:val="both"/>
              <w:rPr>
                <w:rFonts w:asciiTheme="majorHAnsi" w:hAnsiTheme="majorHAnsi" w:cstheme="majorHAnsi"/>
                <w:bCs/>
                <w:color w:val="000000"/>
                <w:sz w:val="24"/>
                <w:szCs w:val="24"/>
              </w:rPr>
            </w:pPr>
          </w:p>
        </w:tc>
        <w:tc>
          <w:tcPr>
            <w:tcW w:w="4074" w:type="dxa"/>
          </w:tcPr>
          <w:p w14:paraId="1300821B" w14:textId="4373326E" w:rsidR="00A26CD8" w:rsidRPr="00D462F0" w:rsidRDefault="0029794E"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158C03C7" w14:textId="673F3887" w:rsidR="00A26CD8" w:rsidRPr="00D462F0" w:rsidRDefault="00A26CD8" w:rsidP="00D462F0">
            <w:pPr>
              <w:jc w:val="both"/>
              <w:rPr>
                <w:rFonts w:asciiTheme="majorHAnsi" w:hAnsiTheme="majorHAnsi" w:cstheme="majorHAnsi"/>
                <w:bCs/>
                <w:sz w:val="24"/>
                <w:szCs w:val="24"/>
              </w:rPr>
            </w:pPr>
          </w:p>
        </w:tc>
      </w:tr>
      <w:tr w:rsidR="00B75A97" w:rsidRPr="00C93770" w14:paraId="18ACB5EC" w14:textId="77777777" w:rsidTr="1756A420">
        <w:tc>
          <w:tcPr>
            <w:tcW w:w="4074" w:type="dxa"/>
          </w:tcPr>
          <w:p w14:paraId="458361EB" w14:textId="62C6F01A" w:rsidR="00B75A97" w:rsidRPr="00D462F0" w:rsidRDefault="00B75A97"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5C505554" w14:textId="389A61E9" w:rsidR="00B75A97" w:rsidRPr="00D462F0" w:rsidRDefault="00B75A97"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10E65302" w14:textId="77777777" w:rsidR="00B75A97" w:rsidRPr="00D462F0" w:rsidRDefault="00B75A97" w:rsidP="00D462F0">
            <w:pPr>
              <w:jc w:val="both"/>
              <w:rPr>
                <w:rFonts w:asciiTheme="majorHAnsi" w:hAnsiTheme="majorHAnsi" w:cstheme="majorHAnsi"/>
                <w:sz w:val="24"/>
                <w:szCs w:val="24"/>
              </w:rPr>
            </w:pPr>
          </w:p>
        </w:tc>
        <w:tc>
          <w:tcPr>
            <w:tcW w:w="4075" w:type="dxa"/>
          </w:tcPr>
          <w:p w14:paraId="6F0B1EE2" w14:textId="77777777" w:rsidR="00B75A97" w:rsidRPr="00D462F0" w:rsidRDefault="00B75A97" w:rsidP="00D462F0">
            <w:pPr>
              <w:jc w:val="both"/>
              <w:rPr>
                <w:rFonts w:asciiTheme="majorHAnsi" w:hAnsiTheme="majorHAnsi" w:cstheme="majorHAnsi"/>
                <w:bCs/>
                <w:sz w:val="24"/>
                <w:szCs w:val="24"/>
              </w:rPr>
            </w:pPr>
          </w:p>
        </w:tc>
      </w:tr>
      <w:tr w:rsidR="00A26CD8" w:rsidRPr="00C93770" w14:paraId="732B7247" w14:textId="77777777" w:rsidTr="1756A420">
        <w:tc>
          <w:tcPr>
            <w:tcW w:w="4074" w:type="dxa"/>
          </w:tcPr>
          <w:p w14:paraId="1AD8FE2F" w14:textId="7EAF7704"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119C0D65" w14:textId="1C967C1D"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3º  O licenciamento das operações deve observar as diretrizes estabelecidas no manual de licenciamento aprovado pela Diretoria Colegiada.</w:t>
            </w:r>
          </w:p>
        </w:tc>
        <w:tc>
          <w:tcPr>
            <w:tcW w:w="4074" w:type="dxa"/>
          </w:tcPr>
          <w:p w14:paraId="2ABA97A3" w14:textId="63BF9DA9"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parágrafo para prever manuais de licenciamento, a serem aprovados pela Diretoria Colegiada.</w:t>
            </w:r>
          </w:p>
        </w:tc>
        <w:tc>
          <w:tcPr>
            <w:tcW w:w="4075" w:type="dxa"/>
          </w:tcPr>
          <w:p w14:paraId="491040A6"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535807AE" w14:textId="0F8CFB7F"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alteração de impacto operacional interno, estabelece o manual de licenciamento como referência para a tramitação do fluxo operacional do licenciamento de operações. Nesse sentido, por se tratar de artigo de natureza administrativa, com efeitos diretos à Previc, o caso se enquadra em não aplicabilidade para a realização de AIR.</w:t>
            </w:r>
          </w:p>
        </w:tc>
      </w:tr>
      <w:tr w:rsidR="00A26CD8" w:rsidRPr="00C93770" w14:paraId="331981A4" w14:textId="77777777" w:rsidTr="1756A420">
        <w:tc>
          <w:tcPr>
            <w:tcW w:w="4074" w:type="dxa"/>
          </w:tcPr>
          <w:p w14:paraId="7F4FC5FF" w14:textId="01EB54AB"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lastRenderedPageBreak/>
              <w:t>Art. 152.</w:t>
            </w:r>
            <w:r w:rsidR="0029794E" w:rsidRPr="00D462F0">
              <w:rPr>
                <w:rFonts w:asciiTheme="majorHAnsi" w:hAnsiTheme="majorHAnsi" w:cstheme="majorHAnsi"/>
                <w:sz w:val="24"/>
                <w:szCs w:val="24"/>
              </w:rPr>
              <w:t xml:space="preserve"> </w:t>
            </w:r>
            <w:r w:rsidRPr="00D462F0">
              <w:rPr>
                <w:rFonts w:asciiTheme="majorHAnsi" w:hAnsiTheme="majorHAnsi" w:cstheme="majorHAnsi"/>
                <w:sz w:val="24"/>
                <w:szCs w:val="24"/>
              </w:rPr>
              <w:t xml:space="preserve"> Nos requerimentos de licenciamento que envolverem alteração de estatuto ou alteração de regulamento de plano de benefícios, a EFPC deve:</w:t>
            </w:r>
          </w:p>
        </w:tc>
        <w:tc>
          <w:tcPr>
            <w:tcW w:w="4074" w:type="dxa"/>
          </w:tcPr>
          <w:p w14:paraId="3CC2385A" w14:textId="648A9E66"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152.</w:t>
            </w:r>
            <w:r w:rsidR="0029794E"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w:t>
            </w:r>
          </w:p>
          <w:p w14:paraId="326BB8A1" w14:textId="1BC702C6" w:rsidR="00A26CD8" w:rsidRPr="00D462F0" w:rsidRDefault="00A26CD8" w:rsidP="00D462F0">
            <w:pPr>
              <w:jc w:val="both"/>
              <w:rPr>
                <w:rFonts w:asciiTheme="majorHAnsi" w:hAnsiTheme="majorHAnsi" w:cstheme="majorHAnsi"/>
                <w:bCs/>
                <w:color w:val="000000"/>
                <w:sz w:val="24"/>
                <w:szCs w:val="24"/>
              </w:rPr>
            </w:pPr>
          </w:p>
        </w:tc>
        <w:tc>
          <w:tcPr>
            <w:tcW w:w="4074" w:type="dxa"/>
          </w:tcPr>
          <w:p w14:paraId="6996CF07" w14:textId="32B9D0B2" w:rsidR="00A26CD8" w:rsidRPr="00D462F0" w:rsidRDefault="0029794E"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599137E0" w14:textId="5CD0CF06" w:rsidR="00A26CD8" w:rsidRPr="00D462F0" w:rsidRDefault="00A26CD8" w:rsidP="00D462F0">
            <w:pPr>
              <w:jc w:val="both"/>
              <w:rPr>
                <w:rFonts w:asciiTheme="majorHAnsi" w:hAnsiTheme="majorHAnsi" w:cstheme="majorHAnsi"/>
                <w:bCs/>
                <w:sz w:val="24"/>
                <w:szCs w:val="24"/>
              </w:rPr>
            </w:pPr>
          </w:p>
        </w:tc>
      </w:tr>
      <w:tr w:rsidR="00B75A97" w:rsidRPr="00C93770" w14:paraId="36E1F376" w14:textId="77777777" w:rsidTr="1756A420">
        <w:tc>
          <w:tcPr>
            <w:tcW w:w="4074" w:type="dxa"/>
          </w:tcPr>
          <w:p w14:paraId="543C6A79" w14:textId="125629AF" w:rsidR="00B75A97" w:rsidRPr="00D462F0" w:rsidRDefault="00B75A97"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2CCD8AAF" w14:textId="3C898AEE" w:rsidR="00B75A97" w:rsidRPr="00D462F0" w:rsidRDefault="00B75A97"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44E3689" w14:textId="77777777" w:rsidR="00B75A97" w:rsidRPr="00D462F0" w:rsidRDefault="00B75A97" w:rsidP="00D462F0">
            <w:pPr>
              <w:jc w:val="both"/>
              <w:rPr>
                <w:rFonts w:asciiTheme="majorHAnsi" w:hAnsiTheme="majorHAnsi" w:cstheme="majorHAnsi"/>
                <w:sz w:val="24"/>
                <w:szCs w:val="24"/>
              </w:rPr>
            </w:pPr>
          </w:p>
        </w:tc>
        <w:tc>
          <w:tcPr>
            <w:tcW w:w="4075" w:type="dxa"/>
          </w:tcPr>
          <w:p w14:paraId="278F133E" w14:textId="77777777" w:rsidR="00B75A97" w:rsidRPr="00D462F0" w:rsidRDefault="00B75A97" w:rsidP="00D462F0">
            <w:pPr>
              <w:jc w:val="both"/>
              <w:rPr>
                <w:rFonts w:asciiTheme="majorHAnsi" w:hAnsiTheme="majorHAnsi" w:cstheme="majorHAnsi"/>
                <w:bCs/>
                <w:sz w:val="24"/>
                <w:szCs w:val="24"/>
              </w:rPr>
            </w:pPr>
          </w:p>
        </w:tc>
      </w:tr>
      <w:tr w:rsidR="00A26CD8" w:rsidRPr="00C93770" w14:paraId="7B028C4C" w14:textId="77777777" w:rsidTr="1756A420">
        <w:tc>
          <w:tcPr>
            <w:tcW w:w="4074" w:type="dxa"/>
          </w:tcPr>
          <w:p w14:paraId="3A21192B" w14:textId="1D665B9F"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§2º </w:t>
            </w:r>
            <w:r w:rsidR="0029794E" w:rsidRPr="00D462F0">
              <w:rPr>
                <w:rFonts w:asciiTheme="majorHAnsi" w:hAnsiTheme="majorHAnsi" w:cstheme="majorHAnsi"/>
                <w:sz w:val="24"/>
                <w:szCs w:val="24"/>
              </w:rPr>
              <w:t xml:space="preserve"> </w:t>
            </w:r>
            <w:r w:rsidRPr="00D462F0">
              <w:rPr>
                <w:rFonts w:asciiTheme="majorHAnsi" w:hAnsiTheme="majorHAnsi" w:cstheme="majorHAnsi"/>
                <w:sz w:val="24"/>
                <w:szCs w:val="24"/>
              </w:rPr>
              <w:t xml:space="preserve">As associações de participantes e assistidos que demonstrem sua representatividade poderão ser legitimadas como interessados no processo, nos termos do art. 9º, incisos II e III, da Lei nº 9.784, de 1999, podendo solicitar sua admissão no processo a qualquer </w:t>
            </w:r>
            <w:r w:rsidRPr="00D462F0">
              <w:rPr>
                <w:rStyle w:val="nfaseSutil"/>
                <w:rFonts w:asciiTheme="majorHAnsi" w:hAnsiTheme="majorHAnsi" w:cstheme="majorHAnsi"/>
                <w:sz w:val="24"/>
                <w:szCs w:val="24"/>
              </w:rPr>
              <w:t>momento</w:t>
            </w:r>
            <w:r w:rsidRPr="00D462F0">
              <w:rPr>
                <w:rFonts w:asciiTheme="majorHAnsi" w:hAnsiTheme="majorHAnsi" w:cstheme="majorHAnsi"/>
                <w:sz w:val="24"/>
                <w:szCs w:val="24"/>
              </w:rPr>
              <w:t xml:space="preserve"> na fase de instrução, com direito a formular alegações e apresentar documentos antes da decisão final da Previc.</w:t>
            </w:r>
          </w:p>
        </w:tc>
        <w:tc>
          <w:tcPr>
            <w:tcW w:w="4074" w:type="dxa"/>
          </w:tcPr>
          <w:p w14:paraId="22CF65C8" w14:textId="5B0774B1" w:rsidR="009F4B20" w:rsidRPr="00257762" w:rsidRDefault="00972724" w:rsidP="00257762">
            <w:pPr>
              <w:jc w:val="both"/>
              <w:rPr>
                <w:rFonts w:ascii="Calibri" w:hAnsi="Calibri" w:cs="Calibri"/>
                <w:sz w:val="24"/>
                <w:szCs w:val="24"/>
              </w:rPr>
            </w:pPr>
            <w:r w:rsidRPr="00257762">
              <w:rPr>
                <w:rFonts w:ascii="Calibri" w:hAnsi="Calibri" w:cs="Calibri"/>
                <w:sz w:val="24"/>
                <w:szCs w:val="24"/>
              </w:rPr>
              <w:t xml:space="preserve">§2º  As associações de participantes e assistidos que demonstrem sua representatividade poderão </w:t>
            </w:r>
            <w:r w:rsidRPr="00257762">
              <w:rPr>
                <w:rFonts w:ascii="Calibri" w:hAnsi="Calibri" w:cs="Calibri"/>
                <w:strike/>
                <w:color w:val="EE0000"/>
                <w:sz w:val="24"/>
                <w:szCs w:val="24"/>
              </w:rPr>
              <w:t>ser</w:t>
            </w:r>
            <w:r w:rsidRPr="00257762">
              <w:rPr>
                <w:rFonts w:ascii="Calibri" w:hAnsi="Calibri" w:cs="Calibri"/>
                <w:sz w:val="24"/>
                <w:szCs w:val="24"/>
              </w:rPr>
              <w:t xml:space="preserve"> </w:t>
            </w:r>
            <w:r w:rsidR="00EE3188" w:rsidRPr="00257762">
              <w:rPr>
                <w:rFonts w:ascii="Calibri" w:hAnsi="Calibri" w:cs="Calibri"/>
                <w:color w:val="0000FF"/>
                <w:sz w:val="24"/>
                <w:szCs w:val="24"/>
              </w:rPr>
              <w:t xml:space="preserve">solicitar admissão </w:t>
            </w:r>
            <w:r w:rsidRPr="00257762">
              <w:rPr>
                <w:rFonts w:ascii="Calibri" w:hAnsi="Calibri" w:cs="Calibri"/>
                <w:strike/>
                <w:color w:val="EE0000"/>
                <w:sz w:val="24"/>
                <w:szCs w:val="24"/>
              </w:rPr>
              <w:t>legitimadas</w:t>
            </w:r>
            <w:r w:rsidRPr="00257762">
              <w:rPr>
                <w:rFonts w:ascii="Calibri" w:hAnsi="Calibri" w:cs="Calibri"/>
                <w:color w:val="EE0000"/>
                <w:sz w:val="24"/>
                <w:szCs w:val="24"/>
              </w:rPr>
              <w:t xml:space="preserve"> </w:t>
            </w:r>
            <w:r w:rsidRPr="00257762">
              <w:rPr>
                <w:rFonts w:ascii="Calibri" w:hAnsi="Calibri" w:cs="Calibri"/>
                <w:sz w:val="24"/>
                <w:szCs w:val="24"/>
              </w:rPr>
              <w:t>como interessados no processo,</w:t>
            </w:r>
            <w:r w:rsidR="00257762" w:rsidRPr="00257762">
              <w:rPr>
                <w:rFonts w:ascii="Calibri" w:hAnsi="Calibri" w:cs="Calibri"/>
                <w:sz w:val="24"/>
                <w:szCs w:val="24"/>
              </w:rPr>
              <w:t xml:space="preserve"> </w:t>
            </w:r>
            <w:r w:rsidR="00257762" w:rsidRPr="00257762">
              <w:rPr>
                <w:rFonts w:ascii="Calibri" w:hAnsi="Calibri" w:cs="Calibri"/>
                <w:color w:val="0000FF"/>
                <w:sz w:val="24"/>
                <w:szCs w:val="24"/>
              </w:rPr>
              <w:t>podendo formular alegações e apresentar documentos na fase de instrução</w:t>
            </w:r>
            <w:r w:rsidR="00257762" w:rsidRPr="00257762">
              <w:rPr>
                <w:rFonts w:ascii="Calibri" w:hAnsi="Calibri" w:cs="Calibri"/>
                <w:b/>
                <w:color w:val="0000FF"/>
                <w:sz w:val="24"/>
                <w:szCs w:val="24"/>
              </w:rPr>
              <w:t>,</w:t>
            </w:r>
            <w:r w:rsidRPr="00257762">
              <w:rPr>
                <w:rFonts w:ascii="Calibri" w:hAnsi="Calibri" w:cs="Calibri"/>
                <w:sz w:val="24"/>
                <w:szCs w:val="24"/>
              </w:rPr>
              <w:t xml:space="preserve"> nos termos do art. 9º, incisos II e III, da Lei nº 9.784, de 1999</w:t>
            </w:r>
            <w:r w:rsidRPr="00257762">
              <w:rPr>
                <w:rFonts w:ascii="Calibri" w:hAnsi="Calibri" w:cs="Calibri"/>
                <w:strike/>
                <w:color w:val="EE0000"/>
                <w:sz w:val="24"/>
                <w:szCs w:val="24"/>
              </w:rPr>
              <w:t xml:space="preserve">, podendo solicitar sua admissão no processo a qualquer </w:t>
            </w:r>
            <w:r w:rsidRPr="00257762">
              <w:rPr>
                <w:rStyle w:val="nfaseSutil"/>
                <w:rFonts w:ascii="Calibri" w:hAnsi="Calibri" w:cs="Calibri"/>
                <w:strike/>
                <w:color w:val="EE0000"/>
                <w:sz w:val="24"/>
                <w:szCs w:val="24"/>
              </w:rPr>
              <w:t>momento</w:t>
            </w:r>
            <w:r w:rsidRPr="00257762">
              <w:rPr>
                <w:rFonts w:ascii="Calibri" w:hAnsi="Calibri" w:cs="Calibri"/>
                <w:strike/>
                <w:color w:val="EE0000"/>
                <w:sz w:val="24"/>
                <w:szCs w:val="24"/>
              </w:rPr>
              <w:t xml:space="preserve"> na fase de instrução, com direito a formular alegações e apresentar documentos antes da decisão final da Previc</w:t>
            </w:r>
            <w:r w:rsidRPr="00257762">
              <w:rPr>
                <w:rFonts w:ascii="Calibri" w:hAnsi="Calibri" w:cs="Calibri"/>
                <w:sz w:val="24"/>
                <w:szCs w:val="24"/>
              </w:rPr>
              <w:t>.</w:t>
            </w:r>
          </w:p>
        </w:tc>
        <w:tc>
          <w:tcPr>
            <w:tcW w:w="4074" w:type="dxa"/>
          </w:tcPr>
          <w:p w14:paraId="74E5E48F"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Alteração do texto para refletir a continuidade da política de garantia de participação de associações representativas no processo de licenciamento, assegurando transparência e conformidade com o disposto no art. 38 da Lei nº 9.784, de 1999, que regula o processo administrativo.</w:t>
            </w:r>
          </w:p>
          <w:p w14:paraId="327E2C46"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“Art. 38. O interessado poderá, na fase instrutória e antes da tomada da decisão, juntar documentos e pareceres, requerer diligências e perícias, bem como aduzir alegações referentes à matéria objeto do processo.”</w:t>
            </w:r>
          </w:p>
          <w:p w14:paraId="2D7549AE"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Assunto regulamentado pela Portaria </w:t>
            </w:r>
            <w:proofErr w:type="spellStart"/>
            <w:r w:rsidRPr="00D462F0">
              <w:rPr>
                <w:rFonts w:asciiTheme="majorHAnsi" w:hAnsiTheme="majorHAnsi" w:cstheme="majorHAnsi"/>
                <w:sz w:val="24"/>
                <w:szCs w:val="24"/>
              </w:rPr>
              <w:t>Dilic</w:t>
            </w:r>
            <w:proofErr w:type="spellEnd"/>
            <w:r w:rsidRPr="00D462F0">
              <w:rPr>
                <w:rFonts w:asciiTheme="majorHAnsi" w:hAnsiTheme="majorHAnsi" w:cstheme="majorHAnsi"/>
                <w:sz w:val="24"/>
                <w:szCs w:val="24"/>
              </w:rPr>
              <w:t xml:space="preserve"> 84, de 2025:</w:t>
            </w:r>
          </w:p>
          <w:p w14:paraId="0980775C" w14:textId="0798604C"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i/>
                <w:sz w:val="24"/>
                <w:szCs w:val="24"/>
              </w:rPr>
              <w:t xml:space="preserve">“Art. 2º A associação pode requerer a admissão como interessada em processo administrativo em trâmite na Diretoria de Licenciamento a qualquer </w:t>
            </w:r>
            <w:r w:rsidRPr="00D462F0">
              <w:rPr>
                <w:rFonts w:asciiTheme="majorHAnsi" w:hAnsiTheme="majorHAnsi" w:cstheme="majorHAnsi"/>
                <w:b/>
                <w:bCs/>
                <w:i/>
                <w:sz w:val="24"/>
                <w:szCs w:val="24"/>
              </w:rPr>
              <w:t>momento da fase de instrução</w:t>
            </w:r>
            <w:r w:rsidRPr="00D462F0">
              <w:rPr>
                <w:rFonts w:asciiTheme="majorHAnsi" w:hAnsiTheme="majorHAnsi" w:cstheme="majorHAnsi"/>
                <w:i/>
                <w:sz w:val="24"/>
                <w:szCs w:val="24"/>
              </w:rPr>
              <w:t>.”</w:t>
            </w:r>
          </w:p>
        </w:tc>
        <w:tc>
          <w:tcPr>
            <w:tcW w:w="4075" w:type="dxa"/>
          </w:tcPr>
          <w:p w14:paraId="7BB2ED0B"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IV.</w:t>
            </w:r>
          </w:p>
          <w:p w14:paraId="1A3CA9FF"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Atualização de artigo pretende garantir a participação de associações representativas no processo de licenciamento, assegurando transparência e conformidade com o disposto no art. 38 da Lei nº 9.784, de 1999, que regula o processo administrativo. A fim de melhorar clareza e sem alteração de mérito, o texto do artigo em questão experimentou alterações textuais que tornam claras as etapas do processo em questão. </w:t>
            </w:r>
          </w:p>
          <w:p w14:paraId="206FC5C3" w14:textId="24525DCD"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a alteração do artigo em questão dispensa-se a realização de AIR por se tratar de artigo que visa “(...) a atualização ou à revogação de normas consideradas obsoletas, sem alteração de mérito”, conforme disposto no inciso IV, do art. 4º do Decreto nº 10.411, de 2020.</w:t>
            </w:r>
          </w:p>
        </w:tc>
      </w:tr>
      <w:tr w:rsidR="00A663CA" w:rsidRPr="00C93770" w14:paraId="3BD9F50B" w14:textId="77777777" w:rsidTr="1756A420">
        <w:tc>
          <w:tcPr>
            <w:tcW w:w="4074" w:type="dxa"/>
          </w:tcPr>
          <w:p w14:paraId="150507BB" w14:textId="0648158B" w:rsidR="00A663CA" w:rsidRPr="00D462F0" w:rsidRDefault="00A663CA"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7D064E99" w14:textId="06B7B23C" w:rsidR="00A663CA" w:rsidRPr="00D462F0" w:rsidRDefault="00A663CA" w:rsidP="0028717C">
            <w:pPr>
              <w:jc w:val="center"/>
              <w:rPr>
                <w:rFonts w:asciiTheme="majorHAnsi" w:hAnsiTheme="majorHAnsi" w:cstheme="majorHAnsi"/>
                <w:bCs/>
                <w:color w:val="EE0000"/>
                <w:sz w:val="24"/>
                <w:szCs w:val="24"/>
              </w:rPr>
            </w:pPr>
            <w:r w:rsidRPr="004E06F1">
              <w:rPr>
                <w:rFonts w:asciiTheme="majorHAnsi" w:hAnsiTheme="majorHAnsi" w:cstheme="majorHAnsi"/>
                <w:bCs/>
                <w:sz w:val="24"/>
                <w:szCs w:val="24"/>
              </w:rPr>
              <w:t>...</w:t>
            </w:r>
          </w:p>
        </w:tc>
        <w:tc>
          <w:tcPr>
            <w:tcW w:w="4074" w:type="dxa"/>
          </w:tcPr>
          <w:p w14:paraId="7602303A" w14:textId="77777777" w:rsidR="00A663CA" w:rsidRPr="00D462F0" w:rsidRDefault="00A663CA" w:rsidP="00D462F0">
            <w:pPr>
              <w:jc w:val="both"/>
              <w:rPr>
                <w:rFonts w:asciiTheme="majorHAnsi" w:hAnsiTheme="majorHAnsi" w:cstheme="majorHAnsi"/>
                <w:sz w:val="24"/>
                <w:szCs w:val="24"/>
              </w:rPr>
            </w:pPr>
          </w:p>
        </w:tc>
        <w:tc>
          <w:tcPr>
            <w:tcW w:w="4075" w:type="dxa"/>
          </w:tcPr>
          <w:p w14:paraId="4D010998" w14:textId="77777777" w:rsidR="00A663CA" w:rsidRPr="00D462F0" w:rsidRDefault="00A663CA" w:rsidP="00D462F0">
            <w:pPr>
              <w:jc w:val="both"/>
              <w:rPr>
                <w:rFonts w:asciiTheme="majorHAnsi" w:hAnsiTheme="majorHAnsi" w:cstheme="majorHAnsi"/>
                <w:bCs/>
                <w:sz w:val="24"/>
                <w:szCs w:val="24"/>
              </w:rPr>
            </w:pPr>
          </w:p>
        </w:tc>
      </w:tr>
      <w:tr w:rsidR="00A26CD8" w:rsidRPr="00C93770" w14:paraId="4225FBB0" w14:textId="77777777" w:rsidTr="1756A420">
        <w:tc>
          <w:tcPr>
            <w:tcW w:w="4074" w:type="dxa"/>
          </w:tcPr>
          <w:p w14:paraId="33CC0B92" w14:textId="30AAC430"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158. </w:t>
            </w:r>
            <w:r w:rsidR="00EB19CA" w:rsidRPr="00D462F0">
              <w:rPr>
                <w:rFonts w:asciiTheme="majorHAnsi" w:hAnsiTheme="majorHAnsi" w:cstheme="majorHAnsi"/>
                <w:sz w:val="24"/>
                <w:szCs w:val="24"/>
              </w:rPr>
              <w:t xml:space="preserve"> </w:t>
            </w:r>
            <w:r w:rsidRPr="00D462F0">
              <w:rPr>
                <w:rFonts w:asciiTheme="majorHAnsi" w:hAnsiTheme="majorHAnsi" w:cstheme="majorHAnsi"/>
                <w:sz w:val="24"/>
                <w:szCs w:val="24"/>
              </w:rPr>
              <w:t>A EFPC deve encaminhar a documentação comprobatória da finalização das operações previstas nos incisos VII a XII do art. 151 em até noventa dias contados da data efetiva.</w:t>
            </w:r>
          </w:p>
        </w:tc>
        <w:tc>
          <w:tcPr>
            <w:tcW w:w="4074" w:type="dxa"/>
          </w:tcPr>
          <w:p w14:paraId="35E4BC5A" w14:textId="4F04B321" w:rsidR="00A26CD8" w:rsidRPr="00D462F0" w:rsidRDefault="004C3E70" w:rsidP="00D462F0">
            <w:pPr>
              <w:jc w:val="both"/>
              <w:rPr>
                <w:rFonts w:asciiTheme="majorHAnsi" w:hAnsiTheme="majorHAnsi" w:cstheme="majorHAnsi"/>
                <w:bCs/>
                <w:color w:val="000000"/>
                <w:sz w:val="24"/>
                <w:szCs w:val="24"/>
              </w:rPr>
            </w:pPr>
            <w:r w:rsidRPr="00D462F0">
              <w:rPr>
                <w:rFonts w:asciiTheme="majorHAnsi" w:hAnsiTheme="majorHAnsi" w:cstheme="majorHAnsi"/>
                <w:bCs/>
                <w:color w:val="EE0000"/>
                <w:sz w:val="24"/>
                <w:szCs w:val="24"/>
              </w:rPr>
              <w:t>Revogar</w:t>
            </w:r>
          </w:p>
        </w:tc>
        <w:tc>
          <w:tcPr>
            <w:tcW w:w="4074" w:type="dxa"/>
          </w:tcPr>
          <w:p w14:paraId="698A6BE8"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Exclusão pela redundância em relação ao texto do art. 142 c/c 150-A desta Resolução que já tratam da documentação para finalização das operações de competência da CGOE/DILIC.</w:t>
            </w:r>
          </w:p>
          <w:p w14:paraId="7E5A8EA6"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142. A EFPC deve encaminhar a documentação comprobatória da </w:t>
            </w:r>
            <w:r w:rsidRPr="00D462F0">
              <w:rPr>
                <w:rFonts w:asciiTheme="majorHAnsi" w:hAnsiTheme="majorHAnsi" w:cstheme="majorHAnsi"/>
                <w:sz w:val="24"/>
                <w:szCs w:val="24"/>
              </w:rPr>
              <w:lastRenderedPageBreak/>
              <w:t>finalização da retirada de patrocínio em até noventa dias contados da data de conclusão da retirada.</w:t>
            </w:r>
          </w:p>
          <w:p w14:paraId="231A9A25" w14:textId="731F81AB"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“Art. 150-A. A EFPC deve encaminhar a documentação comprobatória da finalização das operações previstas nos incisos VII a X do art. 151 em até noventa dias contados da data efetiva. (Incluído pela Resolução Previc nº 25, de 15 de outubro de 2024)”.</w:t>
            </w:r>
          </w:p>
        </w:tc>
        <w:tc>
          <w:tcPr>
            <w:tcW w:w="4075" w:type="dxa"/>
          </w:tcPr>
          <w:p w14:paraId="4A2ABB57"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Decreto nº 10.411, de 2020, art. 4º, inciso IV.</w:t>
            </w:r>
          </w:p>
          <w:p w14:paraId="7CD0BA77"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Trata-se de revogação de artigo por redundar no que se refere ao seu texto em relação ao texto do art. 142 c/c 150-A desta Resolução.  </w:t>
            </w:r>
          </w:p>
          <w:p w14:paraId="3D0B7D3F" w14:textId="6E8E6C9A"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a alteração do artigo em questão dispensa-se a realização de AIR </w:t>
            </w:r>
            <w:r w:rsidRPr="00D462F0">
              <w:rPr>
                <w:rFonts w:asciiTheme="majorHAnsi" w:hAnsiTheme="majorHAnsi" w:cstheme="majorHAnsi"/>
                <w:bCs/>
                <w:sz w:val="24"/>
                <w:szCs w:val="24"/>
              </w:rPr>
              <w:lastRenderedPageBreak/>
              <w:t>por se tratar de artigo que visa “(...) a atualização ou à revogação de normas consideradas obsoletas, sem alteração de mérito”, conforme disposto no inciso IV, do art. 4º do Decreto nº 10.411, de 2020.</w:t>
            </w:r>
          </w:p>
          <w:p w14:paraId="4E9841ED" w14:textId="77777777" w:rsidR="00A26CD8" w:rsidRPr="00D462F0" w:rsidRDefault="00A26CD8" w:rsidP="00D462F0">
            <w:pPr>
              <w:jc w:val="both"/>
              <w:rPr>
                <w:rFonts w:asciiTheme="majorHAnsi" w:hAnsiTheme="majorHAnsi" w:cstheme="majorHAnsi"/>
                <w:bCs/>
                <w:sz w:val="24"/>
                <w:szCs w:val="24"/>
              </w:rPr>
            </w:pPr>
          </w:p>
        </w:tc>
      </w:tr>
      <w:tr w:rsidR="00A663CA" w:rsidRPr="00C93770" w14:paraId="12CDA2E6" w14:textId="77777777" w:rsidTr="1756A420">
        <w:tc>
          <w:tcPr>
            <w:tcW w:w="4074" w:type="dxa"/>
          </w:tcPr>
          <w:p w14:paraId="18EA45B8" w14:textId="11DDF7B0" w:rsidR="00A663CA" w:rsidRPr="00D462F0" w:rsidDel="00A663CA" w:rsidRDefault="00A663CA"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6E816434" w14:textId="6EE59017" w:rsidR="00A663CA" w:rsidRPr="00D462F0" w:rsidRDefault="00A663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4EE2037" w14:textId="77777777" w:rsidR="00A663CA" w:rsidRPr="00D462F0" w:rsidRDefault="00A663CA" w:rsidP="00D462F0">
            <w:pPr>
              <w:jc w:val="both"/>
              <w:rPr>
                <w:rFonts w:asciiTheme="majorHAnsi" w:hAnsiTheme="majorHAnsi" w:cstheme="majorHAnsi"/>
                <w:sz w:val="24"/>
                <w:szCs w:val="24"/>
              </w:rPr>
            </w:pPr>
          </w:p>
        </w:tc>
        <w:tc>
          <w:tcPr>
            <w:tcW w:w="4075" w:type="dxa"/>
          </w:tcPr>
          <w:p w14:paraId="6E56CB99" w14:textId="77777777" w:rsidR="00A663CA" w:rsidRPr="00D462F0" w:rsidRDefault="00A663CA" w:rsidP="00D462F0">
            <w:pPr>
              <w:jc w:val="both"/>
              <w:rPr>
                <w:rFonts w:asciiTheme="majorHAnsi" w:hAnsiTheme="majorHAnsi" w:cstheme="majorHAnsi"/>
                <w:bCs/>
                <w:sz w:val="24"/>
                <w:szCs w:val="24"/>
              </w:rPr>
            </w:pPr>
          </w:p>
        </w:tc>
      </w:tr>
      <w:tr w:rsidR="00A663CA" w:rsidRPr="00C93770" w14:paraId="11D204A0" w14:textId="77777777" w:rsidTr="1756A420">
        <w:tc>
          <w:tcPr>
            <w:tcW w:w="4074" w:type="dxa"/>
          </w:tcPr>
          <w:p w14:paraId="44E58BA0" w14:textId="77777777" w:rsidR="00A663CA" w:rsidRPr="00D462F0" w:rsidRDefault="00A663CA"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Subseção I</w:t>
            </w:r>
          </w:p>
          <w:p w14:paraId="715BD942" w14:textId="54BE9953" w:rsidR="00A663CA" w:rsidRPr="00D462F0" w:rsidDel="00A663CA" w:rsidRDefault="00A663CA" w:rsidP="0028717C">
            <w:pPr>
              <w:jc w:val="center"/>
              <w:rPr>
                <w:rFonts w:asciiTheme="majorHAnsi" w:hAnsiTheme="majorHAnsi" w:cstheme="majorHAnsi"/>
                <w:color w:val="000000"/>
                <w:sz w:val="24"/>
                <w:szCs w:val="24"/>
              </w:rPr>
            </w:pPr>
            <w:r w:rsidRPr="00D462F0">
              <w:rPr>
                <w:rFonts w:asciiTheme="majorHAnsi" w:hAnsiTheme="majorHAnsi" w:cstheme="majorHAnsi"/>
                <w:b/>
                <w:color w:val="000000"/>
                <w:sz w:val="24"/>
                <w:szCs w:val="24"/>
              </w:rPr>
              <w:t>Fases do Requerimento</w:t>
            </w:r>
          </w:p>
        </w:tc>
        <w:tc>
          <w:tcPr>
            <w:tcW w:w="4074" w:type="dxa"/>
          </w:tcPr>
          <w:p w14:paraId="1C287BE4" w14:textId="77777777" w:rsidR="00A663CA" w:rsidRPr="00D462F0" w:rsidRDefault="00A663CA"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Subseção I</w:t>
            </w:r>
          </w:p>
          <w:p w14:paraId="6BAAA7F1" w14:textId="58258A9B" w:rsidR="00A663CA" w:rsidRPr="00D462F0" w:rsidRDefault="00A663CA" w:rsidP="0028717C">
            <w:pPr>
              <w:jc w:val="center"/>
              <w:rPr>
                <w:rFonts w:asciiTheme="majorHAnsi" w:hAnsiTheme="majorHAnsi" w:cstheme="majorHAnsi"/>
                <w:bCs/>
                <w:sz w:val="24"/>
                <w:szCs w:val="24"/>
              </w:rPr>
            </w:pPr>
            <w:r w:rsidRPr="00D462F0">
              <w:rPr>
                <w:rFonts w:asciiTheme="majorHAnsi" w:hAnsiTheme="majorHAnsi" w:cstheme="majorHAnsi"/>
                <w:b/>
                <w:color w:val="000000"/>
                <w:sz w:val="24"/>
                <w:szCs w:val="24"/>
              </w:rPr>
              <w:t>Fases do Requerimento</w:t>
            </w:r>
          </w:p>
        </w:tc>
        <w:tc>
          <w:tcPr>
            <w:tcW w:w="4074" w:type="dxa"/>
          </w:tcPr>
          <w:p w14:paraId="0CF9C935" w14:textId="77777777" w:rsidR="00A663CA" w:rsidRPr="00D462F0" w:rsidRDefault="00A663CA" w:rsidP="00D462F0">
            <w:pPr>
              <w:jc w:val="both"/>
              <w:rPr>
                <w:rFonts w:asciiTheme="majorHAnsi" w:hAnsiTheme="majorHAnsi" w:cstheme="majorHAnsi"/>
                <w:sz w:val="24"/>
                <w:szCs w:val="24"/>
              </w:rPr>
            </w:pPr>
          </w:p>
        </w:tc>
        <w:tc>
          <w:tcPr>
            <w:tcW w:w="4075" w:type="dxa"/>
          </w:tcPr>
          <w:p w14:paraId="65A8A515" w14:textId="77777777" w:rsidR="00A663CA" w:rsidRPr="00D462F0" w:rsidRDefault="00A663CA" w:rsidP="00D462F0">
            <w:pPr>
              <w:jc w:val="both"/>
              <w:rPr>
                <w:rFonts w:asciiTheme="majorHAnsi" w:hAnsiTheme="majorHAnsi" w:cstheme="majorHAnsi"/>
                <w:bCs/>
                <w:sz w:val="24"/>
                <w:szCs w:val="24"/>
              </w:rPr>
            </w:pPr>
          </w:p>
        </w:tc>
      </w:tr>
      <w:tr w:rsidR="00A663CA" w:rsidRPr="00C93770" w14:paraId="35B19FF1" w14:textId="77777777" w:rsidTr="1756A420">
        <w:tc>
          <w:tcPr>
            <w:tcW w:w="4074" w:type="dxa"/>
          </w:tcPr>
          <w:p w14:paraId="4F761B91" w14:textId="5304FCF1" w:rsidR="00A663CA" w:rsidRPr="00D462F0" w:rsidDel="00A663CA" w:rsidRDefault="00A663CA"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010C6637" w14:textId="2B8A783A" w:rsidR="00A663CA" w:rsidRPr="00D462F0" w:rsidRDefault="00A663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53BA0BF8" w14:textId="77777777" w:rsidR="00A663CA" w:rsidRPr="00D462F0" w:rsidRDefault="00A663CA" w:rsidP="00D462F0">
            <w:pPr>
              <w:jc w:val="both"/>
              <w:rPr>
                <w:rFonts w:asciiTheme="majorHAnsi" w:hAnsiTheme="majorHAnsi" w:cstheme="majorHAnsi"/>
                <w:sz w:val="24"/>
                <w:szCs w:val="24"/>
              </w:rPr>
            </w:pPr>
          </w:p>
        </w:tc>
        <w:tc>
          <w:tcPr>
            <w:tcW w:w="4075" w:type="dxa"/>
          </w:tcPr>
          <w:p w14:paraId="236A0795" w14:textId="77777777" w:rsidR="00A663CA" w:rsidRPr="00D462F0" w:rsidRDefault="00A663CA" w:rsidP="00D462F0">
            <w:pPr>
              <w:jc w:val="both"/>
              <w:rPr>
                <w:rFonts w:asciiTheme="majorHAnsi" w:hAnsiTheme="majorHAnsi" w:cstheme="majorHAnsi"/>
                <w:bCs/>
                <w:sz w:val="24"/>
                <w:szCs w:val="24"/>
              </w:rPr>
            </w:pPr>
          </w:p>
        </w:tc>
      </w:tr>
      <w:tr w:rsidR="00A26CD8" w:rsidRPr="00C93770" w14:paraId="4C62C6EA" w14:textId="77777777" w:rsidTr="1756A420">
        <w:tc>
          <w:tcPr>
            <w:tcW w:w="4074" w:type="dxa"/>
          </w:tcPr>
          <w:p w14:paraId="614B608B" w14:textId="0932C86C"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163. </w:t>
            </w:r>
            <w:r w:rsidR="00EB19CA" w:rsidRPr="00D462F0">
              <w:rPr>
                <w:rFonts w:asciiTheme="majorHAnsi" w:hAnsiTheme="majorHAnsi" w:cstheme="majorHAnsi"/>
                <w:sz w:val="24"/>
                <w:szCs w:val="24"/>
              </w:rPr>
              <w:t xml:space="preserve"> </w:t>
            </w:r>
            <w:r w:rsidRPr="00D462F0">
              <w:rPr>
                <w:rFonts w:asciiTheme="majorHAnsi" w:hAnsiTheme="majorHAnsi" w:cstheme="majorHAnsi"/>
                <w:sz w:val="24"/>
                <w:szCs w:val="24"/>
              </w:rPr>
              <w:t>A fase de instrução se inicia na data do protocolo e contempla a análise das informações, dos documentos e do atendimento às condições legais e técnicas estabelecidas para o tipo de requerimento, observados os prazos estabelecidos no Anexo III</w:t>
            </w:r>
            <w:r w:rsidR="00A65603" w:rsidRPr="00D462F0">
              <w:rPr>
                <w:rFonts w:asciiTheme="majorHAnsi" w:hAnsiTheme="majorHAnsi" w:cstheme="majorHAnsi"/>
                <w:sz w:val="24"/>
                <w:szCs w:val="24"/>
              </w:rPr>
              <w:t>.</w:t>
            </w:r>
          </w:p>
        </w:tc>
        <w:tc>
          <w:tcPr>
            <w:tcW w:w="4074" w:type="dxa"/>
          </w:tcPr>
          <w:p w14:paraId="765D97C5" w14:textId="7C3F8D08"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163. </w:t>
            </w:r>
            <w:r w:rsidR="00EB19CA" w:rsidRPr="00D462F0">
              <w:rPr>
                <w:rFonts w:asciiTheme="majorHAnsi" w:hAnsiTheme="majorHAnsi" w:cstheme="majorHAnsi"/>
                <w:bCs/>
                <w:sz w:val="24"/>
                <w:szCs w:val="24"/>
              </w:rPr>
              <w:t xml:space="preserve"> ...</w:t>
            </w:r>
          </w:p>
          <w:p w14:paraId="23C3A634" w14:textId="3874DD61" w:rsidR="00A26CD8" w:rsidRPr="00D462F0" w:rsidRDefault="00A26CD8" w:rsidP="00D462F0">
            <w:pPr>
              <w:jc w:val="both"/>
              <w:rPr>
                <w:rFonts w:asciiTheme="majorHAnsi" w:hAnsiTheme="majorHAnsi" w:cstheme="majorHAnsi"/>
                <w:bCs/>
                <w:sz w:val="24"/>
                <w:szCs w:val="24"/>
              </w:rPr>
            </w:pPr>
          </w:p>
        </w:tc>
        <w:tc>
          <w:tcPr>
            <w:tcW w:w="4074" w:type="dxa"/>
          </w:tcPr>
          <w:p w14:paraId="23CBD1B0" w14:textId="4A830848" w:rsidR="00A26CD8" w:rsidRPr="00D462F0" w:rsidRDefault="0029794E"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5D381AA3" w14:textId="47891CF5" w:rsidR="00A26CD8" w:rsidRPr="00D462F0" w:rsidRDefault="00A26CD8" w:rsidP="00D462F0">
            <w:pPr>
              <w:jc w:val="both"/>
              <w:rPr>
                <w:rFonts w:asciiTheme="majorHAnsi" w:hAnsiTheme="majorHAnsi" w:cstheme="majorHAnsi"/>
                <w:bCs/>
                <w:sz w:val="24"/>
                <w:szCs w:val="24"/>
              </w:rPr>
            </w:pPr>
          </w:p>
        </w:tc>
      </w:tr>
      <w:tr w:rsidR="00A26CD8" w:rsidRPr="00C93770" w14:paraId="6F151CBF" w14:textId="77777777" w:rsidTr="1756A420">
        <w:tc>
          <w:tcPr>
            <w:tcW w:w="4074" w:type="dxa"/>
          </w:tcPr>
          <w:p w14:paraId="5CADD01E" w14:textId="1792B190"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1316055D" w14:textId="7D21486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Parágrafo único. </w:t>
            </w:r>
            <w:r w:rsidR="0091362C"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Aos requerimentos listados no Anexo III não se aplica a aprovação tácita por decurso do prazo de que trata o art. 10, § 1º do Decreto nº 10.178, de 18 de dezembro de 2019.</w:t>
            </w:r>
          </w:p>
        </w:tc>
        <w:tc>
          <w:tcPr>
            <w:tcW w:w="4074" w:type="dxa"/>
          </w:tcPr>
          <w:p w14:paraId="4ED87AEE" w14:textId="4E84AB04"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Incluir Parágrafo Único para atendimento à recomendação 2 do Relatório de Avaliação Preliminar da CGU (SEI 0829392).</w:t>
            </w:r>
          </w:p>
        </w:tc>
        <w:tc>
          <w:tcPr>
            <w:tcW w:w="4075" w:type="dxa"/>
          </w:tcPr>
          <w:p w14:paraId="52A1A878"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II.</w:t>
            </w:r>
          </w:p>
          <w:p w14:paraId="1EC8F2A4"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alteração trata de diretriz regulamentada em norma superior, Decreto nº 10.178, de 18 de dezembro de 2019. </w:t>
            </w:r>
          </w:p>
          <w:p w14:paraId="1E113866"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No seu § 1º do art. 10, diz “Decorrido o prazo previsto no caput, a ausência de manifestação conclusiva do órgão ou da entidade acerca do deferimento do ato público de liberação requerido implicará sua aprovação tácita”.</w:t>
            </w:r>
          </w:p>
          <w:p w14:paraId="15AD6B16"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Acontece que, no caso da Previc, por determinação da Lei Complementar nº 109, de 2001, há impossibilidade de aprovação tácita para quaisquer um de seus licenciamentos.</w:t>
            </w:r>
          </w:p>
          <w:p w14:paraId="38F1F027"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Assim, para deixar expresso esse entendimento e em obediência ao citado Decreto, inclui-se esse dispositivo.</w:t>
            </w:r>
          </w:p>
          <w:p w14:paraId="61F0D480" w14:textId="3496D4BF"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o dispositivo em questão se enquadra na dispensa de AIR em função do art. 4º, inciso II, do Decreto nº 10.411, de 2020, por se tratar de “ato</w:t>
            </w:r>
            <w:r w:rsidRPr="00D462F0">
              <w:rPr>
                <w:rFonts w:asciiTheme="majorHAnsi" w:hAnsiTheme="majorHAnsi" w:cstheme="majorHAnsi"/>
                <w:bCs/>
                <w:i/>
                <w:iCs/>
                <w:sz w:val="24"/>
                <w:szCs w:val="24"/>
              </w:rPr>
              <w:t xml:space="preserve"> normativo destinado a disciplinar direitos ou obrigações definidos em norma hierarquicamente superior que não permita, técnica ou juridicamente, diferentes alternativas regulatórias”.</w:t>
            </w:r>
          </w:p>
        </w:tc>
      </w:tr>
      <w:tr w:rsidR="00A663CA" w:rsidRPr="00C93770" w14:paraId="19BDAA9A" w14:textId="77777777" w:rsidTr="1756A420">
        <w:tc>
          <w:tcPr>
            <w:tcW w:w="4074" w:type="dxa"/>
          </w:tcPr>
          <w:p w14:paraId="41C71C42" w14:textId="58EE105A" w:rsidR="00A663CA" w:rsidRPr="00D462F0" w:rsidRDefault="00A663CA" w:rsidP="0028717C">
            <w:pPr>
              <w:jc w:val="center"/>
              <w:rPr>
                <w:rFonts w:asciiTheme="majorHAnsi" w:hAnsiTheme="majorHAnsi" w:cstheme="majorHAnsi"/>
                <w:sz w:val="24"/>
                <w:szCs w:val="24"/>
              </w:rPr>
            </w:pPr>
            <w:r w:rsidRPr="00D462F0">
              <w:rPr>
                <w:rFonts w:asciiTheme="majorHAnsi" w:hAnsiTheme="majorHAnsi" w:cstheme="majorHAnsi"/>
                <w:sz w:val="24"/>
                <w:szCs w:val="24"/>
              </w:rPr>
              <w:lastRenderedPageBreak/>
              <w:t>...</w:t>
            </w:r>
          </w:p>
        </w:tc>
        <w:tc>
          <w:tcPr>
            <w:tcW w:w="4074" w:type="dxa"/>
          </w:tcPr>
          <w:p w14:paraId="0E93F7D5" w14:textId="37A75C8D" w:rsidR="00A663CA" w:rsidRPr="00D462F0" w:rsidRDefault="00A663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5D97506A" w14:textId="77777777" w:rsidR="00A663CA" w:rsidRPr="00D462F0" w:rsidRDefault="00A663CA" w:rsidP="00D462F0">
            <w:pPr>
              <w:jc w:val="both"/>
              <w:rPr>
                <w:rFonts w:asciiTheme="majorHAnsi" w:hAnsiTheme="majorHAnsi" w:cstheme="majorHAnsi"/>
                <w:sz w:val="24"/>
                <w:szCs w:val="24"/>
              </w:rPr>
            </w:pPr>
          </w:p>
        </w:tc>
        <w:tc>
          <w:tcPr>
            <w:tcW w:w="4075" w:type="dxa"/>
          </w:tcPr>
          <w:p w14:paraId="10F4C887" w14:textId="77777777" w:rsidR="00A663CA" w:rsidRPr="00D462F0" w:rsidRDefault="00A663CA" w:rsidP="00D462F0">
            <w:pPr>
              <w:jc w:val="both"/>
              <w:rPr>
                <w:rFonts w:asciiTheme="majorHAnsi" w:hAnsiTheme="majorHAnsi" w:cstheme="majorHAnsi"/>
                <w:bCs/>
                <w:sz w:val="24"/>
                <w:szCs w:val="24"/>
              </w:rPr>
            </w:pPr>
          </w:p>
        </w:tc>
      </w:tr>
      <w:tr w:rsidR="00A663CA" w:rsidRPr="00C93770" w14:paraId="3C429C00" w14:textId="77777777" w:rsidTr="1756A420">
        <w:tc>
          <w:tcPr>
            <w:tcW w:w="4074" w:type="dxa"/>
          </w:tcPr>
          <w:p w14:paraId="797DBE6D" w14:textId="77777777" w:rsidR="00A663CA" w:rsidRPr="00D462F0" w:rsidRDefault="00A663CA"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Subseção III</w:t>
            </w:r>
          </w:p>
          <w:p w14:paraId="663C03AB" w14:textId="2633F560" w:rsidR="00A663CA" w:rsidRPr="00D462F0" w:rsidRDefault="00A663CA" w:rsidP="0028717C">
            <w:pPr>
              <w:jc w:val="center"/>
              <w:rPr>
                <w:rFonts w:asciiTheme="majorHAnsi" w:hAnsiTheme="majorHAnsi" w:cstheme="majorHAnsi"/>
                <w:sz w:val="24"/>
                <w:szCs w:val="24"/>
              </w:rPr>
            </w:pPr>
            <w:r w:rsidRPr="00D462F0">
              <w:rPr>
                <w:rFonts w:asciiTheme="majorHAnsi" w:hAnsiTheme="majorHAnsi" w:cstheme="majorHAnsi"/>
                <w:b/>
                <w:sz w:val="24"/>
                <w:szCs w:val="24"/>
              </w:rPr>
              <w:t>Outras Disposições</w:t>
            </w:r>
          </w:p>
        </w:tc>
        <w:tc>
          <w:tcPr>
            <w:tcW w:w="4074" w:type="dxa"/>
          </w:tcPr>
          <w:p w14:paraId="1261D6BE" w14:textId="77777777" w:rsidR="00A663CA" w:rsidRPr="00D462F0" w:rsidRDefault="00A663CA"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Subseção III</w:t>
            </w:r>
          </w:p>
          <w:p w14:paraId="2765A112" w14:textId="4E77E720" w:rsidR="00A663CA" w:rsidRPr="00D462F0" w:rsidRDefault="00A663CA" w:rsidP="0028717C">
            <w:pPr>
              <w:jc w:val="center"/>
              <w:rPr>
                <w:rFonts w:asciiTheme="majorHAnsi" w:hAnsiTheme="majorHAnsi" w:cstheme="majorHAnsi"/>
                <w:bCs/>
                <w:sz w:val="24"/>
                <w:szCs w:val="24"/>
              </w:rPr>
            </w:pPr>
            <w:r w:rsidRPr="00D462F0">
              <w:rPr>
                <w:rFonts w:asciiTheme="majorHAnsi" w:hAnsiTheme="majorHAnsi" w:cstheme="majorHAnsi"/>
                <w:b/>
                <w:sz w:val="24"/>
                <w:szCs w:val="24"/>
              </w:rPr>
              <w:t>Outras Disposições</w:t>
            </w:r>
          </w:p>
        </w:tc>
        <w:tc>
          <w:tcPr>
            <w:tcW w:w="4074" w:type="dxa"/>
          </w:tcPr>
          <w:p w14:paraId="00E1033D" w14:textId="77777777" w:rsidR="00A663CA" w:rsidRPr="00D462F0" w:rsidRDefault="00A663CA" w:rsidP="00D462F0">
            <w:pPr>
              <w:jc w:val="both"/>
              <w:rPr>
                <w:rFonts w:asciiTheme="majorHAnsi" w:hAnsiTheme="majorHAnsi" w:cstheme="majorHAnsi"/>
                <w:sz w:val="24"/>
                <w:szCs w:val="24"/>
              </w:rPr>
            </w:pPr>
          </w:p>
        </w:tc>
        <w:tc>
          <w:tcPr>
            <w:tcW w:w="4075" w:type="dxa"/>
          </w:tcPr>
          <w:p w14:paraId="5345EA84" w14:textId="77777777" w:rsidR="00A663CA" w:rsidRPr="00D462F0" w:rsidRDefault="00A663CA" w:rsidP="00D462F0">
            <w:pPr>
              <w:jc w:val="both"/>
              <w:rPr>
                <w:rFonts w:asciiTheme="majorHAnsi" w:hAnsiTheme="majorHAnsi" w:cstheme="majorHAnsi"/>
                <w:bCs/>
                <w:sz w:val="24"/>
                <w:szCs w:val="24"/>
              </w:rPr>
            </w:pPr>
          </w:p>
        </w:tc>
      </w:tr>
      <w:tr w:rsidR="00A26CD8" w:rsidRPr="00C93770" w14:paraId="6A210478" w14:textId="77777777" w:rsidTr="1756A420">
        <w:tc>
          <w:tcPr>
            <w:tcW w:w="4074" w:type="dxa"/>
          </w:tcPr>
          <w:p w14:paraId="51EC2242" w14:textId="023C00B6"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176. </w:t>
            </w:r>
            <w:r w:rsidR="00EB19CA" w:rsidRPr="00D462F0">
              <w:rPr>
                <w:rFonts w:asciiTheme="majorHAnsi" w:hAnsiTheme="majorHAnsi" w:cstheme="majorHAnsi"/>
                <w:sz w:val="24"/>
                <w:szCs w:val="24"/>
              </w:rPr>
              <w:t xml:space="preserve"> </w:t>
            </w:r>
            <w:r w:rsidRPr="00D462F0">
              <w:rPr>
                <w:rFonts w:asciiTheme="majorHAnsi" w:hAnsiTheme="majorHAnsi" w:cstheme="majorHAnsi"/>
                <w:sz w:val="24"/>
                <w:szCs w:val="24"/>
              </w:rPr>
              <w:t xml:space="preserve">Nas operações de Cisão, Migração, Fusão ou Incorporação os regulamentos dos planos envolvidos nas referidas operações não </w:t>
            </w:r>
            <w:r w:rsidRPr="00D462F0">
              <w:rPr>
                <w:rFonts w:asciiTheme="majorHAnsi" w:hAnsiTheme="majorHAnsi" w:cstheme="majorHAnsi"/>
                <w:bCs/>
                <w:sz w:val="24"/>
                <w:szCs w:val="24"/>
              </w:rPr>
              <w:t>devem</w:t>
            </w:r>
            <w:r w:rsidRPr="00D462F0">
              <w:rPr>
                <w:rFonts w:asciiTheme="majorHAnsi" w:hAnsiTheme="majorHAnsi" w:cstheme="majorHAnsi"/>
                <w:sz w:val="24"/>
                <w:szCs w:val="24"/>
              </w:rPr>
              <w:t xml:space="preserve"> dispor sobre os critérios estabelecidos respectivamente nos Termos de Cisão, Termo de Migração, Termo de Fusão e Termo de Incorporação.</w:t>
            </w:r>
          </w:p>
        </w:tc>
        <w:tc>
          <w:tcPr>
            <w:tcW w:w="4074" w:type="dxa"/>
          </w:tcPr>
          <w:p w14:paraId="6AEB2239" w14:textId="1F4096D2"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176. </w:t>
            </w:r>
            <w:r w:rsidR="00EA698E">
              <w:rPr>
                <w:rFonts w:asciiTheme="majorHAnsi" w:hAnsiTheme="majorHAnsi" w:cstheme="majorHAnsi"/>
                <w:bCs/>
                <w:sz w:val="24"/>
                <w:szCs w:val="24"/>
              </w:rPr>
              <w:t xml:space="preserve"> </w:t>
            </w:r>
            <w:r w:rsidRPr="00D462F0">
              <w:rPr>
                <w:rFonts w:asciiTheme="majorHAnsi" w:hAnsiTheme="majorHAnsi" w:cstheme="majorHAnsi"/>
                <w:bCs/>
                <w:sz w:val="24"/>
                <w:szCs w:val="24"/>
              </w:rPr>
              <w:t xml:space="preserve">Nas operações de </w:t>
            </w:r>
            <w:r w:rsidRPr="00D462F0">
              <w:rPr>
                <w:rFonts w:asciiTheme="majorHAnsi" w:hAnsiTheme="majorHAnsi" w:cstheme="majorHAnsi"/>
                <w:bCs/>
                <w:color w:val="0000FF"/>
                <w:sz w:val="24"/>
                <w:szCs w:val="24"/>
              </w:rPr>
              <w:t>Transferência de Gerenciamento</w:t>
            </w:r>
            <w:r w:rsidRPr="00D462F0">
              <w:rPr>
                <w:rFonts w:asciiTheme="majorHAnsi" w:hAnsiTheme="majorHAnsi" w:cstheme="majorHAnsi"/>
                <w:bCs/>
                <w:sz w:val="24"/>
                <w:szCs w:val="24"/>
              </w:rPr>
              <w:t>, Cisão, Migração, Fusão ou Incorporação</w:t>
            </w:r>
            <w:r w:rsidRPr="00D462F0">
              <w:rPr>
                <w:rFonts w:asciiTheme="majorHAnsi" w:hAnsiTheme="majorHAnsi" w:cstheme="majorHAnsi"/>
                <w:bCs/>
                <w:color w:val="1F497D" w:themeColor="text2"/>
                <w:sz w:val="24"/>
                <w:szCs w:val="24"/>
              </w:rPr>
              <w:t>,</w:t>
            </w:r>
            <w:r w:rsidRPr="00D462F0">
              <w:rPr>
                <w:rFonts w:asciiTheme="majorHAnsi" w:hAnsiTheme="majorHAnsi" w:cstheme="majorHAnsi"/>
                <w:bCs/>
                <w:sz w:val="24"/>
                <w:szCs w:val="24"/>
              </w:rPr>
              <w:t xml:space="preserve"> os regulamentos dos planos envolvidos nas referidas operações não devem dispor sobre os critérios estabelecidos respectivamente nos </w:t>
            </w:r>
            <w:r w:rsidRPr="00D462F0">
              <w:rPr>
                <w:rFonts w:asciiTheme="majorHAnsi" w:hAnsiTheme="majorHAnsi" w:cstheme="majorHAnsi"/>
                <w:bCs/>
                <w:color w:val="0000FF"/>
                <w:sz w:val="24"/>
                <w:szCs w:val="24"/>
              </w:rPr>
              <w:t>Termos de Transferência de Gerenciamento</w:t>
            </w:r>
            <w:r w:rsidRPr="00D462F0">
              <w:rPr>
                <w:rFonts w:asciiTheme="majorHAnsi" w:hAnsiTheme="majorHAnsi" w:cstheme="majorHAnsi"/>
                <w:bCs/>
                <w:color w:val="1F497D" w:themeColor="text2"/>
                <w:sz w:val="24"/>
                <w:szCs w:val="24"/>
              </w:rPr>
              <w:t>,</w:t>
            </w:r>
            <w:r w:rsidRPr="00D462F0">
              <w:rPr>
                <w:rFonts w:asciiTheme="majorHAnsi" w:hAnsiTheme="majorHAnsi" w:cstheme="majorHAnsi"/>
                <w:bCs/>
                <w:sz w:val="24"/>
                <w:szCs w:val="24"/>
              </w:rPr>
              <w:t xml:space="preserve"> Termo de Cisão, Termo de Migração, Termo de Fusão e Termo de Incorporação.</w:t>
            </w:r>
          </w:p>
        </w:tc>
        <w:tc>
          <w:tcPr>
            <w:tcW w:w="4074" w:type="dxa"/>
          </w:tcPr>
          <w:p w14:paraId="315EFFA1"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 proposta da inclusão visa uma otimização nas orientações para instrução dos requerimentos e à segurança na análise das informações, dos documentos e do atendimento às condições legais e técnicas.</w:t>
            </w:r>
          </w:p>
          <w:p w14:paraId="598CD326" w14:textId="24D242F2" w:rsidR="00A26CD8" w:rsidRPr="00D462F0" w:rsidRDefault="00A26CD8" w:rsidP="00D462F0">
            <w:pPr>
              <w:jc w:val="both"/>
              <w:rPr>
                <w:rFonts w:asciiTheme="majorHAnsi" w:hAnsiTheme="majorHAnsi" w:cstheme="majorHAnsi"/>
                <w:sz w:val="24"/>
                <w:szCs w:val="24"/>
              </w:rPr>
            </w:pPr>
          </w:p>
        </w:tc>
        <w:tc>
          <w:tcPr>
            <w:tcW w:w="4075" w:type="dxa"/>
          </w:tcPr>
          <w:p w14:paraId="24E9A57F" w14:textId="38C15A4A"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327EB8FA"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artigo em questão pretende otimizar as orientações para instrução dos requerimentos e assegurar maior segurança na análise das informações, dos documentos e do atendimento às condições legais e técnicas, e para fins de melhoria na governança contempla também as operações de Transferência de Gerenciamento. </w:t>
            </w:r>
          </w:p>
          <w:p w14:paraId="428B1F5E"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Conceitualmente higidez é a condição de uma entidade que demonstra equilíbrio atuarial, sustentabilidade de longo prazo e conformidade regulatória. Nesse sentido, trata-se de componente da higidez a governança e controles internos tendo como pilar as boas </w:t>
            </w:r>
            <w:r w:rsidRPr="00D462F0">
              <w:rPr>
                <w:rFonts w:asciiTheme="majorHAnsi" w:hAnsiTheme="majorHAnsi" w:cstheme="majorHAnsi"/>
                <w:bCs/>
                <w:sz w:val="24"/>
                <w:szCs w:val="24"/>
              </w:rPr>
              <w:lastRenderedPageBreak/>
              <w:t>práticas de gestão e fiscalização dos processos decisórios.</w:t>
            </w:r>
          </w:p>
          <w:p w14:paraId="0A8D4F1F" w14:textId="6E3F3D1A"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A663CA" w:rsidRPr="00C93770" w14:paraId="28B0D72D" w14:textId="77777777" w:rsidTr="1756A420">
        <w:tc>
          <w:tcPr>
            <w:tcW w:w="4074" w:type="dxa"/>
          </w:tcPr>
          <w:p w14:paraId="2270C046" w14:textId="49657EA5" w:rsidR="00A663CA" w:rsidRPr="00D462F0" w:rsidRDefault="00A663CA"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5A8D0B21" w14:textId="7B0EB358" w:rsidR="00A663CA" w:rsidRPr="00D462F0" w:rsidRDefault="00A663CA" w:rsidP="0028717C">
            <w:pPr>
              <w:jc w:val="center"/>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w:t>
            </w:r>
          </w:p>
        </w:tc>
        <w:tc>
          <w:tcPr>
            <w:tcW w:w="4074" w:type="dxa"/>
          </w:tcPr>
          <w:p w14:paraId="6FF0D8B0" w14:textId="77777777" w:rsidR="00A663CA" w:rsidRPr="00D462F0" w:rsidRDefault="00A663CA" w:rsidP="00D462F0">
            <w:pPr>
              <w:jc w:val="both"/>
              <w:rPr>
                <w:rFonts w:asciiTheme="majorHAnsi" w:hAnsiTheme="majorHAnsi" w:cstheme="majorHAnsi"/>
                <w:sz w:val="24"/>
                <w:szCs w:val="24"/>
              </w:rPr>
            </w:pPr>
          </w:p>
        </w:tc>
        <w:tc>
          <w:tcPr>
            <w:tcW w:w="4075" w:type="dxa"/>
          </w:tcPr>
          <w:p w14:paraId="05B5C0C4" w14:textId="77777777" w:rsidR="00A663CA" w:rsidRPr="00D462F0" w:rsidRDefault="00A663CA" w:rsidP="00D462F0">
            <w:pPr>
              <w:jc w:val="both"/>
              <w:rPr>
                <w:rFonts w:asciiTheme="majorHAnsi" w:hAnsiTheme="majorHAnsi" w:cstheme="majorHAnsi"/>
                <w:bCs/>
                <w:sz w:val="24"/>
                <w:szCs w:val="24"/>
              </w:rPr>
            </w:pPr>
          </w:p>
        </w:tc>
      </w:tr>
      <w:tr w:rsidR="00A26CD8" w:rsidRPr="00C93770" w14:paraId="4F9D45EE" w14:textId="77777777" w:rsidTr="1756A420">
        <w:tc>
          <w:tcPr>
            <w:tcW w:w="4074" w:type="dxa"/>
          </w:tcPr>
          <w:p w14:paraId="6B49450D" w14:textId="4F0D54A3"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74EB05B8" w14:textId="0A229EE7"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Art. 176-A</w:t>
            </w:r>
            <w:r w:rsidR="00EB19CA" w:rsidRPr="00D462F0">
              <w:rPr>
                <w:rFonts w:asciiTheme="majorHAnsi" w:hAnsiTheme="majorHAnsi" w:cstheme="majorHAnsi"/>
                <w:bCs/>
                <w:color w:val="0000FF"/>
                <w:sz w:val="24"/>
                <w:szCs w:val="24"/>
              </w:rPr>
              <w:t>.</w:t>
            </w:r>
            <w:r w:rsidRPr="00D462F0">
              <w:rPr>
                <w:rFonts w:asciiTheme="majorHAnsi" w:hAnsiTheme="majorHAnsi" w:cstheme="majorHAnsi"/>
                <w:bCs/>
                <w:color w:val="0000FF"/>
                <w:sz w:val="24"/>
                <w:szCs w:val="24"/>
              </w:rPr>
              <w:t xml:space="preserve">  Para os fins desta Subseção, considera-se as seguintes definições:</w:t>
            </w:r>
          </w:p>
        </w:tc>
        <w:tc>
          <w:tcPr>
            <w:tcW w:w="4074" w:type="dxa"/>
          </w:tcPr>
          <w:p w14:paraId="1596030A"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 inclusão visa otimização nas orientações para instrução dos requerimentos e à segurança na análise das informações, dos documentos e do atendimento às condições legais e técnicas estabelecidas para os tipos de requerimentos, retirando da Nota Técnica DILIC 1026 e inserido os conceitos na Resolução, atribuindo maior segurança e relevância normativa.</w:t>
            </w:r>
          </w:p>
          <w:p w14:paraId="774769BD" w14:textId="0AAC7876" w:rsidR="00A26CD8" w:rsidRPr="00D462F0" w:rsidRDefault="00A26CD8" w:rsidP="00D462F0">
            <w:pPr>
              <w:jc w:val="both"/>
              <w:rPr>
                <w:rFonts w:asciiTheme="majorHAnsi" w:hAnsiTheme="majorHAnsi" w:cstheme="majorHAnsi"/>
                <w:sz w:val="24"/>
                <w:szCs w:val="24"/>
              </w:rPr>
            </w:pPr>
          </w:p>
        </w:tc>
        <w:tc>
          <w:tcPr>
            <w:tcW w:w="4075" w:type="dxa"/>
          </w:tcPr>
          <w:p w14:paraId="01B1DA54" w14:textId="4F6BA2BA"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57758055" w14:textId="0FC9AFCD"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Trata-se de dispositivo para definir no normativo as datas de referência para os respectivos licenciamentos, a fim de aumentar a segurança jurídica dos processos e consequentemente a higidez do sistema.</w:t>
            </w:r>
          </w:p>
          <w:p w14:paraId="09B06848" w14:textId="33002E85"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A26CD8" w:rsidRPr="00C93770" w14:paraId="7AAF7191" w14:textId="77777777" w:rsidTr="1756A420">
        <w:tc>
          <w:tcPr>
            <w:tcW w:w="4074" w:type="dxa"/>
          </w:tcPr>
          <w:p w14:paraId="4724B0F0" w14:textId="3D135BC6"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65A4B868" w14:textId="7C9C5597"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 - data-base: o dia trinta e um de dezembro do exercício imediatamente anterior ao da data do protocolo do requerimento de licenciamento na Previc ou a data de referência da última demonstração atuarial dos planos envolvidos na operação, o que for mais recente, em que devem ser posicionados os cálculos referenciais que servirão para a instrução do requerimento; </w:t>
            </w:r>
          </w:p>
        </w:tc>
        <w:tc>
          <w:tcPr>
            <w:tcW w:w="4074" w:type="dxa"/>
          </w:tcPr>
          <w:p w14:paraId="7B436A16" w14:textId="77777777" w:rsidR="00A26CD8" w:rsidRPr="00D462F0" w:rsidRDefault="00A26CD8" w:rsidP="00D462F0">
            <w:pPr>
              <w:jc w:val="both"/>
              <w:rPr>
                <w:rFonts w:asciiTheme="majorHAnsi" w:hAnsiTheme="majorHAnsi" w:cstheme="majorHAnsi"/>
                <w:sz w:val="24"/>
                <w:szCs w:val="24"/>
              </w:rPr>
            </w:pPr>
          </w:p>
        </w:tc>
        <w:tc>
          <w:tcPr>
            <w:tcW w:w="4075" w:type="dxa"/>
          </w:tcPr>
          <w:p w14:paraId="6449B4F1" w14:textId="324E3A0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A26CD8" w:rsidRPr="00C93770" w14:paraId="779EFD4B" w14:textId="77777777" w:rsidTr="1756A420">
        <w:tc>
          <w:tcPr>
            <w:tcW w:w="4074" w:type="dxa"/>
          </w:tcPr>
          <w:p w14:paraId="37A4B6B8" w14:textId="552BDE8F"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4502922D" w14:textId="5B0B7E57"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II - data de autorização: aquela em que for publicado o ato de aprovação da Previc no Diário Oficial da União – DOU, referente à operação pretendida; </w:t>
            </w:r>
          </w:p>
        </w:tc>
        <w:tc>
          <w:tcPr>
            <w:tcW w:w="4074" w:type="dxa"/>
          </w:tcPr>
          <w:p w14:paraId="0EAEA051" w14:textId="77777777" w:rsidR="00A26CD8" w:rsidRPr="00D462F0" w:rsidRDefault="00A26CD8" w:rsidP="00D462F0">
            <w:pPr>
              <w:jc w:val="both"/>
              <w:rPr>
                <w:rFonts w:asciiTheme="majorHAnsi" w:hAnsiTheme="majorHAnsi" w:cstheme="majorHAnsi"/>
                <w:sz w:val="24"/>
                <w:szCs w:val="24"/>
              </w:rPr>
            </w:pPr>
          </w:p>
        </w:tc>
        <w:tc>
          <w:tcPr>
            <w:tcW w:w="4075" w:type="dxa"/>
          </w:tcPr>
          <w:p w14:paraId="5C490057" w14:textId="7E14FDC6"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A26CD8" w:rsidRPr="00C93770" w14:paraId="6914B877" w14:textId="77777777" w:rsidTr="1756A420">
        <w:tc>
          <w:tcPr>
            <w:tcW w:w="4074" w:type="dxa"/>
          </w:tcPr>
          <w:p w14:paraId="29681178" w14:textId="0F06035F"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1872FFBD" w14:textId="13BF1CB9"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III - data do cálculo: aquela correspondente ao último dia do mês em que ocorrer a data de autorização, momento em que os cálculos devem ser posicionados para a finalização da operação; </w:t>
            </w:r>
          </w:p>
        </w:tc>
        <w:tc>
          <w:tcPr>
            <w:tcW w:w="4074" w:type="dxa"/>
          </w:tcPr>
          <w:p w14:paraId="0EC9B2A8" w14:textId="77777777" w:rsidR="00A26CD8" w:rsidRPr="00D462F0" w:rsidRDefault="00A26CD8" w:rsidP="00D462F0">
            <w:pPr>
              <w:jc w:val="both"/>
              <w:rPr>
                <w:rFonts w:asciiTheme="majorHAnsi" w:hAnsiTheme="majorHAnsi" w:cstheme="majorHAnsi"/>
                <w:sz w:val="24"/>
                <w:szCs w:val="24"/>
              </w:rPr>
            </w:pPr>
          </w:p>
        </w:tc>
        <w:tc>
          <w:tcPr>
            <w:tcW w:w="4075" w:type="dxa"/>
          </w:tcPr>
          <w:p w14:paraId="6AD784F6" w14:textId="06588FF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A26CD8" w:rsidRPr="00C93770" w14:paraId="34F3A383" w14:textId="77777777" w:rsidTr="1756A420">
        <w:tc>
          <w:tcPr>
            <w:tcW w:w="4074" w:type="dxa"/>
          </w:tcPr>
          <w:p w14:paraId="5AF5AB09" w14:textId="74BC0ACE"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1DAF5123" w14:textId="3581AE95"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IV - data-efetiva: aquela, posterior à data de autorização, acordada formalmente entre as partes, até a qual deve ocorrer a finalização da operação; </w:t>
            </w:r>
          </w:p>
        </w:tc>
        <w:tc>
          <w:tcPr>
            <w:tcW w:w="4074" w:type="dxa"/>
          </w:tcPr>
          <w:p w14:paraId="69C86F86" w14:textId="77777777" w:rsidR="00A26CD8" w:rsidRPr="00D462F0" w:rsidRDefault="00A26CD8" w:rsidP="00D462F0">
            <w:pPr>
              <w:jc w:val="both"/>
              <w:rPr>
                <w:rFonts w:asciiTheme="majorHAnsi" w:hAnsiTheme="majorHAnsi" w:cstheme="majorHAnsi"/>
                <w:sz w:val="24"/>
                <w:szCs w:val="24"/>
              </w:rPr>
            </w:pPr>
          </w:p>
        </w:tc>
        <w:tc>
          <w:tcPr>
            <w:tcW w:w="4075" w:type="dxa"/>
          </w:tcPr>
          <w:p w14:paraId="496B5048" w14:textId="0E97B41A"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A26CD8" w:rsidRPr="00C93770" w14:paraId="3D0BD4F6" w14:textId="77777777" w:rsidTr="1756A420">
        <w:tc>
          <w:tcPr>
            <w:tcW w:w="4074" w:type="dxa"/>
          </w:tcPr>
          <w:p w14:paraId="01D4ABC4" w14:textId="6CF782FC"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56CE2324" w14:textId="2BFD381A"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V - termo da operação: instrumento contratual firmado entre as partes envolvidas na operação pretendida, no qual são pactuadas as condições, os critérios e as metodologias aplicáveis ao requerimento; e </w:t>
            </w:r>
          </w:p>
        </w:tc>
        <w:tc>
          <w:tcPr>
            <w:tcW w:w="4074" w:type="dxa"/>
          </w:tcPr>
          <w:p w14:paraId="3D270AFA" w14:textId="77777777" w:rsidR="00A26CD8" w:rsidRPr="00D462F0" w:rsidRDefault="00A26CD8" w:rsidP="00D462F0">
            <w:pPr>
              <w:jc w:val="both"/>
              <w:rPr>
                <w:rFonts w:asciiTheme="majorHAnsi" w:hAnsiTheme="majorHAnsi" w:cstheme="majorHAnsi"/>
                <w:sz w:val="24"/>
                <w:szCs w:val="24"/>
              </w:rPr>
            </w:pPr>
          </w:p>
        </w:tc>
        <w:tc>
          <w:tcPr>
            <w:tcW w:w="4075" w:type="dxa"/>
          </w:tcPr>
          <w:p w14:paraId="1DDCDCB5" w14:textId="6CE4F3DA"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A26CD8" w:rsidRPr="00C93770" w14:paraId="7A9D1D7E" w14:textId="77777777" w:rsidTr="1756A420">
        <w:tc>
          <w:tcPr>
            <w:tcW w:w="4074" w:type="dxa"/>
          </w:tcPr>
          <w:p w14:paraId="09F5A69B" w14:textId="6E68EB04"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3005357E" w14:textId="2C5E0EBE"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VI - relatório da operação: documento, posicionado na data-base, que apresenta as informações e os valores relacionados com a operação pretendida, resultantes da aplicação das condições, dos critérios e das metodologias definidas no termo da operação, observado o formato “</w:t>
            </w:r>
            <w:proofErr w:type="spellStart"/>
            <w:r w:rsidRPr="00D462F0">
              <w:rPr>
                <w:rFonts w:asciiTheme="majorHAnsi" w:hAnsiTheme="majorHAnsi" w:cstheme="majorHAnsi"/>
                <w:bCs/>
                <w:color w:val="0000FF"/>
                <w:sz w:val="24"/>
                <w:szCs w:val="24"/>
              </w:rPr>
              <w:t>xlsx</w:t>
            </w:r>
            <w:proofErr w:type="spellEnd"/>
            <w:r w:rsidRPr="00D462F0">
              <w:rPr>
                <w:rFonts w:asciiTheme="majorHAnsi" w:hAnsiTheme="majorHAnsi" w:cstheme="majorHAnsi"/>
                <w:bCs/>
                <w:color w:val="0000FF"/>
                <w:sz w:val="24"/>
                <w:szCs w:val="24"/>
              </w:rPr>
              <w:t>”, conforme modelo disponível no sítio eletrônico da Previc na internet.</w:t>
            </w:r>
          </w:p>
        </w:tc>
        <w:tc>
          <w:tcPr>
            <w:tcW w:w="4074" w:type="dxa"/>
          </w:tcPr>
          <w:p w14:paraId="52E1EA8E" w14:textId="77777777" w:rsidR="00A26CD8" w:rsidRPr="00D462F0" w:rsidRDefault="00A26CD8" w:rsidP="00D462F0">
            <w:pPr>
              <w:jc w:val="both"/>
              <w:rPr>
                <w:rFonts w:asciiTheme="majorHAnsi" w:hAnsiTheme="majorHAnsi" w:cstheme="majorHAnsi"/>
                <w:sz w:val="24"/>
                <w:szCs w:val="24"/>
              </w:rPr>
            </w:pPr>
          </w:p>
        </w:tc>
        <w:tc>
          <w:tcPr>
            <w:tcW w:w="4075" w:type="dxa"/>
          </w:tcPr>
          <w:p w14:paraId="3FF023E0" w14:textId="266BEB0E"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A26CD8" w:rsidRPr="00C93770" w14:paraId="4EC6828F" w14:textId="77777777" w:rsidTr="1756A420">
        <w:tc>
          <w:tcPr>
            <w:tcW w:w="4074" w:type="dxa"/>
          </w:tcPr>
          <w:p w14:paraId="4490E4D5" w14:textId="15EE8A4E"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177. </w:t>
            </w:r>
            <w:r w:rsidR="00EB19CA" w:rsidRPr="00D462F0">
              <w:rPr>
                <w:rFonts w:asciiTheme="majorHAnsi" w:hAnsiTheme="majorHAnsi" w:cstheme="majorHAnsi"/>
                <w:sz w:val="24"/>
                <w:szCs w:val="24"/>
              </w:rPr>
              <w:t xml:space="preserve"> </w:t>
            </w:r>
            <w:r w:rsidRPr="00D462F0">
              <w:rPr>
                <w:rFonts w:asciiTheme="majorHAnsi" w:hAnsiTheme="majorHAnsi" w:cstheme="majorHAnsi"/>
                <w:sz w:val="24"/>
                <w:szCs w:val="24"/>
              </w:rPr>
              <w:t>O requerimento de encerramento de plano de benefícios ou de EFPC deve ser protocolado pela EFPC, instruído com o expediente explicativo e Termo de Responsabilidade de Encerramento de Plano de Benefícios ou Termo de Responsabilidade de Encerramento de EFPC, conforme o caso.</w:t>
            </w:r>
          </w:p>
        </w:tc>
        <w:tc>
          <w:tcPr>
            <w:tcW w:w="4074" w:type="dxa"/>
          </w:tcPr>
          <w:p w14:paraId="7F73B221" w14:textId="02A15C43"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177.</w:t>
            </w:r>
            <w:r w:rsidR="00EB19CA"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 xml:space="preserve"> </w:t>
            </w:r>
            <w:r w:rsidR="00EB19CA" w:rsidRPr="00D462F0">
              <w:rPr>
                <w:rFonts w:asciiTheme="majorHAnsi" w:hAnsiTheme="majorHAnsi" w:cstheme="majorHAnsi"/>
                <w:bCs/>
                <w:sz w:val="24"/>
                <w:szCs w:val="24"/>
              </w:rPr>
              <w:t>...</w:t>
            </w:r>
          </w:p>
          <w:p w14:paraId="05A78AC3" w14:textId="447501A0" w:rsidR="00A26CD8" w:rsidRPr="00D462F0" w:rsidRDefault="00A26CD8" w:rsidP="00D462F0">
            <w:pPr>
              <w:jc w:val="both"/>
              <w:rPr>
                <w:rFonts w:asciiTheme="majorHAnsi" w:hAnsiTheme="majorHAnsi" w:cstheme="majorHAnsi"/>
                <w:bCs/>
                <w:color w:val="0000FF"/>
                <w:sz w:val="24"/>
                <w:szCs w:val="24"/>
              </w:rPr>
            </w:pPr>
          </w:p>
        </w:tc>
        <w:tc>
          <w:tcPr>
            <w:tcW w:w="4074" w:type="dxa"/>
          </w:tcPr>
          <w:p w14:paraId="078303FB" w14:textId="61950C80" w:rsidR="00A26CD8"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483C5CF2" w14:textId="0C60D825" w:rsidR="00A26CD8" w:rsidRPr="00D462F0" w:rsidRDefault="00A26CD8" w:rsidP="00D462F0">
            <w:pPr>
              <w:jc w:val="both"/>
              <w:rPr>
                <w:rFonts w:asciiTheme="majorHAnsi" w:hAnsiTheme="majorHAnsi" w:cstheme="majorHAnsi"/>
                <w:bCs/>
                <w:sz w:val="24"/>
                <w:szCs w:val="24"/>
              </w:rPr>
            </w:pPr>
          </w:p>
        </w:tc>
      </w:tr>
      <w:tr w:rsidR="00A26CD8" w:rsidRPr="00C93770" w14:paraId="76CE4B80" w14:textId="77777777" w:rsidTr="1756A420">
        <w:tc>
          <w:tcPr>
            <w:tcW w:w="4074" w:type="dxa"/>
          </w:tcPr>
          <w:p w14:paraId="312ACA1C" w14:textId="1386C608"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5198749B" w14:textId="0BE6B828"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Parágrafo único. </w:t>
            </w:r>
            <w:r w:rsidR="00EA698E">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 xml:space="preserve">A EFPC poderá nomear um procurador, devidamente qualificado, para representá-la no </w:t>
            </w:r>
            <w:r w:rsidRPr="00D462F0">
              <w:rPr>
                <w:rFonts w:asciiTheme="majorHAnsi" w:hAnsiTheme="majorHAnsi" w:cstheme="majorHAnsi"/>
                <w:bCs/>
                <w:color w:val="0000FF"/>
                <w:sz w:val="24"/>
                <w:szCs w:val="24"/>
              </w:rPr>
              <w:lastRenderedPageBreak/>
              <w:t>processo de encerramento de suas atividades, após a data efetiva da operação, em circunstância excepcional previamente aprovada pela Previc.</w:t>
            </w:r>
          </w:p>
        </w:tc>
        <w:tc>
          <w:tcPr>
            <w:tcW w:w="4074" w:type="dxa"/>
          </w:tcPr>
          <w:p w14:paraId="60BE2F61" w14:textId="1CF34644"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Proposta de inserção do §1º visa dar uma maior flexibilidade aos casos excepcionais em que as EFPC não têm </w:t>
            </w:r>
            <w:r w:rsidRPr="00D462F0">
              <w:rPr>
                <w:rFonts w:asciiTheme="majorHAnsi" w:hAnsiTheme="majorHAnsi" w:cstheme="majorHAnsi"/>
                <w:sz w:val="24"/>
                <w:szCs w:val="24"/>
              </w:rPr>
              <w:lastRenderedPageBreak/>
              <w:t>mais dirigentes habilitados e ainda estão com processo de encerramento em curso.</w:t>
            </w:r>
          </w:p>
        </w:tc>
        <w:tc>
          <w:tcPr>
            <w:tcW w:w="4075" w:type="dxa"/>
          </w:tcPr>
          <w:p w14:paraId="3BDB5EEB"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Decreto nº 10.411, de 2020, art. 4º, inciso V, alínea a.</w:t>
            </w:r>
          </w:p>
          <w:p w14:paraId="69D52A65"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 xml:space="preserve">A alteração em questão, em caráter de possibilidade, trata de diretriz para nomeação de procurador em EFPC que estejam em encerramento. </w:t>
            </w:r>
          </w:p>
          <w:p w14:paraId="31C85A68" w14:textId="77777777"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do sistema como um todo. </w:t>
            </w:r>
          </w:p>
          <w:p w14:paraId="6E4108F7"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Conceitualmente higidez é a condição de uma entidade que demonstra equilíbrio atuarial, sustentabilidade de longo prazo e conformidade regulatória. </w:t>
            </w:r>
          </w:p>
          <w:p w14:paraId="5001ECFB"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trata-se de componente da higidez do sistema que a EFPC faça a gestão para o devido encerramento.</w:t>
            </w:r>
          </w:p>
          <w:p w14:paraId="7B2C8A9B" w14:textId="74ED3FC2"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A26CD8" w:rsidRPr="00C93770" w14:paraId="628873FC" w14:textId="77777777" w:rsidTr="1756A420">
        <w:tc>
          <w:tcPr>
            <w:tcW w:w="4074" w:type="dxa"/>
          </w:tcPr>
          <w:p w14:paraId="495C6B22" w14:textId="77777777"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sz w:val="24"/>
                <w:szCs w:val="24"/>
              </w:rPr>
              <w:lastRenderedPageBreak/>
              <w:t>CAPÍTULO V</w:t>
            </w:r>
          </w:p>
          <w:p w14:paraId="4215D9BF" w14:textId="7986C7F9"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sz w:val="24"/>
                <w:szCs w:val="24"/>
              </w:rPr>
              <w:t>DAS REGRAS CONTÁBEIS</w:t>
            </w:r>
          </w:p>
        </w:tc>
        <w:tc>
          <w:tcPr>
            <w:tcW w:w="4074" w:type="dxa"/>
          </w:tcPr>
          <w:p w14:paraId="42B28661" w14:textId="77777777" w:rsidR="00A26CD8" w:rsidRPr="00D462F0" w:rsidRDefault="00A26CD8"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CAPÍTULO V</w:t>
            </w:r>
          </w:p>
          <w:p w14:paraId="5B4F5A83" w14:textId="55DA18DE" w:rsidR="00A26CD8" w:rsidRPr="00D462F0" w:rsidRDefault="00A26CD8"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DAS REGRAS CONTÁBEIS</w:t>
            </w:r>
          </w:p>
        </w:tc>
        <w:tc>
          <w:tcPr>
            <w:tcW w:w="4074" w:type="dxa"/>
          </w:tcPr>
          <w:p w14:paraId="0E504389" w14:textId="56873DCF" w:rsidR="00A26CD8" w:rsidRPr="00D462F0" w:rsidRDefault="00A26CD8" w:rsidP="00D462F0">
            <w:pPr>
              <w:jc w:val="both"/>
              <w:rPr>
                <w:rFonts w:asciiTheme="majorHAnsi" w:hAnsiTheme="majorHAnsi" w:cstheme="majorHAnsi"/>
                <w:sz w:val="24"/>
                <w:szCs w:val="24"/>
              </w:rPr>
            </w:pPr>
          </w:p>
        </w:tc>
        <w:tc>
          <w:tcPr>
            <w:tcW w:w="4075" w:type="dxa"/>
          </w:tcPr>
          <w:p w14:paraId="383BA07C" w14:textId="77777777" w:rsidR="00A26CD8" w:rsidRPr="00D462F0" w:rsidRDefault="00A26CD8" w:rsidP="00D462F0">
            <w:pPr>
              <w:jc w:val="both"/>
              <w:rPr>
                <w:rFonts w:asciiTheme="majorHAnsi" w:hAnsiTheme="majorHAnsi" w:cstheme="majorHAnsi"/>
                <w:bCs/>
                <w:sz w:val="24"/>
                <w:szCs w:val="24"/>
              </w:rPr>
            </w:pPr>
          </w:p>
        </w:tc>
      </w:tr>
      <w:tr w:rsidR="008C248E" w:rsidRPr="00C93770" w14:paraId="4ED2976F" w14:textId="77777777" w:rsidTr="1756A420">
        <w:tc>
          <w:tcPr>
            <w:tcW w:w="4074" w:type="dxa"/>
          </w:tcPr>
          <w:p w14:paraId="510F7847" w14:textId="45BF6F05" w:rsidR="008C248E" w:rsidRPr="00D462F0" w:rsidRDefault="008C248E"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59862D29" w14:textId="5AD82B45" w:rsidR="008C248E" w:rsidRPr="00D462F0" w:rsidRDefault="008C248E"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0B7F50EB" w14:textId="77777777" w:rsidR="008C248E" w:rsidRPr="00D462F0" w:rsidRDefault="008C248E" w:rsidP="00D462F0">
            <w:pPr>
              <w:jc w:val="both"/>
              <w:rPr>
                <w:rFonts w:asciiTheme="majorHAnsi" w:hAnsiTheme="majorHAnsi" w:cstheme="majorHAnsi"/>
                <w:sz w:val="24"/>
                <w:szCs w:val="24"/>
              </w:rPr>
            </w:pPr>
          </w:p>
        </w:tc>
        <w:tc>
          <w:tcPr>
            <w:tcW w:w="4075" w:type="dxa"/>
          </w:tcPr>
          <w:p w14:paraId="2E5004BD" w14:textId="77777777" w:rsidR="008C248E" w:rsidRPr="00D462F0" w:rsidRDefault="008C248E" w:rsidP="00D462F0">
            <w:pPr>
              <w:jc w:val="both"/>
              <w:rPr>
                <w:rFonts w:asciiTheme="majorHAnsi" w:hAnsiTheme="majorHAnsi" w:cstheme="majorHAnsi"/>
                <w:bCs/>
                <w:sz w:val="24"/>
                <w:szCs w:val="24"/>
              </w:rPr>
            </w:pPr>
          </w:p>
        </w:tc>
      </w:tr>
      <w:tr w:rsidR="00A26CD8" w:rsidRPr="00C93770" w14:paraId="18991DBF" w14:textId="77777777" w:rsidTr="1756A420">
        <w:tc>
          <w:tcPr>
            <w:tcW w:w="4074" w:type="dxa"/>
          </w:tcPr>
          <w:p w14:paraId="2AF8F07D" w14:textId="77777777"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II</w:t>
            </w:r>
          </w:p>
          <w:p w14:paraId="27D67A91" w14:textId="2B2EBE35"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b/>
                <w:bCs/>
                <w:sz w:val="24"/>
                <w:szCs w:val="24"/>
              </w:rPr>
              <w:t>Registros Contábeis das EFPC</w:t>
            </w:r>
          </w:p>
        </w:tc>
        <w:tc>
          <w:tcPr>
            <w:tcW w:w="4074" w:type="dxa"/>
          </w:tcPr>
          <w:p w14:paraId="3B43C614" w14:textId="77777777" w:rsidR="00A26CD8" w:rsidRPr="00D462F0" w:rsidRDefault="00A26CD8"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Seção II</w:t>
            </w:r>
          </w:p>
          <w:p w14:paraId="6A28D55B" w14:textId="3212CA67" w:rsidR="00A26CD8" w:rsidRPr="00D462F0" w:rsidRDefault="00A26CD8" w:rsidP="0028717C">
            <w:pPr>
              <w:jc w:val="center"/>
              <w:rPr>
                <w:rFonts w:asciiTheme="majorHAnsi" w:hAnsiTheme="majorHAnsi" w:cstheme="majorHAnsi"/>
                <w:b/>
                <w:sz w:val="24"/>
                <w:szCs w:val="24"/>
              </w:rPr>
            </w:pPr>
            <w:r w:rsidRPr="00D462F0">
              <w:rPr>
                <w:rFonts w:asciiTheme="majorHAnsi" w:hAnsiTheme="majorHAnsi" w:cstheme="majorHAnsi"/>
                <w:b/>
                <w:sz w:val="24"/>
                <w:szCs w:val="24"/>
              </w:rPr>
              <w:t>Registros Contábeis das EFPC</w:t>
            </w:r>
          </w:p>
        </w:tc>
        <w:tc>
          <w:tcPr>
            <w:tcW w:w="4074" w:type="dxa"/>
          </w:tcPr>
          <w:p w14:paraId="3B8DE53E" w14:textId="04C03B29" w:rsidR="00A26CD8" w:rsidRPr="00D462F0" w:rsidRDefault="00A26CD8" w:rsidP="00D462F0">
            <w:pPr>
              <w:jc w:val="both"/>
              <w:rPr>
                <w:rFonts w:asciiTheme="majorHAnsi" w:hAnsiTheme="majorHAnsi" w:cstheme="majorHAnsi"/>
                <w:sz w:val="24"/>
                <w:szCs w:val="24"/>
              </w:rPr>
            </w:pPr>
          </w:p>
        </w:tc>
        <w:tc>
          <w:tcPr>
            <w:tcW w:w="4075" w:type="dxa"/>
          </w:tcPr>
          <w:p w14:paraId="4DA0458D" w14:textId="77777777" w:rsidR="00A26CD8" w:rsidRPr="00D462F0" w:rsidRDefault="00A26CD8" w:rsidP="00D462F0">
            <w:pPr>
              <w:jc w:val="both"/>
              <w:rPr>
                <w:rFonts w:asciiTheme="majorHAnsi" w:hAnsiTheme="majorHAnsi" w:cstheme="majorHAnsi"/>
                <w:bCs/>
                <w:sz w:val="24"/>
                <w:szCs w:val="24"/>
              </w:rPr>
            </w:pPr>
          </w:p>
        </w:tc>
      </w:tr>
      <w:tr w:rsidR="00297D09" w:rsidRPr="00C93770" w14:paraId="3B7BB410" w14:textId="77777777" w:rsidTr="1756A420">
        <w:tc>
          <w:tcPr>
            <w:tcW w:w="4074" w:type="dxa"/>
          </w:tcPr>
          <w:p w14:paraId="494A9E70" w14:textId="7A0BF630" w:rsidR="00297D09" w:rsidRPr="00D462F0" w:rsidRDefault="00297D09"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4EACF8F1" w14:textId="49FBC49E" w:rsidR="00297D09" w:rsidRPr="00D462F0" w:rsidRDefault="00297D09" w:rsidP="0028717C">
            <w:pPr>
              <w:tabs>
                <w:tab w:val="left" w:pos="0"/>
              </w:tabs>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CD70F9D" w14:textId="77777777" w:rsidR="00297D09" w:rsidRPr="00D462F0" w:rsidRDefault="00297D09" w:rsidP="00D462F0">
            <w:pPr>
              <w:jc w:val="both"/>
              <w:rPr>
                <w:rFonts w:asciiTheme="majorHAnsi" w:hAnsiTheme="majorHAnsi" w:cstheme="majorHAnsi"/>
                <w:sz w:val="24"/>
                <w:szCs w:val="24"/>
              </w:rPr>
            </w:pPr>
          </w:p>
        </w:tc>
        <w:tc>
          <w:tcPr>
            <w:tcW w:w="4075" w:type="dxa"/>
          </w:tcPr>
          <w:p w14:paraId="417EE09D" w14:textId="77777777" w:rsidR="00297D09" w:rsidRPr="00D462F0" w:rsidRDefault="00297D09" w:rsidP="00D462F0">
            <w:pPr>
              <w:jc w:val="both"/>
              <w:rPr>
                <w:rFonts w:asciiTheme="majorHAnsi" w:hAnsiTheme="majorHAnsi" w:cstheme="majorHAnsi"/>
                <w:bCs/>
                <w:sz w:val="24"/>
                <w:szCs w:val="24"/>
              </w:rPr>
            </w:pPr>
          </w:p>
        </w:tc>
      </w:tr>
      <w:tr w:rsidR="00A26CD8" w:rsidRPr="00C93770" w14:paraId="090D8DBE" w14:textId="77777777" w:rsidTr="1756A420">
        <w:tc>
          <w:tcPr>
            <w:tcW w:w="4074" w:type="dxa"/>
          </w:tcPr>
          <w:p w14:paraId="15EBA2CB" w14:textId="77777777"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w:t>
            </w:r>
          </w:p>
          <w:p w14:paraId="4516F4F7" w14:textId="0BD10344"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b/>
                <w:bCs/>
                <w:sz w:val="24"/>
                <w:szCs w:val="24"/>
              </w:rPr>
              <w:t>Plano de Gestão Administrativa</w:t>
            </w:r>
          </w:p>
        </w:tc>
        <w:tc>
          <w:tcPr>
            <w:tcW w:w="4074" w:type="dxa"/>
          </w:tcPr>
          <w:p w14:paraId="6C77000C" w14:textId="77777777" w:rsidR="00A26CD8" w:rsidRPr="00D462F0" w:rsidRDefault="00A26CD8" w:rsidP="0028717C">
            <w:pPr>
              <w:tabs>
                <w:tab w:val="left" w:pos="0"/>
              </w:tabs>
              <w:jc w:val="center"/>
              <w:rPr>
                <w:rFonts w:asciiTheme="majorHAnsi" w:hAnsiTheme="majorHAnsi" w:cstheme="majorHAnsi"/>
                <w:b/>
                <w:sz w:val="24"/>
                <w:szCs w:val="24"/>
              </w:rPr>
            </w:pPr>
            <w:r w:rsidRPr="00D462F0">
              <w:rPr>
                <w:rFonts w:asciiTheme="majorHAnsi" w:hAnsiTheme="majorHAnsi" w:cstheme="majorHAnsi"/>
                <w:b/>
                <w:sz w:val="24"/>
                <w:szCs w:val="24"/>
              </w:rPr>
              <w:t>Subseção I</w:t>
            </w:r>
          </w:p>
          <w:p w14:paraId="1CC073A3" w14:textId="2C49BCFA" w:rsidR="00A26CD8" w:rsidRPr="00D462F0" w:rsidRDefault="00A26CD8" w:rsidP="0028717C">
            <w:pPr>
              <w:jc w:val="center"/>
              <w:rPr>
                <w:rFonts w:asciiTheme="majorHAnsi" w:hAnsiTheme="majorHAnsi" w:cstheme="majorHAnsi"/>
                <w:b/>
                <w:sz w:val="24"/>
                <w:szCs w:val="24"/>
              </w:rPr>
            </w:pPr>
            <w:r w:rsidRPr="00D462F0">
              <w:rPr>
                <w:rFonts w:asciiTheme="majorHAnsi" w:hAnsiTheme="majorHAnsi" w:cstheme="majorHAnsi"/>
                <w:b/>
                <w:sz w:val="24"/>
                <w:szCs w:val="24"/>
              </w:rPr>
              <w:t>Plano de Gestão Administrativa</w:t>
            </w:r>
          </w:p>
        </w:tc>
        <w:tc>
          <w:tcPr>
            <w:tcW w:w="4074" w:type="dxa"/>
          </w:tcPr>
          <w:p w14:paraId="1E20E7C5" w14:textId="71E385AF" w:rsidR="00A26CD8" w:rsidRPr="00D462F0" w:rsidRDefault="00A26CD8" w:rsidP="00D462F0">
            <w:pPr>
              <w:jc w:val="both"/>
              <w:rPr>
                <w:rFonts w:asciiTheme="majorHAnsi" w:hAnsiTheme="majorHAnsi" w:cstheme="majorHAnsi"/>
                <w:sz w:val="24"/>
                <w:szCs w:val="24"/>
              </w:rPr>
            </w:pPr>
          </w:p>
        </w:tc>
        <w:tc>
          <w:tcPr>
            <w:tcW w:w="4075" w:type="dxa"/>
          </w:tcPr>
          <w:p w14:paraId="6F6822D7" w14:textId="77777777" w:rsidR="00A26CD8" w:rsidRPr="00D462F0" w:rsidRDefault="00A26CD8" w:rsidP="00D462F0">
            <w:pPr>
              <w:jc w:val="both"/>
              <w:rPr>
                <w:rFonts w:asciiTheme="majorHAnsi" w:hAnsiTheme="majorHAnsi" w:cstheme="majorHAnsi"/>
                <w:bCs/>
                <w:sz w:val="24"/>
                <w:szCs w:val="24"/>
              </w:rPr>
            </w:pPr>
          </w:p>
        </w:tc>
      </w:tr>
      <w:tr w:rsidR="00A26CD8" w:rsidRPr="00C93770" w14:paraId="03F42997" w14:textId="77777777" w:rsidTr="1756A420">
        <w:tc>
          <w:tcPr>
            <w:tcW w:w="4074" w:type="dxa"/>
          </w:tcPr>
          <w:p w14:paraId="68035A68" w14:textId="23E39CF6"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63B0444F" w14:textId="6E09508C" w:rsidR="00A26CD8" w:rsidRPr="00D462F0" w:rsidRDefault="00A26CD8"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C39868D" w14:textId="77777777" w:rsidR="00A26CD8" w:rsidRPr="00D462F0" w:rsidRDefault="00A26CD8" w:rsidP="00D462F0">
            <w:pPr>
              <w:jc w:val="both"/>
              <w:rPr>
                <w:rFonts w:asciiTheme="majorHAnsi" w:hAnsiTheme="majorHAnsi" w:cstheme="majorHAnsi"/>
                <w:sz w:val="24"/>
                <w:szCs w:val="24"/>
              </w:rPr>
            </w:pPr>
          </w:p>
        </w:tc>
        <w:tc>
          <w:tcPr>
            <w:tcW w:w="4075" w:type="dxa"/>
          </w:tcPr>
          <w:p w14:paraId="45EBD917" w14:textId="77777777" w:rsidR="00A26CD8" w:rsidRPr="00D462F0" w:rsidRDefault="00A26CD8" w:rsidP="00D462F0">
            <w:pPr>
              <w:jc w:val="both"/>
              <w:rPr>
                <w:rFonts w:asciiTheme="majorHAnsi" w:hAnsiTheme="majorHAnsi" w:cstheme="majorHAnsi"/>
                <w:bCs/>
                <w:sz w:val="24"/>
                <w:szCs w:val="24"/>
              </w:rPr>
            </w:pPr>
          </w:p>
        </w:tc>
      </w:tr>
      <w:tr w:rsidR="00A26CD8" w:rsidRPr="00C93770" w14:paraId="3D78ADD1" w14:textId="77777777" w:rsidTr="1756A420">
        <w:tc>
          <w:tcPr>
            <w:tcW w:w="4074" w:type="dxa"/>
          </w:tcPr>
          <w:p w14:paraId="48EC3E5A" w14:textId="31E531DB"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2A20DAE3" w14:textId="7663FA20"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182-A.  As EFPC devem disponibilizar em seu sítio eletrônico na internet:</w:t>
            </w:r>
          </w:p>
        </w:tc>
        <w:tc>
          <w:tcPr>
            <w:tcW w:w="4074" w:type="dxa"/>
          </w:tcPr>
          <w:p w14:paraId="747F93C9"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 proposta de inclusão do artigo 182-A na Subseção I do Plano de Gestão Administrativa da Seção II Registros Contábeis das EFPC da Resolução Previc nº 23, de 14 de agosto de 2023, tem o intuito de incorporar as orientações constantes do Ofício Circular DINOR nº 3, de 25 de abril de 2025, com o objetivo de regulamentar, de forma vinculante, </w:t>
            </w:r>
            <w:r w:rsidRPr="00D462F0">
              <w:rPr>
                <w:rFonts w:asciiTheme="majorHAnsi" w:hAnsiTheme="majorHAnsi" w:cstheme="majorHAnsi"/>
                <w:sz w:val="24"/>
                <w:szCs w:val="24"/>
              </w:rPr>
              <w:lastRenderedPageBreak/>
              <w:t>os dispositivos da Resolução CNPC nº 62, de 2024, que tratam do custeio administrativo no âmbito das Entidades Fechadas de Previdência Complementar - EFPC.</w:t>
            </w:r>
          </w:p>
          <w:p w14:paraId="5D557117"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O referido Ofício Circular dispõe, entre outros aspectos, da obrigatoriedade de divulgação, no sítio eletrônico da entidade, das informações relativas à execução orçamentária do Plano de Gestão Administrativa - PGA.</w:t>
            </w:r>
          </w:p>
          <w:p w14:paraId="31E06EED"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 inclusão desses dispositivos sobre o que deve ser disponibilizado pela EFPC no seu sítio eletrônico na Resolução Previc nº 23/2023, busca regulamentar o art. 18 da Resolução CNPC nº 62/2024, conferindo maior segurança jurídica, padronização e efetividade à aplicação da norma pelas entidades. Tal medida contribui para o fortalecimento da confiança dos participantes e assistidos, bem como para o aprimoramento do processo regulatório da previdência complementar fechada.</w:t>
            </w:r>
          </w:p>
          <w:p w14:paraId="497A0849" w14:textId="77777777" w:rsidR="00A26CD8" w:rsidRPr="00D462F0" w:rsidRDefault="00A26CD8" w:rsidP="00D462F0">
            <w:pPr>
              <w:jc w:val="both"/>
              <w:rPr>
                <w:rFonts w:asciiTheme="majorHAnsi" w:hAnsiTheme="majorHAnsi" w:cstheme="majorHAnsi"/>
                <w:sz w:val="24"/>
                <w:szCs w:val="24"/>
              </w:rPr>
            </w:pPr>
          </w:p>
        </w:tc>
        <w:tc>
          <w:tcPr>
            <w:tcW w:w="4075" w:type="dxa"/>
          </w:tcPr>
          <w:p w14:paraId="17FF0CC2"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Inciso II do art. 4º do Decreto nº 10.411/2020.</w:t>
            </w:r>
          </w:p>
          <w:p w14:paraId="699CBFD8" w14:textId="4B33A99F"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se baseia na necessidade de disciplinar direitos ou obrigações definidos em norma hierarquicamente superior, no caso a Resolução CNPC nº 62, de 2024, que trata de custeio administrativo.</w:t>
            </w:r>
          </w:p>
        </w:tc>
      </w:tr>
      <w:tr w:rsidR="00A26CD8" w:rsidRPr="00C93770" w14:paraId="51712EE7" w14:textId="77777777" w:rsidTr="1756A420">
        <w:tc>
          <w:tcPr>
            <w:tcW w:w="4074" w:type="dxa"/>
          </w:tcPr>
          <w:p w14:paraId="59B0F76D" w14:textId="17C09E21"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7510FBE4" w14:textId="76CB4825"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I - o regulamento do </w:t>
            </w:r>
            <w:r w:rsidR="00250981" w:rsidRPr="00D462F0">
              <w:rPr>
                <w:rFonts w:asciiTheme="majorHAnsi" w:hAnsiTheme="majorHAnsi" w:cstheme="majorHAnsi"/>
                <w:bCs/>
                <w:color w:val="0000FF"/>
                <w:sz w:val="24"/>
                <w:szCs w:val="24"/>
              </w:rPr>
              <w:t>P</w:t>
            </w:r>
            <w:r w:rsidRPr="00D462F0">
              <w:rPr>
                <w:rFonts w:asciiTheme="majorHAnsi" w:hAnsiTheme="majorHAnsi" w:cstheme="majorHAnsi"/>
                <w:bCs/>
                <w:color w:val="0000FF"/>
                <w:sz w:val="24"/>
                <w:szCs w:val="24"/>
              </w:rPr>
              <w:t xml:space="preserve">lano de </w:t>
            </w:r>
            <w:r w:rsidR="00250981" w:rsidRPr="00D462F0">
              <w:rPr>
                <w:rFonts w:asciiTheme="majorHAnsi" w:hAnsiTheme="majorHAnsi" w:cstheme="majorHAnsi"/>
                <w:bCs/>
                <w:color w:val="0000FF"/>
                <w:sz w:val="24"/>
                <w:szCs w:val="24"/>
              </w:rPr>
              <w:t>G</w:t>
            </w:r>
            <w:r w:rsidRPr="00D462F0">
              <w:rPr>
                <w:rFonts w:asciiTheme="majorHAnsi" w:hAnsiTheme="majorHAnsi" w:cstheme="majorHAnsi"/>
                <w:bCs/>
                <w:color w:val="0000FF"/>
                <w:sz w:val="24"/>
                <w:szCs w:val="24"/>
              </w:rPr>
              <w:t xml:space="preserve">estão </w:t>
            </w:r>
            <w:r w:rsidR="00250981" w:rsidRPr="00D462F0">
              <w:rPr>
                <w:rFonts w:asciiTheme="majorHAnsi" w:hAnsiTheme="majorHAnsi" w:cstheme="majorHAnsi"/>
                <w:bCs/>
                <w:color w:val="0000FF"/>
                <w:sz w:val="24"/>
                <w:szCs w:val="24"/>
              </w:rPr>
              <w:t>A</w:t>
            </w:r>
            <w:r w:rsidRPr="00D462F0">
              <w:rPr>
                <w:rFonts w:asciiTheme="majorHAnsi" w:hAnsiTheme="majorHAnsi" w:cstheme="majorHAnsi"/>
                <w:bCs/>
                <w:color w:val="0000FF"/>
                <w:sz w:val="24"/>
                <w:szCs w:val="24"/>
              </w:rPr>
              <w:t>dministrativa;</w:t>
            </w:r>
          </w:p>
        </w:tc>
        <w:tc>
          <w:tcPr>
            <w:tcW w:w="4074" w:type="dxa"/>
          </w:tcPr>
          <w:p w14:paraId="279C5E3A" w14:textId="21630B2A"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para regulamentação art. 18 da Resolução CNPC nº 62/2024.</w:t>
            </w:r>
          </w:p>
        </w:tc>
        <w:tc>
          <w:tcPr>
            <w:tcW w:w="4075" w:type="dxa"/>
          </w:tcPr>
          <w:p w14:paraId="34D7AF69" w14:textId="6FB00AEB"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 do art. 4º do Decreto nº 10.411/2020.</w:t>
            </w:r>
          </w:p>
        </w:tc>
      </w:tr>
      <w:tr w:rsidR="00A26CD8" w:rsidRPr="00C93770" w14:paraId="0C0E9C10" w14:textId="77777777" w:rsidTr="1756A420">
        <w:tc>
          <w:tcPr>
            <w:tcW w:w="4074" w:type="dxa"/>
          </w:tcPr>
          <w:p w14:paraId="7E213300" w14:textId="537F046B"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5AAE7418" w14:textId="4F9FD035"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II - o orçamento anual e, quando exigido, o orçamento plurianual; e</w:t>
            </w:r>
          </w:p>
        </w:tc>
        <w:tc>
          <w:tcPr>
            <w:tcW w:w="4074" w:type="dxa"/>
          </w:tcPr>
          <w:p w14:paraId="71A8A88A" w14:textId="41035E64"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para regulamentação art. 18 da Resolução CNPC nº 62/2024.</w:t>
            </w:r>
          </w:p>
        </w:tc>
        <w:tc>
          <w:tcPr>
            <w:tcW w:w="4075" w:type="dxa"/>
          </w:tcPr>
          <w:p w14:paraId="6E569E95" w14:textId="3948F3B3"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 do art. 4º do Decreto nº 10.411/2020.</w:t>
            </w:r>
          </w:p>
        </w:tc>
      </w:tr>
      <w:tr w:rsidR="00A26CD8" w:rsidRPr="00C93770" w14:paraId="57DA22DD" w14:textId="77777777" w:rsidTr="1756A420">
        <w:tc>
          <w:tcPr>
            <w:tcW w:w="4074" w:type="dxa"/>
          </w:tcPr>
          <w:p w14:paraId="2785D4E0" w14:textId="4AD9720F"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54445EA7" w14:textId="3EB9FDE8"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III - as informações detalhadas sobre as receitas e despesas da gestão administrativa realizadas nos últimos três exercícios.</w:t>
            </w:r>
          </w:p>
        </w:tc>
        <w:tc>
          <w:tcPr>
            <w:tcW w:w="4074" w:type="dxa"/>
          </w:tcPr>
          <w:p w14:paraId="5DF01F3B" w14:textId="004E8BFF"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para regulamentação art. 18 da Resolução CNPC nº 62/2024.</w:t>
            </w:r>
          </w:p>
        </w:tc>
        <w:tc>
          <w:tcPr>
            <w:tcW w:w="4075" w:type="dxa"/>
          </w:tcPr>
          <w:p w14:paraId="5FEB1038" w14:textId="605D598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 do art. 4º do Decreto nº 10.411/2020.</w:t>
            </w:r>
          </w:p>
        </w:tc>
      </w:tr>
      <w:tr w:rsidR="00A26CD8" w:rsidRPr="00C93770" w14:paraId="75D7BCB1" w14:textId="77777777" w:rsidTr="1756A420">
        <w:tc>
          <w:tcPr>
            <w:tcW w:w="4074" w:type="dxa"/>
          </w:tcPr>
          <w:p w14:paraId="66784F0D" w14:textId="12F9869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307D8C9A" w14:textId="78406A1B"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1º  A disponibilização em seu sítio eletrônico na internet a que se refere o caput deve ser em área pública de acesso irrestrito.</w:t>
            </w:r>
          </w:p>
        </w:tc>
        <w:tc>
          <w:tcPr>
            <w:tcW w:w="4074" w:type="dxa"/>
          </w:tcPr>
          <w:p w14:paraId="5B87B27B" w14:textId="5A3382C5"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parágrafo para regulamentação art. 18 da Resolução CNPC nº 62/2024.</w:t>
            </w:r>
          </w:p>
        </w:tc>
        <w:tc>
          <w:tcPr>
            <w:tcW w:w="4075" w:type="dxa"/>
          </w:tcPr>
          <w:p w14:paraId="7FD6FDE8" w14:textId="052CAE3D"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 do art. 4º do Decreto nº 10.411/2020.</w:t>
            </w:r>
          </w:p>
        </w:tc>
      </w:tr>
      <w:tr w:rsidR="00A26CD8" w:rsidRPr="00C93770" w14:paraId="27A217A4" w14:textId="77777777" w:rsidTr="1756A420">
        <w:tc>
          <w:tcPr>
            <w:tcW w:w="4074" w:type="dxa"/>
          </w:tcPr>
          <w:p w14:paraId="706EC59D" w14:textId="09ACF9DE"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64A006DA" w14:textId="1E251881"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2º  O detalhamento do orçamento pode ser no nível mínimo do balancete.</w:t>
            </w:r>
          </w:p>
        </w:tc>
        <w:tc>
          <w:tcPr>
            <w:tcW w:w="4074" w:type="dxa"/>
          </w:tcPr>
          <w:p w14:paraId="6A33CBE9" w14:textId="1029C523"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parágrafo para regulamentação art. 18 da Resolução CNPC nº 62/2024.</w:t>
            </w:r>
          </w:p>
        </w:tc>
        <w:tc>
          <w:tcPr>
            <w:tcW w:w="4075" w:type="dxa"/>
          </w:tcPr>
          <w:p w14:paraId="60228701" w14:textId="2D7C9300"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 do art. 4º do Decreto nº 10.411/2020.</w:t>
            </w:r>
          </w:p>
        </w:tc>
      </w:tr>
      <w:tr w:rsidR="00A26CD8" w:rsidRPr="00C93770" w14:paraId="5247A65B" w14:textId="77777777" w:rsidTr="1756A420">
        <w:tc>
          <w:tcPr>
            <w:tcW w:w="4074" w:type="dxa"/>
          </w:tcPr>
          <w:p w14:paraId="1071C619" w14:textId="1F204530"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77C9668D" w14:textId="32FFC44D" w:rsidR="00A26CD8" w:rsidRPr="00D462F0" w:rsidRDefault="00A26CD8"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04701547" w14:textId="77777777" w:rsidR="00A26CD8" w:rsidRPr="00D462F0" w:rsidRDefault="00A26CD8" w:rsidP="00D462F0">
            <w:pPr>
              <w:jc w:val="both"/>
              <w:rPr>
                <w:rFonts w:asciiTheme="majorHAnsi" w:hAnsiTheme="majorHAnsi" w:cstheme="majorHAnsi"/>
                <w:sz w:val="24"/>
                <w:szCs w:val="24"/>
              </w:rPr>
            </w:pPr>
          </w:p>
        </w:tc>
        <w:tc>
          <w:tcPr>
            <w:tcW w:w="4075" w:type="dxa"/>
          </w:tcPr>
          <w:p w14:paraId="5AED078E" w14:textId="77777777" w:rsidR="00A26CD8" w:rsidRPr="00D462F0" w:rsidRDefault="00A26CD8" w:rsidP="00D462F0">
            <w:pPr>
              <w:jc w:val="both"/>
              <w:rPr>
                <w:rFonts w:asciiTheme="majorHAnsi" w:hAnsiTheme="majorHAnsi" w:cstheme="majorHAnsi"/>
                <w:bCs/>
                <w:sz w:val="24"/>
                <w:szCs w:val="24"/>
              </w:rPr>
            </w:pPr>
          </w:p>
        </w:tc>
      </w:tr>
      <w:tr w:rsidR="00A26CD8" w:rsidRPr="00C93770" w14:paraId="2311767F" w14:textId="77777777" w:rsidTr="1756A420">
        <w:tc>
          <w:tcPr>
            <w:tcW w:w="4074" w:type="dxa"/>
          </w:tcPr>
          <w:p w14:paraId="340B0247" w14:textId="77777777"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III</w:t>
            </w:r>
          </w:p>
          <w:p w14:paraId="21C5CDBF" w14:textId="25632E58"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Registros Contábeis de Investimentos</w:t>
            </w:r>
          </w:p>
        </w:tc>
        <w:tc>
          <w:tcPr>
            <w:tcW w:w="4074" w:type="dxa"/>
          </w:tcPr>
          <w:p w14:paraId="68F5A38F" w14:textId="77777777" w:rsidR="00A26CD8" w:rsidRPr="00D462F0" w:rsidRDefault="00A26CD8" w:rsidP="0028717C">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Seção III</w:t>
            </w:r>
          </w:p>
          <w:p w14:paraId="3C72E650" w14:textId="32908AA1"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Registros Contábeis de Investimentos</w:t>
            </w:r>
          </w:p>
        </w:tc>
        <w:tc>
          <w:tcPr>
            <w:tcW w:w="4074" w:type="dxa"/>
          </w:tcPr>
          <w:p w14:paraId="1EFA614F" w14:textId="77777777" w:rsidR="00A26CD8" w:rsidRPr="00D462F0" w:rsidRDefault="00A26CD8" w:rsidP="00D462F0">
            <w:pPr>
              <w:jc w:val="both"/>
              <w:rPr>
                <w:rFonts w:asciiTheme="majorHAnsi" w:hAnsiTheme="majorHAnsi" w:cstheme="majorHAnsi"/>
                <w:sz w:val="24"/>
                <w:szCs w:val="24"/>
              </w:rPr>
            </w:pPr>
          </w:p>
        </w:tc>
        <w:tc>
          <w:tcPr>
            <w:tcW w:w="4075" w:type="dxa"/>
          </w:tcPr>
          <w:p w14:paraId="0673C9CD" w14:textId="77777777" w:rsidR="00A26CD8" w:rsidRPr="00D462F0" w:rsidRDefault="00A26CD8" w:rsidP="00D462F0">
            <w:pPr>
              <w:jc w:val="both"/>
              <w:rPr>
                <w:rFonts w:asciiTheme="majorHAnsi" w:hAnsiTheme="majorHAnsi" w:cstheme="majorHAnsi"/>
                <w:bCs/>
                <w:sz w:val="24"/>
                <w:szCs w:val="24"/>
              </w:rPr>
            </w:pPr>
          </w:p>
        </w:tc>
      </w:tr>
      <w:tr w:rsidR="00A26CD8" w:rsidRPr="00C93770" w14:paraId="3364492F" w14:textId="77777777" w:rsidTr="1756A420">
        <w:tc>
          <w:tcPr>
            <w:tcW w:w="4074" w:type="dxa"/>
          </w:tcPr>
          <w:p w14:paraId="51781154" w14:textId="6E23089E"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w:t>
            </w:r>
          </w:p>
        </w:tc>
        <w:tc>
          <w:tcPr>
            <w:tcW w:w="4074" w:type="dxa"/>
          </w:tcPr>
          <w:p w14:paraId="063D9292" w14:textId="16173DCA"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w:t>
            </w:r>
          </w:p>
        </w:tc>
        <w:tc>
          <w:tcPr>
            <w:tcW w:w="4074" w:type="dxa"/>
          </w:tcPr>
          <w:p w14:paraId="032C905B" w14:textId="77777777" w:rsidR="00A26CD8" w:rsidRPr="00D462F0" w:rsidRDefault="00A26CD8" w:rsidP="00D462F0">
            <w:pPr>
              <w:jc w:val="both"/>
              <w:rPr>
                <w:rFonts w:asciiTheme="majorHAnsi" w:hAnsiTheme="majorHAnsi" w:cstheme="majorHAnsi"/>
                <w:sz w:val="24"/>
                <w:szCs w:val="24"/>
              </w:rPr>
            </w:pPr>
          </w:p>
        </w:tc>
        <w:tc>
          <w:tcPr>
            <w:tcW w:w="4075" w:type="dxa"/>
          </w:tcPr>
          <w:p w14:paraId="5FAAB811" w14:textId="77777777" w:rsidR="00A26CD8" w:rsidRPr="00D462F0" w:rsidRDefault="00A26CD8" w:rsidP="00D462F0">
            <w:pPr>
              <w:jc w:val="both"/>
              <w:rPr>
                <w:rFonts w:asciiTheme="majorHAnsi" w:hAnsiTheme="majorHAnsi" w:cstheme="majorHAnsi"/>
                <w:bCs/>
                <w:sz w:val="24"/>
                <w:szCs w:val="24"/>
              </w:rPr>
            </w:pPr>
          </w:p>
        </w:tc>
      </w:tr>
      <w:tr w:rsidR="00A26CD8" w:rsidRPr="00C93770" w14:paraId="4FD3860C" w14:textId="77777777" w:rsidTr="1756A420">
        <w:tc>
          <w:tcPr>
            <w:tcW w:w="4074" w:type="dxa"/>
          </w:tcPr>
          <w:p w14:paraId="510E9633" w14:textId="77777777" w:rsidR="00A26CD8" w:rsidRPr="00D462F0" w:rsidRDefault="00A26CD8" w:rsidP="0028717C">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VIII</w:t>
            </w:r>
          </w:p>
          <w:p w14:paraId="295854DC" w14:textId="37A505A9"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Investimentos em Imóveis</w:t>
            </w:r>
          </w:p>
        </w:tc>
        <w:tc>
          <w:tcPr>
            <w:tcW w:w="4074" w:type="dxa"/>
          </w:tcPr>
          <w:p w14:paraId="50D6E3C8" w14:textId="77777777" w:rsidR="00A26CD8" w:rsidRPr="00D462F0" w:rsidRDefault="00A26CD8" w:rsidP="0028717C">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VIII</w:t>
            </w:r>
          </w:p>
          <w:p w14:paraId="3CBC4C05" w14:textId="5EED631F"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Investimentos em Imóveis</w:t>
            </w:r>
          </w:p>
        </w:tc>
        <w:tc>
          <w:tcPr>
            <w:tcW w:w="4074" w:type="dxa"/>
          </w:tcPr>
          <w:p w14:paraId="1EBD3C54" w14:textId="77777777" w:rsidR="00A26CD8" w:rsidRPr="00D462F0" w:rsidRDefault="00A26CD8" w:rsidP="00D462F0">
            <w:pPr>
              <w:jc w:val="both"/>
              <w:rPr>
                <w:rFonts w:asciiTheme="majorHAnsi" w:hAnsiTheme="majorHAnsi" w:cstheme="majorHAnsi"/>
                <w:sz w:val="24"/>
                <w:szCs w:val="24"/>
              </w:rPr>
            </w:pPr>
          </w:p>
        </w:tc>
        <w:tc>
          <w:tcPr>
            <w:tcW w:w="4075" w:type="dxa"/>
          </w:tcPr>
          <w:p w14:paraId="5CC01431" w14:textId="77777777" w:rsidR="00A26CD8" w:rsidRPr="00D462F0" w:rsidRDefault="00A26CD8" w:rsidP="00D462F0">
            <w:pPr>
              <w:jc w:val="both"/>
              <w:rPr>
                <w:rFonts w:asciiTheme="majorHAnsi" w:hAnsiTheme="majorHAnsi" w:cstheme="majorHAnsi"/>
                <w:bCs/>
                <w:sz w:val="24"/>
                <w:szCs w:val="24"/>
              </w:rPr>
            </w:pPr>
          </w:p>
        </w:tc>
      </w:tr>
      <w:tr w:rsidR="00A26CD8" w:rsidRPr="00C93770" w14:paraId="1935164D" w14:textId="77777777" w:rsidTr="1756A420">
        <w:tc>
          <w:tcPr>
            <w:tcW w:w="4074" w:type="dxa"/>
          </w:tcPr>
          <w:p w14:paraId="00CA69EF" w14:textId="4A82D1FE"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Art. 197.  No registro contábil das operações com investimentos em imóveis as EFPC devem:</w:t>
            </w:r>
          </w:p>
        </w:tc>
        <w:tc>
          <w:tcPr>
            <w:tcW w:w="4074" w:type="dxa"/>
          </w:tcPr>
          <w:p w14:paraId="704E94B1" w14:textId="1679BE3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197. </w:t>
            </w:r>
            <w:r w:rsidR="00D1730A"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w:t>
            </w:r>
          </w:p>
        </w:tc>
        <w:tc>
          <w:tcPr>
            <w:tcW w:w="4074" w:type="dxa"/>
          </w:tcPr>
          <w:p w14:paraId="11AB4437" w14:textId="01DB086E"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72649F02" w14:textId="77777777" w:rsidR="00A26CD8" w:rsidRPr="00D462F0" w:rsidRDefault="00A26CD8" w:rsidP="00D462F0">
            <w:pPr>
              <w:jc w:val="both"/>
              <w:rPr>
                <w:rFonts w:asciiTheme="majorHAnsi" w:hAnsiTheme="majorHAnsi" w:cstheme="majorHAnsi"/>
                <w:bCs/>
                <w:sz w:val="24"/>
                <w:szCs w:val="24"/>
              </w:rPr>
            </w:pPr>
          </w:p>
        </w:tc>
      </w:tr>
      <w:tr w:rsidR="00297D09" w:rsidRPr="00C93770" w14:paraId="3A901D64" w14:textId="77777777" w:rsidTr="1756A420">
        <w:tc>
          <w:tcPr>
            <w:tcW w:w="4074" w:type="dxa"/>
          </w:tcPr>
          <w:p w14:paraId="4F5FEABB" w14:textId="5682B73D" w:rsidR="00297D09" w:rsidRPr="00D462F0" w:rsidRDefault="00297D09"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2DBCE512" w14:textId="32D10CCA" w:rsidR="00297D09" w:rsidRPr="00D462F0" w:rsidRDefault="00297D09"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42ACB4E9" w14:textId="77777777" w:rsidR="00297D09" w:rsidRPr="00D462F0" w:rsidRDefault="00297D09" w:rsidP="00D462F0">
            <w:pPr>
              <w:jc w:val="both"/>
              <w:rPr>
                <w:rFonts w:asciiTheme="majorHAnsi" w:hAnsiTheme="majorHAnsi" w:cstheme="majorHAnsi"/>
                <w:sz w:val="24"/>
                <w:szCs w:val="24"/>
              </w:rPr>
            </w:pPr>
          </w:p>
        </w:tc>
        <w:tc>
          <w:tcPr>
            <w:tcW w:w="4075" w:type="dxa"/>
          </w:tcPr>
          <w:p w14:paraId="76A53285" w14:textId="77777777" w:rsidR="00297D09" w:rsidRPr="00D462F0" w:rsidRDefault="00297D09" w:rsidP="00D462F0">
            <w:pPr>
              <w:jc w:val="both"/>
              <w:rPr>
                <w:rFonts w:asciiTheme="majorHAnsi" w:hAnsiTheme="majorHAnsi" w:cstheme="majorHAnsi"/>
                <w:bCs/>
                <w:sz w:val="24"/>
                <w:szCs w:val="24"/>
              </w:rPr>
            </w:pPr>
          </w:p>
        </w:tc>
      </w:tr>
      <w:tr w:rsidR="00A26CD8" w:rsidRPr="00C93770" w14:paraId="76E99341" w14:textId="77777777" w:rsidTr="1756A420">
        <w:tc>
          <w:tcPr>
            <w:tcW w:w="4074" w:type="dxa"/>
          </w:tcPr>
          <w:p w14:paraId="24A54424" w14:textId="050909AD"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VII - apresentar, no mínimo, três laudos técnicos de avaliação prévios à alienação de imóvel, elaborado de acordo com as normas expedidas pela Associação Brasileira de Normas Técnicas, contendo, no mínimo:</w:t>
            </w:r>
          </w:p>
        </w:tc>
        <w:tc>
          <w:tcPr>
            <w:tcW w:w="4074" w:type="dxa"/>
          </w:tcPr>
          <w:p w14:paraId="7333ED72" w14:textId="46C4E5C6"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VII - apresentar, no mínimo, três laudos técnicos de avaliação prévios à alienação de imóvel, </w:t>
            </w:r>
            <w:r w:rsidRPr="00D462F0">
              <w:rPr>
                <w:rFonts w:asciiTheme="majorHAnsi" w:hAnsiTheme="majorHAnsi" w:cstheme="majorHAnsi"/>
                <w:strike/>
                <w:color w:val="EE0000"/>
                <w:sz w:val="24"/>
                <w:szCs w:val="24"/>
              </w:rPr>
              <w:t>elaborado</w:t>
            </w:r>
            <w:r w:rsidRPr="00D462F0">
              <w:rPr>
                <w:rFonts w:asciiTheme="majorHAnsi" w:hAnsiTheme="majorHAnsi" w:cstheme="majorHAnsi"/>
                <w:bCs/>
                <w:color w:val="0000FF"/>
                <w:sz w:val="24"/>
                <w:szCs w:val="24"/>
              </w:rPr>
              <w:t xml:space="preserve"> elaborados</w:t>
            </w:r>
            <w:r w:rsidRPr="00D462F0">
              <w:rPr>
                <w:rFonts w:asciiTheme="majorHAnsi" w:hAnsiTheme="majorHAnsi" w:cstheme="majorHAnsi"/>
                <w:bCs/>
                <w:sz w:val="24"/>
                <w:szCs w:val="24"/>
              </w:rPr>
              <w:t xml:space="preserve"> de acordo com as normas expedidas pela Associação Brasileira de Normas Técnicas, contendo, no mínimo:</w:t>
            </w:r>
          </w:p>
        </w:tc>
        <w:tc>
          <w:tcPr>
            <w:tcW w:w="4074" w:type="dxa"/>
          </w:tcPr>
          <w:p w14:paraId="2A291C7C" w14:textId="4D35CBB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Ajuste de grafia de palavra.</w:t>
            </w:r>
          </w:p>
        </w:tc>
        <w:tc>
          <w:tcPr>
            <w:tcW w:w="4075" w:type="dxa"/>
          </w:tcPr>
          <w:p w14:paraId="24886D3D"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III do art. 4º do Decreto nº 10.411/2020.</w:t>
            </w:r>
          </w:p>
          <w:p w14:paraId="06369472" w14:textId="15ACE2E0"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está baseada em ato normativo de baixo impacto, pois trata de alteração de grafia de palavra.</w:t>
            </w:r>
          </w:p>
        </w:tc>
      </w:tr>
      <w:tr w:rsidR="00A26CD8" w:rsidRPr="00C93770" w14:paraId="1989C53A" w14:textId="77777777" w:rsidTr="1756A420">
        <w:tc>
          <w:tcPr>
            <w:tcW w:w="4074" w:type="dxa"/>
          </w:tcPr>
          <w:p w14:paraId="79C32D81" w14:textId="4BE2904D"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4FB5A8AC" w14:textId="4DC6C8CB" w:rsidR="00A26CD8" w:rsidRPr="00D462F0" w:rsidRDefault="00A26CD8"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07149D3D" w14:textId="77777777" w:rsidR="00A26CD8" w:rsidRPr="00D462F0" w:rsidRDefault="00A26CD8" w:rsidP="00D462F0">
            <w:pPr>
              <w:jc w:val="both"/>
              <w:rPr>
                <w:rFonts w:asciiTheme="majorHAnsi" w:hAnsiTheme="majorHAnsi" w:cstheme="majorHAnsi"/>
                <w:sz w:val="24"/>
                <w:szCs w:val="24"/>
              </w:rPr>
            </w:pPr>
          </w:p>
        </w:tc>
        <w:tc>
          <w:tcPr>
            <w:tcW w:w="4075" w:type="dxa"/>
          </w:tcPr>
          <w:p w14:paraId="3CE0DCF7" w14:textId="77777777" w:rsidR="00A26CD8" w:rsidRPr="00D462F0" w:rsidRDefault="00A26CD8" w:rsidP="00D462F0">
            <w:pPr>
              <w:jc w:val="both"/>
              <w:rPr>
                <w:rFonts w:asciiTheme="majorHAnsi" w:hAnsiTheme="majorHAnsi" w:cstheme="majorHAnsi"/>
                <w:bCs/>
                <w:sz w:val="24"/>
                <w:szCs w:val="24"/>
              </w:rPr>
            </w:pPr>
          </w:p>
        </w:tc>
      </w:tr>
      <w:tr w:rsidR="00EB19CA" w:rsidRPr="00C93770" w14:paraId="5E03A098" w14:textId="77777777" w:rsidTr="1756A420">
        <w:tc>
          <w:tcPr>
            <w:tcW w:w="4074" w:type="dxa"/>
          </w:tcPr>
          <w:p w14:paraId="555FFF36" w14:textId="27853B6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1º  Uma das três avaliações referidas no inciso VII do caput pode ser dispensada caso a última avaliação do imóvel a ser alienado tenha sido realizada em prazo inferior a trezentos e sessenta dias, desde que tal procedimento seja devidamente atestado pelo administrador estatutário tecnicamente qualificado, em função das condições de mercado.</w:t>
            </w:r>
          </w:p>
        </w:tc>
        <w:tc>
          <w:tcPr>
            <w:tcW w:w="4074" w:type="dxa"/>
          </w:tcPr>
          <w:p w14:paraId="7F6DFBA1" w14:textId="4ED75DB1" w:rsidR="003765BD"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bCs/>
                <w:sz w:val="24"/>
                <w:szCs w:val="24"/>
              </w:rPr>
              <w:t xml:space="preserve">§ 1º  </w:t>
            </w:r>
            <w:r w:rsidR="003765BD" w:rsidRPr="00D462F0">
              <w:rPr>
                <w:rFonts w:asciiTheme="majorHAnsi" w:hAnsiTheme="majorHAnsi" w:cstheme="majorHAnsi"/>
                <w:strike/>
                <w:color w:val="EE0000"/>
                <w:sz w:val="24"/>
                <w:szCs w:val="24"/>
              </w:rPr>
              <w:t>Uma das três avaliações referidas</w:t>
            </w:r>
            <w:r w:rsidR="003765BD" w:rsidRPr="00D462F0">
              <w:rPr>
                <w:rFonts w:asciiTheme="majorHAnsi" w:hAnsiTheme="majorHAnsi" w:cstheme="majorHAnsi"/>
                <w:color w:val="EE0000"/>
                <w:sz w:val="24"/>
                <w:szCs w:val="24"/>
              </w:rPr>
              <w:t xml:space="preserve"> </w:t>
            </w:r>
            <w:r w:rsidR="003765BD" w:rsidRPr="00D462F0">
              <w:rPr>
                <w:rFonts w:asciiTheme="majorHAnsi" w:hAnsiTheme="majorHAnsi" w:cstheme="majorHAnsi"/>
                <w:color w:val="0000FF"/>
                <w:sz w:val="24"/>
                <w:szCs w:val="24"/>
              </w:rPr>
              <w:t>Para fins do cumprimento do disposto</w:t>
            </w:r>
            <w:r w:rsidR="003765BD" w:rsidRPr="00D462F0">
              <w:rPr>
                <w:rFonts w:asciiTheme="majorHAnsi" w:hAnsiTheme="majorHAnsi" w:cstheme="majorHAnsi"/>
                <w:sz w:val="24"/>
                <w:szCs w:val="24"/>
              </w:rPr>
              <w:t xml:space="preserve"> no inciso VII do caput, </w:t>
            </w:r>
            <w:r w:rsidR="003765BD" w:rsidRPr="00D462F0">
              <w:rPr>
                <w:rFonts w:asciiTheme="majorHAnsi" w:hAnsiTheme="majorHAnsi" w:cstheme="majorHAnsi"/>
                <w:color w:val="0000FF"/>
                <w:sz w:val="24"/>
                <w:szCs w:val="24"/>
              </w:rPr>
              <w:t xml:space="preserve">a EFPC pode </w:t>
            </w:r>
            <w:r w:rsidR="003765BD" w:rsidRPr="00D462F0">
              <w:rPr>
                <w:rFonts w:asciiTheme="majorHAnsi" w:hAnsiTheme="majorHAnsi" w:cstheme="majorHAnsi"/>
                <w:strike/>
                <w:color w:val="EE0000"/>
                <w:sz w:val="24"/>
                <w:szCs w:val="24"/>
              </w:rPr>
              <w:t>ser dispensada caso a última avaliação do imóvel a ser alienado tenha sido realizada em prazo inferior a</w:t>
            </w:r>
            <w:r w:rsidR="003765BD" w:rsidRPr="00D462F0">
              <w:rPr>
                <w:rFonts w:asciiTheme="majorHAnsi" w:hAnsiTheme="majorHAnsi" w:cstheme="majorHAnsi"/>
                <w:sz w:val="24"/>
                <w:szCs w:val="24"/>
              </w:rPr>
              <w:t xml:space="preserve"> utilizar avaliações do imóvel realizadas</w:t>
            </w:r>
            <w:r w:rsidR="00250981" w:rsidRPr="00D462F0">
              <w:rPr>
                <w:rFonts w:asciiTheme="majorHAnsi" w:hAnsiTheme="majorHAnsi" w:cstheme="majorHAnsi"/>
                <w:sz w:val="24"/>
                <w:szCs w:val="24"/>
              </w:rPr>
              <w:t xml:space="preserve"> nos </w:t>
            </w:r>
            <w:r w:rsidR="003765BD" w:rsidRPr="00D462F0">
              <w:rPr>
                <w:rFonts w:asciiTheme="majorHAnsi" w:hAnsiTheme="majorHAnsi" w:cstheme="majorHAnsi"/>
                <w:sz w:val="24"/>
                <w:szCs w:val="24"/>
              </w:rPr>
              <w:t>trezentos e sessenta dias</w:t>
            </w:r>
            <w:r w:rsidR="00250981" w:rsidRPr="00D462F0">
              <w:rPr>
                <w:rFonts w:asciiTheme="majorHAnsi" w:hAnsiTheme="majorHAnsi" w:cstheme="majorHAnsi"/>
                <w:sz w:val="24"/>
                <w:szCs w:val="24"/>
              </w:rPr>
              <w:t xml:space="preserve"> anteriores à data da alienação</w:t>
            </w:r>
            <w:r w:rsidR="003765BD" w:rsidRPr="00D462F0">
              <w:rPr>
                <w:rFonts w:asciiTheme="majorHAnsi" w:hAnsiTheme="majorHAnsi" w:cstheme="majorHAnsi"/>
                <w:sz w:val="24"/>
                <w:szCs w:val="24"/>
              </w:rPr>
              <w:t xml:space="preserve">, desde que </w:t>
            </w:r>
            <w:r w:rsidR="003765BD" w:rsidRPr="00D462F0">
              <w:rPr>
                <w:rFonts w:asciiTheme="majorHAnsi" w:hAnsiTheme="majorHAnsi" w:cstheme="majorHAnsi"/>
                <w:strike/>
                <w:color w:val="EE0000"/>
                <w:sz w:val="24"/>
                <w:szCs w:val="24"/>
              </w:rPr>
              <w:t xml:space="preserve">tal procedimento seja devidamente </w:t>
            </w:r>
            <w:proofErr w:type="spellStart"/>
            <w:r w:rsidR="003765BD" w:rsidRPr="00D462F0">
              <w:rPr>
                <w:rFonts w:asciiTheme="majorHAnsi" w:hAnsiTheme="majorHAnsi" w:cstheme="majorHAnsi"/>
                <w:strike/>
                <w:color w:val="EE0000"/>
                <w:sz w:val="24"/>
                <w:szCs w:val="24"/>
              </w:rPr>
              <w:t>atestado</w:t>
            </w:r>
            <w:r w:rsidR="00250981" w:rsidRPr="00D462F0">
              <w:rPr>
                <w:rFonts w:asciiTheme="majorHAnsi" w:hAnsiTheme="majorHAnsi" w:cstheme="majorHAnsi"/>
                <w:sz w:val="24"/>
                <w:szCs w:val="24"/>
              </w:rPr>
              <w:t>atestadas</w:t>
            </w:r>
            <w:proofErr w:type="spellEnd"/>
            <w:r w:rsidR="00250981" w:rsidRPr="00D462F0">
              <w:rPr>
                <w:rFonts w:asciiTheme="majorHAnsi" w:hAnsiTheme="majorHAnsi" w:cstheme="majorHAnsi"/>
                <w:sz w:val="24"/>
                <w:szCs w:val="24"/>
              </w:rPr>
              <w:t xml:space="preserve"> </w:t>
            </w:r>
            <w:r w:rsidR="003765BD" w:rsidRPr="00D462F0">
              <w:rPr>
                <w:rFonts w:asciiTheme="majorHAnsi" w:hAnsiTheme="majorHAnsi" w:cstheme="majorHAnsi"/>
                <w:sz w:val="24"/>
                <w:szCs w:val="24"/>
              </w:rPr>
              <w:t xml:space="preserve">pelo administrador estatutário tecnicamente qualificado, </w:t>
            </w:r>
            <w:r w:rsidR="003765BD" w:rsidRPr="00D462F0">
              <w:rPr>
                <w:rFonts w:asciiTheme="majorHAnsi" w:hAnsiTheme="majorHAnsi" w:cstheme="majorHAnsi"/>
                <w:strike/>
                <w:color w:val="EE0000"/>
                <w:sz w:val="24"/>
                <w:szCs w:val="24"/>
              </w:rPr>
              <w:t>em função das</w:t>
            </w:r>
            <w:r w:rsidR="003765BD" w:rsidRPr="00D462F0">
              <w:rPr>
                <w:rFonts w:asciiTheme="majorHAnsi" w:hAnsiTheme="majorHAnsi" w:cstheme="majorHAnsi"/>
                <w:sz w:val="24"/>
                <w:szCs w:val="24"/>
              </w:rPr>
              <w:t xml:space="preserve"> </w:t>
            </w:r>
            <w:r w:rsidR="00250981" w:rsidRPr="00D462F0">
              <w:rPr>
                <w:rFonts w:asciiTheme="majorHAnsi" w:hAnsiTheme="majorHAnsi" w:cstheme="majorHAnsi"/>
                <w:color w:val="0000FF"/>
                <w:sz w:val="24"/>
                <w:szCs w:val="24"/>
              </w:rPr>
              <w:t xml:space="preserve">considerando as </w:t>
            </w:r>
            <w:r w:rsidR="003765BD" w:rsidRPr="00D462F0">
              <w:rPr>
                <w:rFonts w:asciiTheme="majorHAnsi" w:hAnsiTheme="majorHAnsi" w:cstheme="majorHAnsi"/>
                <w:sz w:val="24"/>
                <w:szCs w:val="24"/>
              </w:rPr>
              <w:t>condições de mercad</w:t>
            </w:r>
            <w:r w:rsidR="00250981" w:rsidRPr="00D462F0">
              <w:rPr>
                <w:rFonts w:asciiTheme="majorHAnsi" w:hAnsiTheme="majorHAnsi" w:cstheme="majorHAnsi"/>
                <w:sz w:val="24"/>
                <w:szCs w:val="24"/>
              </w:rPr>
              <w:t>o.</w:t>
            </w:r>
          </w:p>
          <w:p w14:paraId="5ECE9CD9" w14:textId="0BFE4EDD" w:rsidR="00EB19CA" w:rsidRPr="00D462F0" w:rsidRDefault="00EB19CA" w:rsidP="00D462F0">
            <w:pPr>
              <w:jc w:val="both"/>
              <w:rPr>
                <w:rFonts w:asciiTheme="majorHAnsi" w:hAnsiTheme="majorHAnsi" w:cstheme="majorHAnsi"/>
                <w:bCs/>
                <w:sz w:val="24"/>
                <w:szCs w:val="24"/>
              </w:rPr>
            </w:pPr>
          </w:p>
        </w:tc>
        <w:tc>
          <w:tcPr>
            <w:tcW w:w="4074" w:type="dxa"/>
          </w:tcPr>
          <w:p w14:paraId="59B3AC94"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Alteração do referido § 1º tem o intuito de desonerar a EFPC caso existam avaliações do imóvel a ser alienado com prazo de realização inferior a 360 dias. Cabe esclarecer que as 3 avaliações terão que ser efetuadas. </w:t>
            </w:r>
          </w:p>
          <w:p w14:paraId="5CF07DAF"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Caso a EFPC já tenha realizado 2 avaliações do imóvel a ser alienado e estas tenham sido elaboradas no prazo de até 360 dias, teria que realizar apenas mais uma.</w:t>
            </w:r>
          </w:p>
          <w:p w14:paraId="37640FB1" w14:textId="77777777" w:rsidR="00EB19CA" w:rsidRPr="00D462F0" w:rsidRDefault="00EB19CA" w:rsidP="00D462F0">
            <w:pPr>
              <w:jc w:val="both"/>
              <w:rPr>
                <w:rFonts w:asciiTheme="majorHAnsi" w:hAnsiTheme="majorHAnsi" w:cstheme="majorHAnsi"/>
                <w:sz w:val="24"/>
                <w:szCs w:val="24"/>
              </w:rPr>
            </w:pPr>
          </w:p>
        </w:tc>
        <w:tc>
          <w:tcPr>
            <w:tcW w:w="4075" w:type="dxa"/>
          </w:tcPr>
          <w:p w14:paraId="6D471417"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VII do art. 4º do Decreto nº 10.411/2020.</w:t>
            </w:r>
          </w:p>
          <w:p w14:paraId="14BAD17F" w14:textId="5ADAA6B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está baseada na redução de exigências, obrigações, restrições, requerimentos ou especificações com o objetivo de diminuir os custos regulatórios, pois trouxe o entendimento de que avaliações ou reavaliações do imóvel a ser alienado realizadas em prazo de até 360 dias serão aceitas para efeito do disposto no inciso VII do artigo 197.</w:t>
            </w:r>
          </w:p>
        </w:tc>
      </w:tr>
      <w:tr w:rsidR="00EB19CA" w:rsidRPr="00C93770" w14:paraId="75486C12" w14:textId="77777777" w:rsidTr="1756A420">
        <w:tc>
          <w:tcPr>
            <w:tcW w:w="4074" w:type="dxa"/>
          </w:tcPr>
          <w:p w14:paraId="48EA6299" w14:textId="57484B1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62D570B4" w14:textId="1B812638" w:rsidR="00EB19CA" w:rsidRPr="00D462F0" w:rsidRDefault="00EB19CA" w:rsidP="00D462F0">
            <w:pPr>
              <w:jc w:val="both"/>
              <w:rPr>
                <w:rFonts w:asciiTheme="majorHAnsi" w:hAnsiTheme="majorHAnsi" w:cstheme="majorHAnsi"/>
                <w:bCs/>
                <w:sz w:val="24"/>
                <w:szCs w:val="24"/>
              </w:rPr>
            </w:pPr>
          </w:p>
        </w:tc>
        <w:tc>
          <w:tcPr>
            <w:tcW w:w="4074" w:type="dxa"/>
          </w:tcPr>
          <w:p w14:paraId="3151A386" w14:textId="77777777" w:rsidR="00EB19CA" w:rsidRPr="00D462F0" w:rsidRDefault="00EB19CA" w:rsidP="00D462F0">
            <w:pPr>
              <w:jc w:val="both"/>
              <w:rPr>
                <w:rFonts w:asciiTheme="majorHAnsi" w:hAnsiTheme="majorHAnsi" w:cstheme="majorHAnsi"/>
                <w:sz w:val="24"/>
                <w:szCs w:val="24"/>
              </w:rPr>
            </w:pPr>
          </w:p>
        </w:tc>
        <w:tc>
          <w:tcPr>
            <w:tcW w:w="4075" w:type="dxa"/>
          </w:tcPr>
          <w:p w14:paraId="23FB285E" w14:textId="4F202C72" w:rsidR="00EB19CA" w:rsidRPr="00D462F0" w:rsidRDefault="00EB19CA" w:rsidP="00D462F0">
            <w:pPr>
              <w:jc w:val="both"/>
              <w:rPr>
                <w:rFonts w:asciiTheme="majorHAnsi" w:hAnsiTheme="majorHAnsi" w:cstheme="majorHAnsi"/>
                <w:bCs/>
                <w:sz w:val="24"/>
                <w:szCs w:val="24"/>
              </w:rPr>
            </w:pPr>
          </w:p>
        </w:tc>
      </w:tr>
      <w:tr w:rsidR="00EB19CA" w:rsidRPr="00C93770" w14:paraId="4B8A635D" w14:textId="77777777" w:rsidTr="1756A420">
        <w:tc>
          <w:tcPr>
            <w:tcW w:w="4074" w:type="dxa"/>
          </w:tcPr>
          <w:p w14:paraId="4C34CE8B" w14:textId="58A4BD21"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20E496D8" w14:textId="42F86DA2"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C7BA8F8" w14:textId="77777777" w:rsidR="00EB19CA" w:rsidRPr="00D462F0" w:rsidRDefault="00EB19CA" w:rsidP="00D462F0">
            <w:pPr>
              <w:jc w:val="both"/>
              <w:rPr>
                <w:rFonts w:asciiTheme="majorHAnsi" w:hAnsiTheme="majorHAnsi" w:cstheme="majorHAnsi"/>
                <w:sz w:val="24"/>
                <w:szCs w:val="24"/>
              </w:rPr>
            </w:pPr>
          </w:p>
        </w:tc>
        <w:tc>
          <w:tcPr>
            <w:tcW w:w="4075" w:type="dxa"/>
          </w:tcPr>
          <w:p w14:paraId="2F0E1D64" w14:textId="77777777" w:rsidR="00EB19CA" w:rsidRPr="00D462F0" w:rsidRDefault="00EB19CA" w:rsidP="00D462F0">
            <w:pPr>
              <w:jc w:val="both"/>
              <w:rPr>
                <w:rFonts w:asciiTheme="majorHAnsi" w:hAnsiTheme="majorHAnsi" w:cstheme="majorHAnsi"/>
                <w:bCs/>
                <w:sz w:val="24"/>
                <w:szCs w:val="24"/>
              </w:rPr>
            </w:pPr>
          </w:p>
        </w:tc>
      </w:tr>
      <w:tr w:rsidR="00EB19CA" w:rsidRPr="00C93770" w14:paraId="5AF24693" w14:textId="77777777" w:rsidTr="1756A420">
        <w:tc>
          <w:tcPr>
            <w:tcW w:w="4074" w:type="dxa"/>
          </w:tcPr>
          <w:p w14:paraId="4F92C71A"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lastRenderedPageBreak/>
              <w:t>Seção V</w:t>
            </w:r>
          </w:p>
          <w:p w14:paraId="4CED15D3"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Registros Contábeis do Imobilizado e do Intangível</w:t>
            </w:r>
          </w:p>
          <w:p w14:paraId="1712BF0E" w14:textId="77777777" w:rsidR="00EB19CA" w:rsidRPr="00D462F0" w:rsidRDefault="00EB19CA" w:rsidP="0028717C">
            <w:pPr>
              <w:jc w:val="center"/>
              <w:rPr>
                <w:rFonts w:asciiTheme="majorHAnsi" w:hAnsiTheme="majorHAnsi" w:cstheme="majorHAnsi"/>
                <w:b/>
                <w:bCs/>
                <w:sz w:val="24"/>
                <w:szCs w:val="24"/>
              </w:rPr>
            </w:pPr>
          </w:p>
        </w:tc>
        <w:tc>
          <w:tcPr>
            <w:tcW w:w="4074" w:type="dxa"/>
          </w:tcPr>
          <w:p w14:paraId="3E6B1047"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V</w:t>
            </w:r>
          </w:p>
          <w:p w14:paraId="45382E83" w14:textId="2C5C385B"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Registros Contábeis do Imobilizado e do Intangível</w:t>
            </w:r>
          </w:p>
        </w:tc>
        <w:tc>
          <w:tcPr>
            <w:tcW w:w="4074" w:type="dxa"/>
          </w:tcPr>
          <w:p w14:paraId="175D3ACC" w14:textId="50D9CC4B" w:rsidR="00EB19CA" w:rsidRPr="00D462F0" w:rsidRDefault="00EB19CA" w:rsidP="00D462F0">
            <w:pPr>
              <w:jc w:val="both"/>
              <w:rPr>
                <w:rFonts w:asciiTheme="majorHAnsi" w:hAnsiTheme="majorHAnsi" w:cstheme="majorHAnsi"/>
                <w:sz w:val="24"/>
                <w:szCs w:val="24"/>
              </w:rPr>
            </w:pPr>
          </w:p>
        </w:tc>
        <w:tc>
          <w:tcPr>
            <w:tcW w:w="4075" w:type="dxa"/>
          </w:tcPr>
          <w:p w14:paraId="6EA56A77" w14:textId="77777777" w:rsidR="00EB19CA" w:rsidRPr="00D462F0" w:rsidRDefault="00EB19CA" w:rsidP="00D462F0">
            <w:pPr>
              <w:jc w:val="both"/>
              <w:rPr>
                <w:rFonts w:asciiTheme="majorHAnsi" w:hAnsiTheme="majorHAnsi" w:cstheme="majorHAnsi"/>
                <w:bCs/>
                <w:sz w:val="24"/>
                <w:szCs w:val="24"/>
              </w:rPr>
            </w:pPr>
          </w:p>
        </w:tc>
      </w:tr>
      <w:tr w:rsidR="00297D09" w:rsidRPr="00C93770" w14:paraId="1B5925F0" w14:textId="77777777" w:rsidTr="1756A420">
        <w:tc>
          <w:tcPr>
            <w:tcW w:w="4074" w:type="dxa"/>
          </w:tcPr>
          <w:p w14:paraId="30268E1A" w14:textId="6F229BD2" w:rsidR="00297D09" w:rsidRPr="00D462F0" w:rsidRDefault="00297D09"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52265835" w14:textId="00308E75" w:rsidR="00297D09" w:rsidRPr="00D462F0" w:rsidRDefault="00297D09" w:rsidP="0028717C">
            <w:pPr>
              <w:tabs>
                <w:tab w:val="left" w:pos="0"/>
              </w:tabs>
              <w:jc w:val="center"/>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w:t>
            </w:r>
          </w:p>
        </w:tc>
        <w:tc>
          <w:tcPr>
            <w:tcW w:w="4074" w:type="dxa"/>
          </w:tcPr>
          <w:p w14:paraId="2412BE26" w14:textId="77777777" w:rsidR="00297D09" w:rsidRPr="00D462F0" w:rsidRDefault="00297D09" w:rsidP="00D462F0">
            <w:pPr>
              <w:jc w:val="both"/>
              <w:rPr>
                <w:rFonts w:asciiTheme="majorHAnsi" w:hAnsiTheme="majorHAnsi" w:cstheme="majorHAnsi"/>
                <w:sz w:val="24"/>
                <w:szCs w:val="24"/>
              </w:rPr>
            </w:pPr>
          </w:p>
        </w:tc>
        <w:tc>
          <w:tcPr>
            <w:tcW w:w="4075" w:type="dxa"/>
          </w:tcPr>
          <w:p w14:paraId="7E1589EC" w14:textId="77777777" w:rsidR="00297D09" w:rsidRPr="00D462F0" w:rsidRDefault="00297D09" w:rsidP="00D462F0">
            <w:pPr>
              <w:jc w:val="both"/>
              <w:rPr>
                <w:rFonts w:asciiTheme="majorHAnsi" w:hAnsiTheme="majorHAnsi" w:cstheme="majorHAnsi"/>
                <w:bCs/>
                <w:sz w:val="24"/>
                <w:szCs w:val="24"/>
              </w:rPr>
            </w:pPr>
          </w:p>
        </w:tc>
      </w:tr>
      <w:tr w:rsidR="00EB19CA" w:rsidRPr="00C93770" w14:paraId="0FBF4B8F" w14:textId="77777777" w:rsidTr="1756A420">
        <w:tc>
          <w:tcPr>
            <w:tcW w:w="4074" w:type="dxa"/>
          </w:tcPr>
          <w:p w14:paraId="1B8A4C3F" w14:textId="5E855441"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5B319E92" w14:textId="476FED32" w:rsidR="00EB19CA" w:rsidRPr="00D462F0" w:rsidRDefault="00EB19CA" w:rsidP="00D462F0">
            <w:pPr>
              <w:tabs>
                <w:tab w:val="left" w:pos="0"/>
              </w:tabs>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Art. 206-A.  Os imóveis adquiridos para uso próprio com recursos do fundo administrativo do </w:t>
            </w:r>
            <w:r w:rsidR="00250981" w:rsidRPr="00D462F0">
              <w:rPr>
                <w:rFonts w:asciiTheme="majorHAnsi" w:hAnsiTheme="majorHAnsi" w:cstheme="majorHAnsi"/>
                <w:bCs/>
                <w:color w:val="0000FF"/>
                <w:sz w:val="24"/>
                <w:szCs w:val="24"/>
              </w:rPr>
              <w:t>P</w:t>
            </w:r>
            <w:r w:rsidRPr="00D462F0">
              <w:rPr>
                <w:rFonts w:asciiTheme="majorHAnsi" w:hAnsiTheme="majorHAnsi" w:cstheme="majorHAnsi"/>
                <w:bCs/>
                <w:color w:val="0000FF"/>
                <w:sz w:val="24"/>
                <w:szCs w:val="24"/>
              </w:rPr>
              <w:t xml:space="preserve">lano de </w:t>
            </w:r>
            <w:r w:rsidR="00250981" w:rsidRPr="00D462F0">
              <w:rPr>
                <w:rFonts w:asciiTheme="majorHAnsi" w:hAnsiTheme="majorHAnsi" w:cstheme="majorHAnsi"/>
                <w:bCs/>
                <w:color w:val="0000FF"/>
                <w:sz w:val="24"/>
                <w:szCs w:val="24"/>
              </w:rPr>
              <w:t>G</w:t>
            </w:r>
            <w:r w:rsidRPr="00D462F0">
              <w:rPr>
                <w:rFonts w:asciiTheme="majorHAnsi" w:hAnsiTheme="majorHAnsi" w:cstheme="majorHAnsi"/>
                <w:bCs/>
                <w:color w:val="0000FF"/>
                <w:sz w:val="24"/>
                <w:szCs w:val="24"/>
              </w:rPr>
              <w:t xml:space="preserve">estão </w:t>
            </w:r>
            <w:r w:rsidR="00250981" w:rsidRPr="00D462F0">
              <w:rPr>
                <w:rFonts w:asciiTheme="majorHAnsi" w:hAnsiTheme="majorHAnsi" w:cstheme="majorHAnsi"/>
                <w:bCs/>
                <w:color w:val="0000FF"/>
                <w:sz w:val="24"/>
                <w:szCs w:val="24"/>
              </w:rPr>
              <w:t>A</w:t>
            </w:r>
            <w:r w:rsidRPr="00D462F0">
              <w:rPr>
                <w:rFonts w:asciiTheme="majorHAnsi" w:hAnsiTheme="majorHAnsi" w:cstheme="majorHAnsi"/>
                <w:bCs/>
                <w:color w:val="0000FF"/>
                <w:sz w:val="24"/>
                <w:szCs w:val="24"/>
              </w:rPr>
              <w:t>dministrativa, destinados exclusivamente à instalação e manutenção da sede da entidade e utilizados para fins administrativos, devem ser registrados no Ativo Imobilizado.</w:t>
            </w:r>
          </w:p>
          <w:p w14:paraId="239BD45F" w14:textId="4AA5F194" w:rsidR="00EB19CA" w:rsidRPr="00D462F0" w:rsidRDefault="00EB19CA" w:rsidP="00D462F0">
            <w:pPr>
              <w:jc w:val="both"/>
              <w:rPr>
                <w:rFonts w:asciiTheme="majorHAnsi" w:hAnsiTheme="majorHAnsi" w:cstheme="majorHAnsi"/>
                <w:bCs/>
                <w:sz w:val="24"/>
                <w:szCs w:val="24"/>
              </w:rPr>
            </w:pPr>
          </w:p>
        </w:tc>
        <w:tc>
          <w:tcPr>
            <w:tcW w:w="4074" w:type="dxa"/>
          </w:tcPr>
          <w:p w14:paraId="55BCF12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 inclusão do art. 206-A na Seção V - Registro Contábil do Imobilizado e Intangível do Capítulo V da Resolução Previc nº 23, de 2023, tem o objetivo de evidenciar que as aquisições de imóveis com recursos do fundo administrativo do PGA devem ser registradas no Ativo Imobilizado e que somente podem ocorrer para imóveis de uso próprio, referentes a sede da entidade.</w:t>
            </w:r>
          </w:p>
          <w:p w14:paraId="4C7C928D"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O fundo administrativo é constituído pela diferença apurada entre as fontes de custeio administrativo e as despesas da gestão administrativa, destinado a cobertura de gastos para a administração de planos de benefícios, conforme definição da constante do inciso V do art. 2º da Resolução CNPC nº 62, de 9 de dezembro de 2024.</w:t>
            </w:r>
          </w:p>
          <w:p w14:paraId="620F1133"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Assim entende-se que os recursos do fundo administrativo, não compõem os recursos disponíveis e nem de investimentos, indicado no citado art. 2º da Resolução CMN nº 4.994, de 2022, pois se referem a "sobras" para serem destinadas ao custeio administrativo da EFPC e não para finalidade de renda com investimentos.</w:t>
            </w:r>
          </w:p>
          <w:p w14:paraId="7713B388"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O fundo administrativo, por sua natureza e destinação, não se confunde com tais recursos, pois representa excedentes destinados ao custeio administrativo da entidade e não à </w:t>
            </w:r>
            <w:r w:rsidRPr="00D462F0">
              <w:rPr>
                <w:rFonts w:asciiTheme="majorHAnsi" w:hAnsiTheme="majorHAnsi" w:cstheme="majorHAnsi"/>
                <w:sz w:val="24"/>
                <w:szCs w:val="24"/>
              </w:rPr>
              <w:lastRenderedPageBreak/>
              <w:t>geração de renda com investimentos. Entretanto, caso eventuais sobras do fundo administrativo sejam aplicados no mercado financeiro, tais aplicações passam a se enquadrar no conceito de investimento e, portanto, devem observar integralmente as disposições da Resolução CMN nº 4.994, de 2022.</w:t>
            </w:r>
          </w:p>
          <w:p w14:paraId="49DB58B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Além disso, sob a ótica contábil, a classificação de imóveis adquiridos por EFPC depende de sua destinação econômica, conforme os pronunciamentos técnicos emitidos pelo Conselho Federal de Contabilidade (CFC) e aplicáveis às entidades fechadas de previdência complementar.</w:t>
            </w:r>
          </w:p>
          <w:p w14:paraId="7EE795D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Nesse sentido, a NBC TG 27 (CPC 27/IAS 16 – Ativo Imobilizado) define o ativo imobilizado como o bem tangível mantido para uso na produção ou fornecimento de serviços ou para fins administrativos, com expectativa de utilização superior a um período. Assim, os imóveis destinados à sede da EFPC enquadram-se como ativo imobilizado, devendo ser reconhecidos e mensurados de acordo com os critérios previstos nessa norma.</w:t>
            </w:r>
          </w:p>
          <w:p w14:paraId="156C0A6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Por sua vez, a NBC TG 28 (CPC 28/IAS 40 – Propriedade para Investimento) conceitua a propriedade para investimento como aquela mantida com objetivo de obtenção de aluguel ou valorização do capital, distinguindo-a do imobilizado. Embora essa categoria exista do ponto de vista contábil, a regulação específica aplicável às EFPC, </w:t>
            </w:r>
            <w:r w:rsidRPr="00D462F0">
              <w:rPr>
                <w:rFonts w:asciiTheme="majorHAnsi" w:hAnsiTheme="majorHAnsi" w:cstheme="majorHAnsi"/>
                <w:sz w:val="24"/>
                <w:szCs w:val="24"/>
              </w:rPr>
              <w:lastRenderedPageBreak/>
              <w:t>em especial a Resolução CMN nº 4.994/2022, alterada pela Resolução CMN nº 5.202/2025, veda a aquisição de imóveis para investimento, restringindo sua utilização como aplicação financeira no âmbito do sistema.</w:t>
            </w:r>
          </w:p>
          <w:p w14:paraId="6CD825B3"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Dessa forma, a fundamentação contábil e regulatória converge para um ponto inequívoco: é vedada qualquer aquisição de imóveis pelas EFPC com finalidade de investimento, nos termos da Resolução CMN nº 4.994/2022. Contudo, revela-se legítima e plenamente compatível com a boa prática contábil (CPC 27) e regulatória a aquisição de imóveis destinados ao uso próprio, quando realizada com recursos do fundo administrativo do PGA, devendo tais bens ser reconhecidos e mantidos no ativo imobilizado.</w:t>
            </w:r>
          </w:p>
          <w:p w14:paraId="2C2EFEEE" w14:textId="3B2B2FC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w:t>
            </w:r>
          </w:p>
        </w:tc>
        <w:tc>
          <w:tcPr>
            <w:tcW w:w="4075" w:type="dxa"/>
          </w:tcPr>
          <w:p w14:paraId="06B74FEE"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Inciso II do art. 4º do Decreto nº 10.411/2020.</w:t>
            </w:r>
          </w:p>
          <w:p w14:paraId="21F6AFB4" w14:textId="2CDF1F0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se baseia na necessidade de disciplinar direitos ou obrigações definidos em norma hierarquicamente superior, no caso a Resolução CNPC nº 43, de 2024, que dispõe sobre os procedimentos contábeis das EFPC.</w:t>
            </w:r>
          </w:p>
        </w:tc>
      </w:tr>
      <w:tr w:rsidR="00EB19CA" w:rsidRPr="00C93770" w14:paraId="4985E2EF" w14:textId="77777777" w:rsidTr="1756A420">
        <w:tc>
          <w:tcPr>
            <w:tcW w:w="4074" w:type="dxa"/>
          </w:tcPr>
          <w:p w14:paraId="38C26525" w14:textId="2B3449FD"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14AF1F20" w14:textId="3C2DB51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Parágrafo único.  É vedada, a qualquer tempo, a reclassificação dos imóveis de que trata o caput deste artigo para a categoria de investimento, abrangendo integralmente o bem ou quaisquer de suas partes, tais como andares, salas ou frações ideais, em conformidade com a Resolução do CMN vigente.</w:t>
            </w:r>
          </w:p>
        </w:tc>
        <w:tc>
          <w:tcPr>
            <w:tcW w:w="4074" w:type="dxa"/>
          </w:tcPr>
          <w:p w14:paraId="1D49CA92" w14:textId="2146413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Idem item anterior</w:t>
            </w:r>
          </w:p>
        </w:tc>
        <w:tc>
          <w:tcPr>
            <w:tcW w:w="4075" w:type="dxa"/>
          </w:tcPr>
          <w:p w14:paraId="32ED0281" w14:textId="1F403A3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item anterior</w:t>
            </w:r>
          </w:p>
        </w:tc>
      </w:tr>
      <w:tr w:rsidR="00EB19CA" w:rsidRPr="00C93770" w14:paraId="5CCE73D9" w14:textId="77777777" w:rsidTr="1756A420">
        <w:tc>
          <w:tcPr>
            <w:tcW w:w="4074" w:type="dxa"/>
          </w:tcPr>
          <w:p w14:paraId="305FBD06" w14:textId="1007468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63E34C9E" w14:textId="7E07018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Art. 206-B.  A aquisição e alienação de imóveis de que trata o art. 206-A, devem apresentar, no mínimo, três laudos técnicos de avaliação prévios à aquisição ou à alienação do imóvel, elaborados de acordo com as normas expedidas pela Associação Brasileira de </w:t>
            </w:r>
            <w:r w:rsidRPr="00D462F0">
              <w:rPr>
                <w:rFonts w:asciiTheme="majorHAnsi" w:hAnsiTheme="majorHAnsi" w:cstheme="majorHAnsi"/>
                <w:bCs/>
                <w:color w:val="0000FF"/>
                <w:sz w:val="24"/>
                <w:szCs w:val="24"/>
              </w:rPr>
              <w:lastRenderedPageBreak/>
              <w:t xml:space="preserve">Normas Técnicas, contendo, no mínimo: </w:t>
            </w:r>
          </w:p>
        </w:tc>
        <w:tc>
          <w:tcPr>
            <w:tcW w:w="4074" w:type="dxa"/>
          </w:tcPr>
          <w:p w14:paraId="21FF4781" w14:textId="6DD2DAA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A inclusão deste artigo tem o objetivo de definir os procedimentos que devem ser adotados pelas EFPC, no que se refere à aquisição e à alienação de imóveis registrados no Imobilizado. </w:t>
            </w:r>
          </w:p>
        </w:tc>
        <w:tc>
          <w:tcPr>
            <w:tcW w:w="4075" w:type="dxa"/>
          </w:tcPr>
          <w:p w14:paraId="5966EE3D" w14:textId="4D1A480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item anterior</w:t>
            </w:r>
          </w:p>
        </w:tc>
      </w:tr>
      <w:tr w:rsidR="00EB19CA" w:rsidRPr="00C93770" w14:paraId="1B273D16" w14:textId="77777777" w:rsidTr="1756A420">
        <w:tc>
          <w:tcPr>
            <w:tcW w:w="4074" w:type="dxa"/>
          </w:tcPr>
          <w:p w14:paraId="773F35ED" w14:textId="0228834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4F04CD18" w14:textId="044AF46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a) identificação do imóvel;</w:t>
            </w:r>
          </w:p>
        </w:tc>
        <w:tc>
          <w:tcPr>
            <w:tcW w:w="4074" w:type="dxa"/>
          </w:tcPr>
          <w:p w14:paraId="063CDF46" w14:textId="77777777" w:rsidR="00EB19CA" w:rsidRPr="00D462F0" w:rsidRDefault="00EB19CA" w:rsidP="00D462F0">
            <w:pPr>
              <w:jc w:val="both"/>
              <w:rPr>
                <w:rFonts w:asciiTheme="majorHAnsi" w:hAnsiTheme="majorHAnsi" w:cstheme="majorHAnsi"/>
                <w:sz w:val="24"/>
                <w:szCs w:val="24"/>
              </w:rPr>
            </w:pPr>
          </w:p>
        </w:tc>
        <w:tc>
          <w:tcPr>
            <w:tcW w:w="4075" w:type="dxa"/>
          </w:tcPr>
          <w:p w14:paraId="684E33D4" w14:textId="77777777" w:rsidR="00EB19CA" w:rsidRPr="00D462F0" w:rsidRDefault="00EB19CA" w:rsidP="00D462F0">
            <w:pPr>
              <w:jc w:val="both"/>
              <w:rPr>
                <w:rFonts w:asciiTheme="majorHAnsi" w:hAnsiTheme="majorHAnsi" w:cstheme="majorHAnsi"/>
                <w:bCs/>
                <w:sz w:val="24"/>
                <w:szCs w:val="24"/>
              </w:rPr>
            </w:pPr>
          </w:p>
        </w:tc>
      </w:tr>
      <w:tr w:rsidR="00EB19CA" w:rsidRPr="00C93770" w14:paraId="060B7BC2" w14:textId="77777777" w:rsidTr="1756A420">
        <w:tc>
          <w:tcPr>
            <w:tcW w:w="4074" w:type="dxa"/>
          </w:tcPr>
          <w:p w14:paraId="297A0A5D" w14:textId="674202E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49EC5C1D" w14:textId="4A8F4A3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b) informações detalhadas sobre tamanho, localização e tipo (comercial ou residencial);</w:t>
            </w:r>
          </w:p>
        </w:tc>
        <w:tc>
          <w:tcPr>
            <w:tcW w:w="4074" w:type="dxa"/>
          </w:tcPr>
          <w:p w14:paraId="0B96A592" w14:textId="77777777" w:rsidR="00EB19CA" w:rsidRPr="00D462F0" w:rsidRDefault="00EB19CA" w:rsidP="00D462F0">
            <w:pPr>
              <w:jc w:val="both"/>
              <w:rPr>
                <w:rFonts w:asciiTheme="majorHAnsi" w:hAnsiTheme="majorHAnsi" w:cstheme="majorHAnsi"/>
                <w:sz w:val="24"/>
                <w:szCs w:val="24"/>
              </w:rPr>
            </w:pPr>
          </w:p>
        </w:tc>
        <w:tc>
          <w:tcPr>
            <w:tcW w:w="4075" w:type="dxa"/>
          </w:tcPr>
          <w:p w14:paraId="2D5A8E22" w14:textId="77777777" w:rsidR="00EB19CA" w:rsidRPr="00D462F0" w:rsidRDefault="00EB19CA" w:rsidP="00D462F0">
            <w:pPr>
              <w:jc w:val="both"/>
              <w:rPr>
                <w:rFonts w:asciiTheme="majorHAnsi" w:hAnsiTheme="majorHAnsi" w:cstheme="majorHAnsi"/>
                <w:bCs/>
                <w:sz w:val="24"/>
                <w:szCs w:val="24"/>
              </w:rPr>
            </w:pPr>
          </w:p>
        </w:tc>
      </w:tr>
      <w:tr w:rsidR="00EB19CA" w:rsidRPr="00C93770" w14:paraId="7FC4E015" w14:textId="77777777" w:rsidTr="1756A420">
        <w:tc>
          <w:tcPr>
            <w:tcW w:w="4074" w:type="dxa"/>
          </w:tcPr>
          <w:p w14:paraId="019766F2" w14:textId="6A76414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2854FE80" w14:textId="76200E2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c) data-base da avaliação;</w:t>
            </w:r>
          </w:p>
        </w:tc>
        <w:tc>
          <w:tcPr>
            <w:tcW w:w="4074" w:type="dxa"/>
          </w:tcPr>
          <w:p w14:paraId="5FB42AE6" w14:textId="77777777" w:rsidR="00EB19CA" w:rsidRPr="00D462F0" w:rsidRDefault="00EB19CA" w:rsidP="00D462F0">
            <w:pPr>
              <w:jc w:val="both"/>
              <w:rPr>
                <w:rFonts w:asciiTheme="majorHAnsi" w:hAnsiTheme="majorHAnsi" w:cstheme="majorHAnsi"/>
                <w:sz w:val="24"/>
                <w:szCs w:val="24"/>
              </w:rPr>
            </w:pPr>
          </w:p>
        </w:tc>
        <w:tc>
          <w:tcPr>
            <w:tcW w:w="4075" w:type="dxa"/>
          </w:tcPr>
          <w:p w14:paraId="1DDE99F4" w14:textId="77777777" w:rsidR="00EB19CA" w:rsidRPr="00D462F0" w:rsidRDefault="00EB19CA" w:rsidP="00D462F0">
            <w:pPr>
              <w:jc w:val="both"/>
              <w:rPr>
                <w:rFonts w:asciiTheme="majorHAnsi" w:hAnsiTheme="majorHAnsi" w:cstheme="majorHAnsi"/>
                <w:bCs/>
                <w:sz w:val="24"/>
                <w:szCs w:val="24"/>
              </w:rPr>
            </w:pPr>
          </w:p>
        </w:tc>
      </w:tr>
      <w:tr w:rsidR="00EB19CA" w:rsidRPr="00C93770" w14:paraId="36E19C48" w14:textId="77777777" w:rsidTr="1756A420">
        <w:tc>
          <w:tcPr>
            <w:tcW w:w="4074" w:type="dxa"/>
          </w:tcPr>
          <w:p w14:paraId="3ED5798B" w14:textId="55B2CD6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1EA4A356" w14:textId="46CBE20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d) identificação da pessoa jurídica ou do profissional legalmente habilitado responsável pela avaliação; e</w:t>
            </w:r>
          </w:p>
        </w:tc>
        <w:tc>
          <w:tcPr>
            <w:tcW w:w="4074" w:type="dxa"/>
          </w:tcPr>
          <w:p w14:paraId="2D1AEBEA" w14:textId="77777777" w:rsidR="00EB19CA" w:rsidRPr="00D462F0" w:rsidRDefault="00EB19CA" w:rsidP="00D462F0">
            <w:pPr>
              <w:jc w:val="both"/>
              <w:rPr>
                <w:rFonts w:asciiTheme="majorHAnsi" w:hAnsiTheme="majorHAnsi" w:cstheme="majorHAnsi"/>
                <w:sz w:val="24"/>
                <w:szCs w:val="24"/>
              </w:rPr>
            </w:pPr>
          </w:p>
        </w:tc>
        <w:tc>
          <w:tcPr>
            <w:tcW w:w="4075" w:type="dxa"/>
          </w:tcPr>
          <w:p w14:paraId="7CD94965" w14:textId="77777777" w:rsidR="00EB19CA" w:rsidRPr="00D462F0" w:rsidRDefault="00EB19CA" w:rsidP="00D462F0">
            <w:pPr>
              <w:jc w:val="both"/>
              <w:rPr>
                <w:rFonts w:asciiTheme="majorHAnsi" w:hAnsiTheme="majorHAnsi" w:cstheme="majorHAnsi"/>
                <w:bCs/>
                <w:sz w:val="24"/>
                <w:szCs w:val="24"/>
              </w:rPr>
            </w:pPr>
          </w:p>
        </w:tc>
      </w:tr>
      <w:tr w:rsidR="00EB19CA" w:rsidRPr="00C93770" w14:paraId="504EED61" w14:textId="77777777" w:rsidTr="1756A420">
        <w:tc>
          <w:tcPr>
            <w:tcW w:w="4074" w:type="dxa"/>
          </w:tcPr>
          <w:p w14:paraId="083541EA" w14:textId="477DEFDC"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7E2E539E" w14:textId="16AA39A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e) a segregação entre o valor do terreno e das edificações.</w:t>
            </w:r>
          </w:p>
        </w:tc>
        <w:tc>
          <w:tcPr>
            <w:tcW w:w="4074" w:type="dxa"/>
          </w:tcPr>
          <w:p w14:paraId="524ADBA5" w14:textId="77777777" w:rsidR="00EB19CA" w:rsidRPr="00D462F0" w:rsidRDefault="00EB19CA" w:rsidP="00D462F0">
            <w:pPr>
              <w:jc w:val="both"/>
              <w:rPr>
                <w:rFonts w:asciiTheme="majorHAnsi" w:hAnsiTheme="majorHAnsi" w:cstheme="majorHAnsi"/>
                <w:sz w:val="24"/>
                <w:szCs w:val="24"/>
              </w:rPr>
            </w:pPr>
          </w:p>
        </w:tc>
        <w:tc>
          <w:tcPr>
            <w:tcW w:w="4075" w:type="dxa"/>
          </w:tcPr>
          <w:p w14:paraId="1CD91D8A" w14:textId="77777777" w:rsidR="00EB19CA" w:rsidRPr="00D462F0" w:rsidRDefault="00EB19CA" w:rsidP="00D462F0">
            <w:pPr>
              <w:jc w:val="both"/>
              <w:rPr>
                <w:rFonts w:asciiTheme="majorHAnsi" w:hAnsiTheme="majorHAnsi" w:cstheme="majorHAnsi"/>
                <w:bCs/>
                <w:sz w:val="24"/>
                <w:szCs w:val="24"/>
              </w:rPr>
            </w:pPr>
          </w:p>
        </w:tc>
      </w:tr>
      <w:tr w:rsidR="00EB19CA" w:rsidRPr="00C93770" w14:paraId="101236C0" w14:textId="77777777" w:rsidTr="1756A420">
        <w:tc>
          <w:tcPr>
            <w:tcW w:w="4074" w:type="dxa"/>
          </w:tcPr>
          <w:p w14:paraId="7EF58F8E" w14:textId="45679ACC"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2D913B50" w14:textId="1B735840"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Parágrafo Único.  Para fins do cumprimento do disposto no caput deste artigo quanto a necessidade de três avaliações, a EFPC pode utilizar avaliações do imóvel realizadas nos trezentos e sessenta dias anteriores à data da alienação, desde que atestadas pelo administrador estatutário tecnicamente qualificado, considerando as condições de mercado.</w:t>
            </w:r>
          </w:p>
        </w:tc>
        <w:tc>
          <w:tcPr>
            <w:tcW w:w="4074" w:type="dxa"/>
          </w:tcPr>
          <w:p w14:paraId="379D484D" w14:textId="77777777" w:rsidR="00EB19CA" w:rsidRPr="00D462F0" w:rsidRDefault="00EB19CA" w:rsidP="00D462F0">
            <w:pPr>
              <w:jc w:val="both"/>
              <w:rPr>
                <w:rFonts w:asciiTheme="majorHAnsi" w:hAnsiTheme="majorHAnsi" w:cstheme="majorHAnsi"/>
                <w:sz w:val="24"/>
                <w:szCs w:val="24"/>
              </w:rPr>
            </w:pPr>
          </w:p>
        </w:tc>
        <w:tc>
          <w:tcPr>
            <w:tcW w:w="4075" w:type="dxa"/>
          </w:tcPr>
          <w:p w14:paraId="27EB7C74" w14:textId="77777777" w:rsidR="00EB19CA" w:rsidRPr="00D462F0" w:rsidRDefault="00EB19CA" w:rsidP="00D462F0">
            <w:pPr>
              <w:jc w:val="both"/>
              <w:rPr>
                <w:rFonts w:asciiTheme="majorHAnsi" w:hAnsiTheme="majorHAnsi" w:cstheme="majorHAnsi"/>
                <w:bCs/>
                <w:sz w:val="24"/>
                <w:szCs w:val="24"/>
              </w:rPr>
            </w:pPr>
          </w:p>
        </w:tc>
      </w:tr>
      <w:tr w:rsidR="00EB19CA" w:rsidRPr="00C93770" w14:paraId="46E48FA3" w14:textId="77777777" w:rsidTr="1756A420">
        <w:tc>
          <w:tcPr>
            <w:tcW w:w="4074" w:type="dxa"/>
          </w:tcPr>
          <w:p w14:paraId="25CB179A" w14:textId="330D3DC8"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7B553D18" w14:textId="1E07F3C8"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color w:val="000000" w:themeColor="text1"/>
                <w:sz w:val="24"/>
                <w:szCs w:val="24"/>
              </w:rPr>
              <w:t>...</w:t>
            </w:r>
          </w:p>
        </w:tc>
        <w:tc>
          <w:tcPr>
            <w:tcW w:w="4074" w:type="dxa"/>
          </w:tcPr>
          <w:p w14:paraId="1015ACDF" w14:textId="77777777" w:rsidR="00EB19CA" w:rsidRPr="00D462F0" w:rsidRDefault="00EB19CA" w:rsidP="00D462F0">
            <w:pPr>
              <w:jc w:val="both"/>
              <w:rPr>
                <w:rFonts w:asciiTheme="majorHAnsi" w:hAnsiTheme="majorHAnsi" w:cstheme="majorHAnsi"/>
                <w:sz w:val="24"/>
                <w:szCs w:val="24"/>
              </w:rPr>
            </w:pPr>
          </w:p>
        </w:tc>
        <w:tc>
          <w:tcPr>
            <w:tcW w:w="4075" w:type="dxa"/>
          </w:tcPr>
          <w:p w14:paraId="2A9590E6" w14:textId="77777777" w:rsidR="00EB19CA" w:rsidRPr="00D462F0" w:rsidRDefault="00EB19CA" w:rsidP="00D462F0">
            <w:pPr>
              <w:jc w:val="both"/>
              <w:rPr>
                <w:rFonts w:asciiTheme="majorHAnsi" w:hAnsiTheme="majorHAnsi" w:cstheme="majorHAnsi"/>
                <w:bCs/>
                <w:sz w:val="24"/>
                <w:szCs w:val="24"/>
              </w:rPr>
            </w:pPr>
          </w:p>
        </w:tc>
      </w:tr>
      <w:tr w:rsidR="00EB19CA" w:rsidRPr="00C93770" w14:paraId="36859AAF" w14:textId="77777777" w:rsidTr="1756A420">
        <w:tc>
          <w:tcPr>
            <w:tcW w:w="4074" w:type="dxa"/>
          </w:tcPr>
          <w:p w14:paraId="321FF621" w14:textId="4E7F2F57" w:rsidR="00EB19CA" w:rsidRPr="00D462F0" w:rsidRDefault="00EB19CA" w:rsidP="0028717C">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Seção VII</w:t>
            </w:r>
          </w:p>
          <w:p w14:paraId="49673003" w14:textId="0F322BDB"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Notas Explicativas</w:t>
            </w:r>
          </w:p>
        </w:tc>
        <w:tc>
          <w:tcPr>
            <w:tcW w:w="4074" w:type="dxa"/>
          </w:tcPr>
          <w:p w14:paraId="12C91833" w14:textId="0047EB22" w:rsidR="00EB19CA" w:rsidRPr="00D462F0" w:rsidRDefault="00EB19CA" w:rsidP="0028717C">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Seção VII</w:t>
            </w:r>
          </w:p>
          <w:p w14:paraId="16A9CE17" w14:textId="47B21360"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Notas Explicativas</w:t>
            </w:r>
          </w:p>
        </w:tc>
        <w:tc>
          <w:tcPr>
            <w:tcW w:w="4074" w:type="dxa"/>
          </w:tcPr>
          <w:p w14:paraId="0B540A85" w14:textId="77777777" w:rsidR="00EB19CA" w:rsidRPr="00D462F0" w:rsidRDefault="00EB19CA" w:rsidP="00D462F0">
            <w:pPr>
              <w:jc w:val="both"/>
              <w:rPr>
                <w:rFonts w:asciiTheme="majorHAnsi" w:hAnsiTheme="majorHAnsi" w:cstheme="majorHAnsi"/>
                <w:sz w:val="24"/>
                <w:szCs w:val="24"/>
              </w:rPr>
            </w:pPr>
          </w:p>
        </w:tc>
        <w:tc>
          <w:tcPr>
            <w:tcW w:w="4075" w:type="dxa"/>
          </w:tcPr>
          <w:p w14:paraId="322452B4" w14:textId="77777777" w:rsidR="00EB19CA" w:rsidRPr="00D462F0" w:rsidRDefault="00EB19CA" w:rsidP="00D462F0">
            <w:pPr>
              <w:jc w:val="both"/>
              <w:rPr>
                <w:rFonts w:asciiTheme="majorHAnsi" w:hAnsiTheme="majorHAnsi" w:cstheme="majorHAnsi"/>
                <w:bCs/>
                <w:sz w:val="24"/>
                <w:szCs w:val="24"/>
              </w:rPr>
            </w:pPr>
          </w:p>
        </w:tc>
      </w:tr>
      <w:tr w:rsidR="00EB19CA" w:rsidRPr="00C93770" w14:paraId="320AF5CF" w14:textId="77777777" w:rsidTr="1756A420">
        <w:tc>
          <w:tcPr>
            <w:tcW w:w="4074" w:type="dxa"/>
          </w:tcPr>
          <w:p w14:paraId="3E8BF681" w14:textId="159E223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208.  </w:t>
            </w:r>
            <w:r w:rsidRPr="00D462F0">
              <w:rPr>
                <w:rFonts w:asciiTheme="majorHAnsi" w:eastAsia="Calibri" w:hAnsiTheme="majorHAnsi" w:cstheme="majorHAnsi"/>
                <w:sz w:val="24"/>
                <w:szCs w:val="24"/>
              </w:rPr>
              <w:t xml:space="preserve">As EFPC devem elaborar as Notas Explicativas às Demonstrações Contábeis contemplando, no mínimo, as seguintes informações, segregadas, quando possível, por planos de benefícios e pelo Plano de Gestão Administrativa: </w:t>
            </w:r>
          </w:p>
        </w:tc>
        <w:tc>
          <w:tcPr>
            <w:tcW w:w="4074" w:type="dxa"/>
          </w:tcPr>
          <w:p w14:paraId="1A7C7EEB" w14:textId="1872B7AA" w:rsidR="00EB19CA" w:rsidRPr="00D462F0" w:rsidRDefault="004153BF"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351DBEDC" w14:textId="2604308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Revogar o art. 208 e todos os seus incisos, simultaneamente à criação do art. 208-A, tendo em vista a necessidade de inclusão, readequação e reordenamento do conteúdo do artigo e de seus incisos.</w:t>
            </w:r>
          </w:p>
        </w:tc>
        <w:tc>
          <w:tcPr>
            <w:tcW w:w="4075" w:type="dxa"/>
          </w:tcPr>
          <w:p w14:paraId="512FCE52" w14:textId="77777777" w:rsidR="00EB19CA" w:rsidRPr="00D462F0" w:rsidRDefault="00EB19CA" w:rsidP="00D462F0">
            <w:pPr>
              <w:jc w:val="both"/>
              <w:rPr>
                <w:rFonts w:asciiTheme="majorHAnsi" w:hAnsiTheme="majorHAnsi" w:cstheme="majorHAnsi"/>
                <w:bCs/>
                <w:sz w:val="24"/>
                <w:szCs w:val="24"/>
              </w:rPr>
            </w:pPr>
          </w:p>
        </w:tc>
      </w:tr>
      <w:tr w:rsidR="00EB19CA" w:rsidRPr="00C93770" w14:paraId="60E5F6D3" w14:textId="77777777" w:rsidTr="1756A420">
        <w:tc>
          <w:tcPr>
            <w:tcW w:w="4074" w:type="dxa"/>
          </w:tcPr>
          <w:p w14:paraId="6984CDC1" w14:textId="2A656CBF"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I - contexto operacional das EFPC, incluindo resumo das principais práticas contábeis, relação dos itens avaliados, descrição dos critérios adotados nos períodos, anterior e atual, e eventuais </w:t>
            </w:r>
            <w:r w:rsidRPr="00D462F0">
              <w:rPr>
                <w:rFonts w:asciiTheme="majorHAnsi" w:eastAsia="Calibri" w:hAnsiTheme="majorHAnsi" w:cstheme="majorHAnsi"/>
                <w:sz w:val="24"/>
                <w:szCs w:val="24"/>
              </w:rPr>
              <w:lastRenderedPageBreak/>
              <w:t>efeitos decorrentes de mudanças de critérios;</w:t>
            </w:r>
          </w:p>
        </w:tc>
        <w:tc>
          <w:tcPr>
            <w:tcW w:w="4074" w:type="dxa"/>
          </w:tcPr>
          <w:p w14:paraId="26D650DD" w14:textId="179E3A1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lastRenderedPageBreak/>
              <w:t>Revogar</w:t>
            </w:r>
          </w:p>
        </w:tc>
        <w:tc>
          <w:tcPr>
            <w:tcW w:w="4074" w:type="dxa"/>
          </w:tcPr>
          <w:p w14:paraId="06E8E968" w14:textId="093775E9" w:rsidR="00EB19CA" w:rsidRPr="00D462F0" w:rsidRDefault="00EB19CA" w:rsidP="00D462F0">
            <w:pPr>
              <w:jc w:val="both"/>
              <w:rPr>
                <w:rFonts w:asciiTheme="majorHAnsi" w:hAnsiTheme="majorHAnsi" w:cstheme="majorHAnsi"/>
                <w:sz w:val="24"/>
                <w:szCs w:val="24"/>
              </w:rPr>
            </w:pPr>
          </w:p>
        </w:tc>
        <w:tc>
          <w:tcPr>
            <w:tcW w:w="4075" w:type="dxa"/>
          </w:tcPr>
          <w:p w14:paraId="304EFA52" w14:textId="77777777" w:rsidR="00EB19CA" w:rsidRPr="00D462F0" w:rsidRDefault="00EB19CA" w:rsidP="00D462F0">
            <w:pPr>
              <w:jc w:val="both"/>
              <w:rPr>
                <w:rFonts w:asciiTheme="majorHAnsi" w:hAnsiTheme="majorHAnsi" w:cstheme="majorHAnsi"/>
                <w:bCs/>
                <w:sz w:val="24"/>
                <w:szCs w:val="24"/>
              </w:rPr>
            </w:pPr>
          </w:p>
        </w:tc>
      </w:tr>
      <w:tr w:rsidR="00EB19CA" w:rsidRPr="00C93770" w14:paraId="3BBE0F52" w14:textId="77777777" w:rsidTr="1756A420">
        <w:tc>
          <w:tcPr>
            <w:tcW w:w="4074" w:type="dxa"/>
          </w:tcPr>
          <w:p w14:paraId="713AF117" w14:textId="5CA0249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II - descrição das contingências passivas relevantes, cujas chances de perda sejam prováveis ou possíveis;</w:t>
            </w:r>
          </w:p>
        </w:tc>
        <w:tc>
          <w:tcPr>
            <w:tcW w:w="4074" w:type="dxa"/>
          </w:tcPr>
          <w:p w14:paraId="7D3FE388" w14:textId="7CE27B0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1708D311" w14:textId="2FB32F9B" w:rsidR="00EB19CA" w:rsidRPr="00D462F0" w:rsidRDefault="00EB19CA" w:rsidP="00D462F0">
            <w:pPr>
              <w:jc w:val="both"/>
              <w:rPr>
                <w:rFonts w:asciiTheme="majorHAnsi" w:hAnsiTheme="majorHAnsi" w:cstheme="majorHAnsi"/>
                <w:sz w:val="24"/>
                <w:szCs w:val="24"/>
              </w:rPr>
            </w:pPr>
          </w:p>
        </w:tc>
        <w:tc>
          <w:tcPr>
            <w:tcW w:w="4075" w:type="dxa"/>
          </w:tcPr>
          <w:p w14:paraId="4895F3FD" w14:textId="77777777" w:rsidR="00EB19CA" w:rsidRPr="00D462F0" w:rsidRDefault="00EB19CA" w:rsidP="00D462F0">
            <w:pPr>
              <w:jc w:val="both"/>
              <w:rPr>
                <w:rFonts w:asciiTheme="majorHAnsi" w:hAnsiTheme="majorHAnsi" w:cstheme="majorHAnsi"/>
                <w:bCs/>
                <w:sz w:val="24"/>
                <w:szCs w:val="24"/>
              </w:rPr>
            </w:pPr>
          </w:p>
        </w:tc>
      </w:tr>
      <w:tr w:rsidR="00EB19CA" w:rsidRPr="00C93770" w14:paraId="0B0EDA0D" w14:textId="77777777" w:rsidTr="1756A420">
        <w:tc>
          <w:tcPr>
            <w:tcW w:w="4074" w:type="dxa"/>
          </w:tcPr>
          <w:p w14:paraId="055E9189" w14:textId="0D09823C"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III - critérios, natureza e percentual utilizados para a constituição de provisões;</w:t>
            </w:r>
          </w:p>
        </w:tc>
        <w:tc>
          <w:tcPr>
            <w:tcW w:w="4074" w:type="dxa"/>
          </w:tcPr>
          <w:p w14:paraId="1801F8F5" w14:textId="6BD29A8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1EB88DB9" w14:textId="08361D7C" w:rsidR="00EB19CA" w:rsidRPr="00D462F0" w:rsidRDefault="00EB19CA" w:rsidP="00D462F0">
            <w:pPr>
              <w:jc w:val="both"/>
              <w:rPr>
                <w:rFonts w:asciiTheme="majorHAnsi" w:hAnsiTheme="majorHAnsi" w:cstheme="majorHAnsi"/>
                <w:sz w:val="24"/>
                <w:szCs w:val="24"/>
              </w:rPr>
            </w:pPr>
          </w:p>
        </w:tc>
        <w:tc>
          <w:tcPr>
            <w:tcW w:w="4075" w:type="dxa"/>
          </w:tcPr>
          <w:p w14:paraId="2921A6F5" w14:textId="77777777" w:rsidR="00EB19CA" w:rsidRPr="00D462F0" w:rsidRDefault="00EB19CA" w:rsidP="00D462F0">
            <w:pPr>
              <w:jc w:val="both"/>
              <w:rPr>
                <w:rFonts w:asciiTheme="majorHAnsi" w:hAnsiTheme="majorHAnsi" w:cstheme="majorHAnsi"/>
                <w:bCs/>
                <w:sz w:val="24"/>
                <w:szCs w:val="24"/>
              </w:rPr>
            </w:pPr>
          </w:p>
        </w:tc>
      </w:tr>
      <w:tr w:rsidR="00EB19CA" w:rsidRPr="00C93770" w14:paraId="0B9197BF" w14:textId="77777777" w:rsidTr="1756A420">
        <w:tc>
          <w:tcPr>
            <w:tcW w:w="4074" w:type="dxa"/>
          </w:tcPr>
          <w:p w14:paraId="15DF6A6B" w14:textId="0884D49D"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IV - critérios de avaliação e de amortização das aplicações de recursos existentes no ativo intangível;</w:t>
            </w:r>
          </w:p>
        </w:tc>
        <w:tc>
          <w:tcPr>
            <w:tcW w:w="4074" w:type="dxa"/>
          </w:tcPr>
          <w:p w14:paraId="37024EC2" w14:textId="7D42D6E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6E9431AE" w14:textId="1F15DF29" w:rsidR="00EB19CA" w:rsidRPr="00D462F0" w:rsidRDefault="00EB19CA" w:rsidP="00D462F0">
            <w:pPr>
              <w:jc w:val="both"/>
              <w:rPr>
                <w:rFonts w:asciiTheme="majorHAnsi" w:hAnsiTheme="majorHAnsi" w:cstheme="majorHAnsi"/>
                <w:sz w:val="24"/>
                <w:szCs w:val="24"/>
              </w:rPr>
            </w:pPr>
          </w:p>
        </w:tc>
        <w:tc>
          <w:tcPr>
            <w:tcW w:w="4075" w:type="dxa"/>
          </w:tcPr>
          <w:p w14:paraId="4642CBCF" w14:textId="77777777" w:rsidR="00EB19CA" w:rsidRPr="00D462F0" w:rsidRDefault="00EB19CA" w:rsidP="00D462F0">
            <w:pPr>
              <w:jc w:val="both"/>
              <w:rPr>
                <w:rFonts w:asciiTheme="majorHAnsi" w:hAnsiTheme="majorHAnsi" w:cstheme="majorHAnsi"/>
                <w:bCs/>
                <w:sz w:val="24"/>
                <w:szCs w:val="24"/>
              </w:rPr>
            </w:pPr>
          </w:p>
        </w:tc>
      </w:tr>
      <w:tr w:rsidR="00EB19CA" w:rsidRPr="00C93770" w14:paraId="24BF1204" w14:textId="77777777" w:rsidTr="1756A420">
        <w:tc>
          <w:tcPr>
            <w:tcW w:w="4074" w:type="dxa"/>
          </w:tcPr>
          <w:p w14:paraId="6B77422A" w14:textId="45E4AB8E"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V - avaliações e reavaliações dos bens imóveis do ativo “Imobilizado” e dos “Investimentos em imóveis” indicando, no mínimo, histórico, data da avaliação, identificação dos avaliadores responsáveis e respectivos valores, bem como os efeitos no exercício;</w:t>
            </w:r>
          </w:p>
        </w:tc>
        <w:tc>
          <w:tcPr>
            <w:tcW w:w="4074" w:type="dxa"/>
          </w:tcPr>
          <w:p w14:paraId="593245E9" w14:textId="066A281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78B0D0D6" w14:textId="251EFBD1" w:rsidR="00EB19CA" w:rsidRPr="00D462F0" w:rsidRDefault="00EB19CA" w:rsidP="00D462F0">
            <w:pPr>
              <w:jc w:val="both"/>
              <w:rPr>
                <w:rFonts w:asciiTheme="majorHAnsi" w:hAnsiTheme="majorHAnsi" w:cstheme="majorHAnsi"/>
                <w:sz w:val="24"/>
                <w:szCs w:val="24"/>
              </w:rPr>
            </w:pPr>
          </w:p>
        </w:tc>
        <w:tc>
          <w:tcPr>
            <w:tcW w:w="4075" w:type="dxa"/>
          </w:tcPr>
          <w:p w14:paraId="32488FBD" w14:textId="77777777" w:rsidR="00EB19CA" w:rsidRPr="00D462F0" w:rsidRDefault="00EB19CA" w:rsidP="00D462F0">
            <w:pPr>
              <w:jc w:val="both"/>
              <w:rPr>
                <w:rFonts w:asciiTheme="majorHAnsi" w:hAnsiTheme="majorHAnsi" w:cstheme="majorHAnsi"/>
                <w:bCs/>
                <w:sz w:val="24"/>
                <w:szCs w:val="24"/>
              </w:rPr>
            </w:pPr>
          </w:p>
        </w:tc>
      </w:tr>
      <w:tr w:rsidR="00EB19CA" w:rsidRPr="00C93770" w14:paraId="3E871359" w14:textId="77777777" w:rsidTr="1756A420">
        <w:tc>
          <w:tcPr>
            <w:tcW w:w="4074" w:type="dxa"/>
          </w:tcPr>
          <w:p w14:paraId="5122DA73" w14:textId="4CE801A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VI - ajustes de exercícios anteriores decorrentes de mudanças de práticas contábeis ou de retificações de erros de períodos anteriores, não atribuíveis a eventos subsequentes, com descrição da natureza e dos seus respectivos efeitos, conforme normas do Conselho Federal de Contabilidade (CFC);</w:t>
            </w:r>
          </w:p>
        </w:tc>
        <w:tc>
          <w:tcPr>
            <w:tcW w:w="4074" w:type="dxa"/>
          </w:tcPr>
          <w:p w14:paraId="4123540E" w14:textId="2E34A40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035C749B" w14:textId="30AF4530" w:rsidR="00EB19CA" w:rsidRPr="00D462F0" w:rsidRDefault="00EB19CA" w:rsidP="00D462F0">
            <w:pPr>
              <w:jc w:val="both"/>
              <w:rPr>
                <w:rFonts w:asciiTheme="majorHAnsi" w:hAnsiTheme="majorHAnsi" w:cstheme="majorHAnsi"/>
                <w:sz w:val="24"/>
                <w:szCs w:val="24"/>
              </w:rPr>
            </w:pPr>
          </w:p>
        </w:tc>
        <w:tc>
          <w:tcPr>
            <w:tcW w:w="4075" w:type="dxa"/>
          </w:tcPr>
          <w:p w14:paraId="0CF217C8" w14:textId="77777777" w:rsidR="00EB19CA" w:rsidRPr="00D462F0" w:rsidRDefault="00EB19CA" w:rsidP="00D462F0">
            <w:pPr>
              <w:jc w:val="both"/>
              <w:rPr>
                <w:rFonts w:asciiTheme="majorHAnsi" w:hAnsiTheme="majorHAnsi" w:cstheme="majorHAnsi"/>
                <w:bCs/>
                <w:sz w:val="24"/>
                <w:szCs w:val="24"/>
              </w:rPr>
            </w:pPr>
          </w:p>
        </w:tc>
      </w:tr>
      <w:tr w:rsidR="00EB19CA" w:rsidRPr="00C93770" w14:paraId="7DD3213A" w14:textId="77777777" w:rsidTr="1756A420">
        <w:tc>
          <w:tcPr>
            <w:tcW w:w="4074" w:type="dxa"/>
          </w:tcPr>
          <w:p w14:paraId="5EFDFFF1" w14:textId="007E7C1C"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VII - descrição de operações relativas à contratação de contribuições em atraso, de serviço passado, de déficit técnico e de outras indicando o valor contratado, o prazo de amortização, o valor da parcela, a data de vencimento, os juros pactuados e outras informações pertinentes;</w:t>
            </w:r>
          </w:p>
        </w:tc>
        <w:tc>
          <w:tcPr>
            <w:tcW w:w="4074" w:type="dxa"/>
          </w:tcPr>
          <w:p w14:paraId="5150ACBF" w14:textId="6509E66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1F000051" w14:textId="4EFE081F" w:rsidR="00EB19CA" w:rsidRPr="00D462F0" w:rsidRDefault="00EB19CA" w:rsidP="00D462F0">
            <w:pPr>
              <w:jc w:val="both"/>
              <w:rPr>
                <w:rFonts w:asciiTheme="majorHAnsi" w:hAnsiTheme="majorHAnsi" w:cstheme="majorHAnsi"/>
                <w:sz w:val="24"/>
                <w:szCs w:val="24"/>
              </w:rPr>
            </w:pPr>
          </w:p>
        </w:tc>
        <w:tc>
          <w:tcPr>
            <w:tcW w:w="4075" w:type="dxa"/>
          </w:tcPr>
          <w:p w14:paraId="5E18F09A" w14:textId="77777777" w:rsidR="00EB19CA" w:rsidRPr="00D462F0" w:rsidRDefault="00EB19CA" w:rsidP="00D462F0">
            <w:pPr>
              <w:jc w:val="both"/>
              <w:rPr>
                <w:rFonts w:asciiTheme="majorHAnsi" w:hAnsiTheme="majorHAnsi" w:cstheme="majorHAnsi"/>
                <w:bCs/>
                <w:sz w:val="24"/>
                <w:szCs w:val="24"/>
              </w:rPr>
            </w:pPr>
          </w:p>
        </w:tc>
      </w:tr>
      <w:tr w:rsidR="00EB19CA" w:rsidRPr="00C93770" w14:paraId="2DB1E987" w14:textId="77777777" w:rsidTr="1756A420">
        <w:tc>
          <w:tcPr>
            <w:tcW w:w="4074" w:type="dxa"/>
          </w:tcPr>
          <w:p w14:paraId="27AEB3BF" w14:textId="3BFCB526"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VIII - composição das contribuições em atraso e contratadas, por patrocinador e por plano de benefícios, comparativos com o exercício anterior;</w:t>
            </w:r>
          </w:p>
        </w:tc>
        <w:tc>
          <w:tcPr>
            <w:tcW w:w="4074" w:type="dxa"/>
          </w:tcPr>
          <w:p w14:paraId="74325BA8" w14:textId="022F1DF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4AF341DA" w14:textId="028A6442" w:rsidR="00EB19CA" w:rsidRPr="00D462F0" w:rsidRDefault="00EB19CA" w:rsidP="00D462F0">
            <w:pPr>
              <w:jc w:val="both"/>
              <w:rPr>
                <w:rFonts w:asciiTheme="majorHAnsi" w:hAnsiTheme="majorHAnsi" w:cstheme="majorHAnsi"/>
                <w:sz w:val="24"/>
                <w:szCs w:val="24"/>
              </w:rPr>
            </w:pPr>
          </w:p>
        </w:tc>
        <w:tc>
          <w:tcPr>
            <w:tcW w:w="4075" w:type="dxa"/>
          </w:tcPr>
          <w:p w14:paraId="713231EB" w14:textId="77777777" w:rsidR="00EB19CA" w:rsidRPr="00D462F0" w:rsidRDefault="00EB19CA" w:rsidP="00D462F0">
            <w:pPr>
              <w:jc w:val="both"/>
              <w:rPr>
                <w:rFonts w:asciiTheme="majorHAnsi" w:hAnsiTheme="majorHAnsi" w:cstheme="majorHAnsi"/>
                <w:bCs/>
                <w:sz w:val="24"/>
                <w:szCs w:val="24"/>
              </w:rPr>
            </w:pPr>
          </w:p>
        </w:tc>
      </w:tr>
      <w:tr w:rsidR="00EB19CA" w:rsidRPr="00C93770" w14:paraId="4A805A7A" w14:textId="77777777" w:rsidTr="1756A420">
        <w:tc>
          <w:tcPr>
            <w:tcW w:w="4074" w:type="dxa"/>
          </w:tcPr>
          <w:p w14:paraId="6845AF70"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lastRenderedPageBreak/>
              <w:t>IX - composição da carteira de investimentos, em comparação com a do exercício anterior;</w:t>
            </w:r>
          </w:p>
          <w:p w14:paraId="1D589BEA" w14:textId="77777777" w:rsidR="00EB19CA" w:rsidRPr="00D462F0" w:rsidRDefault="00EB19CA" w:rsidP="00D462F0">
            <w:pPr>
              <w:jc w:val="both"/>
              <w:rPr>
                <w:rFonts w:asciiTheme="majorHAnsi" w:hAnsiTheme="majorHAnsi" w:cstheme="majorHAnsi"/>
                <w:sz w:val="24"/>
                <w:szCs w:val="24"/>
              </w:rPr>
            </w:pPr>
          </w:p>
        </w:tc>
        <w:tc>
          <w:tcPr>
            <w:tcW w:w="4074" w:type="dxa"/>
          </w:tcPr>
          <w:p w14:paraId="6B621880" w14:textId="66B382E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2D52E50E" w14:textId="1234E709" w:rsidR="00EB19CA" w:rsidRPr="00D462F0" w:rsidRDefault="00EB19CA" w:rsidP="00D462F0">
            <w:pPr>
              <w:jc w:val="both"/>
              <w:rPr>
                <w:rFonts w:asciiTheme="majorHAnsi" w:hAnsiTheme="majorHAnsi" w:cstheme="majorHAnsi"/>
                <w:sz w:val="24"/>
                <w:szCs w:val="24"/>
              </w:rPr>
            </w:pPr>
          </w:p>
        </w:tc>
        <w:tc>
          <w:tcPr>
            <w:tcW w:w="4075" w:type="dxa"/>
          </w:tcPr>
          <w:p w14:paraId="602A1BFB" w14:textId="77777777" w:rsidR="00EB19CA" w:rsidRPr="00D462F0" w:rsidRDefault="00EB19CA" w:rsidP="00D462F0">
            <w:pPr>
              <w:jc w:val="both"/>
              <w:rPr>
                <w:rFonts w:asciiTheme="majorHAnsi" w:hAnsiTheme="majorHAnsi" w:cstheme="majorHAnsi"/>
                <w:bCs/>
                <w:sz w:val="24"/>
                <w:szCs w:val="24"/>
              </w:rPr>
            </w:pPr>
          </w:p>
        </w:tc>
      </w:tr>
      <w:tr w:rsidR="00EB19CA" w:rsidRPr="00C93770" w14:paraId="5CAD69E3" w14:textId="77777777" w:rsidTr="1756A420">
        <w:tc>
          <w:tcPr>
            <w:tcW w:w="4074" w:type="dxa"/>
          </w:tcPr>
          <w:p w14:paraId="3E55BCA5"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 - critérios utilizados para o rateio das despesas administrativas entre os planos de benefícios, se for o caso;</w:t>
            </w:r>
          </w:p>
          <w:p w14:paraId="391BE28C" w14:textId="77777777" w:rsidR="00EB19CA" w:rsidRPr="00D462F0" w:rsidRDefault="00EB19CA" w:rsidP="00D462F0">
            <w:pPr>
              <w:jc w:val="both"/>
              <w:rPr>
                <w:rFonts w:asciiTheme="majorHAnsi" w:hAnsiTheme="majorHAnsi" w:cstheme="majorHAnsi"/>
                <w:sz w:val="24"/>
                <w:szCs w:val="24"/>
              </w:rPr>
            </w:pPr>
          </w:p>
        </w:tc>
        <w:tc>
          <w:tcPr>
            <w:tcW w:w="4074" w:type="dxa"/>
          </w:tcPr>
          <w:p w14:paraId="7DCEE1BB" w14:textId="61ACA95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04B6D114" w14:textId="128FFA73" w:rsidR="00EB19CA" w:rsidRPr="00D462F0" w:rsidRDefault="00EB19CA" w:rsidP="00D462F0">
            <w:pPr>
              <w:jc w:val="both"/>
              <w:rPr>
                <w:rFonts w:asciiTheme="majorHAnsi" w:hAnsiTheme="majorHAnsi" w:cstheme="majorHAnsi"/>
                <w:sz w:val="24"/>
                <w:szCs w:val="24"/>
              </w:rPr>
            </w:pPr>
          </w:p>
        </w:tc>
        <w:tc>
          <w:tcPr>
            <w:tcW w:w="4075" w:type="dxa"/>
          </w:tcPr>
          <w:p w14:paraId="747F8F67" w14:textId="77777777" w:rsidR="00EB19CA" w:rsidRPr="00D462F0" w:rsidRDefault="00EB19CA" w:rsidP="00D462F0">
            <w:pPr>
              <w:jc w:val="both"/>
              <w:rPr>
                <w:rFonts w:asciiTheme="majorHAnsi" w:hAnsiTheme="majorHAnsi" w:cstheme="majorHAnsi"/>
                <w:bCs/>
                <w:sz w:val="24"/>
                <w:szCs w:val="24"/>
              </w:rPr>
            </w:pPr>
          </w:p>
        </w:tc>
      </w:tr>
      <w:tr w:rsidR="00EB19CA" w:rsidRPr="00C93770" w14:paraId="541E6021" w14:textId="77777777" w:rsidTr="1756A420">
        <w:tc>
          <w:tcPr>
            <w:tcW w:w="4074" w:type="dxa"/>
          </w:tcPr>
          <w:p w14:paraId="03C412E5" w14:textId="0BA61A01"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XI - objetivos e critérios utilizados para constituição e reversão de fundos;</w:t>
            </w:r>
          </w:p>
        </w:tc>
        <w:tc>
          <w:tcPr>
            <w:tcW w:w="4074" w:type="dxa"/>
          </w:tcPr>
          <w:p w14:paraId="14157E1C" w14:textId="3A0977A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1793C460" w14:textId="3887BE68" w:rsidR="00EB19CA" w:rsidRPr="00D462F0" w:rsidRDefault="00EB19CA" w:rsidP="00D462F0">
            <w:pPr>
              <w:jc w:val="both"/>
              <w:rPr>
                <w:rFonts w:asciiTheme="majorHAnsi" w:hAnsiTheme="majorHAnsi" w:cstheme="majorHAnsi"/>
                <w:sz w:val="24"/>
                <w:szCs w:val="24"/>
              </w:rPr>
            </w:pPr>
          </w:p>
        </w:tc>
        <w:tc>
          <w:tcPr>
            <w:tcW w:w="4075" w:type="dxa"/>
          </w:tcPr>
          <w:p w14:paraId="1AE1664D" w14:textId="77777777" w:rsidR="00EB19CA" w:rsidRPr="00D462F0" w:rsidRDefault="00EB19CA" w:rsidP="00D462F0">
            <w:pPr>
              <w:jc w:val="both"/>
              <w:rPr>
                <w:rFonts w:asciiTheme="majorHAnsi" w:hAnsiTheme="majorHAnsi" w:cstheme="majorHAnsi"/>
                <w:bCs/>
                <w:sz w:val="24"/>
                <w:szCs w:val="24"/>
              </w:rPr>
            </w:pPr>
          </w:p>
        </w:tc>
      </w:tr>
      <w:tr w:rsidR="00EB19CA" w:rsidRPr="00C93770" w14:paraId="063A64A7" w14:textId="77777777" w:rsidTr="1756A420">
        <w:tc>
          <w:tcPr>
            <w:tcW w:w="4074" w:type="dxa"/>
          </w:tcPr>
          <w:p w14:paraId="06A126A4"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XII - detalhamento dos saldos das contas que contenham a denominação "Outros", quando ultrapassarem, no total, um décimo do valor do respectivo grupo da referida conta;</w:t>
            </w:r>
          </w:p>
          <w:p w14:paraId="2C5AA8C2" w14:textId="77777777" w:rsidR="00EB19CA" w:rsidRPr="00D462F0" w:rsidRDefault="00EB19CA" w:rsidP="00D462F0">
            <w:pPr>
              <w:jc w:val="both"/>
              <w:rPr>
                <w:rFonts w:asciiTheme="majorHAnsi" w:hAnsiTheme="majorHAnsi" w:cstheme="majorHAnsi"/>
                <w:sz w:val="24"/>
                <w:szCs w:val="24"/>
              </w:rPr>
            </w:pPr>
          </w:p>
        </w:tc>
        <w:tc>
          <w:tcPr>
            <w:tcW w:w="4074" w:type="dxa"/>
          </w:tcPr>
          <w:p w14:paraId="2D08DAFE" w14:textId="126BBD4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47C604CF" w14:textId="4AA07133" w:rsidR="00EB19CA" w:rsidRPr="00D462F0" w:rsidRDefault="00EB19CA" w:rsidP="00D462F0">
            <w:pPr>
              <w:jc w:val="both"/>
              <w:rPr>
                <w:rFonts w:asciiTheme="majorHAnsi" w:hAnsiTheme="majorHAnsi" w:cstheme="majorHAnsi"/>
                <w:sz w:val="24"/>
                <w:szCs w:val="24"/>
              </w:rPr>
            </w:pPr>
          </w:p>
        </w:tc>
        <w:tc>
          <w:tcPr>
            <w:tcW w:w="4075" w:type="dxa"/>
          </w:tcPr>
          <w:p w14:paraId="12B35E6E" w14:textId="77777777" w:rsidR="00EB19CA" w:rsidRPr="00D462F0" w:rsidRDefault="00EB19CA" w:rsidP="00D462F0">
            <w:pPr>
              <w:jc w:val="both"/>
              <w:rPr>
                <w:rFonts w:asciiTheme="majorHAnsi" w:hAnsiTheme="majorHAnsi" w:cstheme="majorHAnsi"/>
                <w:bCs/>
                <w:sz w:val="24"/>
                <w:szCs w:val="24"/>
              </w:rPr>
            </w:pPr>
          </w:p>
        </w:tc>
      </w:tr>
      <w:tr w:rsidR="00EB19CA" w:rsidRPr="00C93770" w14:paraId="63525BB3" w14:textId="77777777" w:rsidTr="1756A420">
        <w:tc>
          <w:tcPr>
            <w:tcW w:w="4074" w:type="dxa"/>
          </w:tcPr>
          <w:p w14:paraId="059C2413"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XIII - detalhamento dos ajustes e eliminações decorrentes do processo de consolidação das Demonstrações Contábeis;</w:t>
            </w:r>
          </w:p>
          <w:p w14:paraId="0934011C" w14:textId="77777777" w:rsidR="00EB19CA" w:rsidRPr="00D462F0" w:rsidRDefault="00EB19CA" w:rsidP="00D462F0">
            <w:pPr>
              <w:jc w:val="both"/>
              <w:rPr>
                <w:rFonts w:asciiTheme="majorHAnsi" w:hAnsiTheme="majorHAnsi" w:cstheme="majorHAnsi"/>
                <w:sz w:val="24"/>
                <w:szCs w:val="24"/>
              </w:rPr>
            </w:pPr>
          </w:p>
        </w:tc>
        <w:tc>
          <w:tcPr>
            <w:tcW w:w="4074" w:type="dxa"/>
          </w:tcPr>
          <w:p w14:paraId="2B1B499E" w14:textId="76C5BF3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50E3FFF3" w14:textId="08238E11" w:rsidR="00EB19CA" w:rsidRPr="00D462F0" w:rsidRDefault="00EB19CA" w:rsidP="00D462F0">
            <w:pPr>
              <w:jc w:val="both"/>
              <w:rPr>
                <w:rFonts w:asciiTheme="majorHAnsi" w:hAnsiTheme="majorHAnsi" w:cstheme="majorHAnsi"/>
                <w:sz w:val="24"/>
                <w:szCs w:val="24"/>
              </w:rPr>
            </w:pPr>
          </w:p>
        </w:tc>
        <w:tc>
          <w:tcPr>
            <w:tcW w:w="4075" w:type="dxa"/>
          </w:tcPr>
          <w:p w14:paraId="55DEE70A" w14:textId="77777777" w:rsidR="00EB19CA" w:rsidRPr="00D462F0" w:rsidRDefault="00EB19CA" w:rsidP="00D462F0">
            <w:pPr>
              <w:jc w:val="both"/>
              <w:rPr>
                <w:rFonts w:asciiTheme="majorHAnsi" w:hAnsiTheme="majorHAnsi" w:cstheme="majorHAnsi"/>
                <w:bCs/>
                <w:sz w:val="24"/>
                <w:szCs w:val="24"/>
              </w:rPr>
            </w:pPr>
          </w:p>
        </w:tc>
      </w:tr>
      <w:tr w:rsidR="00EB19CA" w:rsidRPr="00C93770" w14:paraId="29E13A06" w14:textId="77777777" w:rsidTr="1756A420">
        <w:tc>
          <w:tcPr>
            <w:tcW w:w="4074" w:type="dxa"/>
          </w:tcPr>
          <w:p w14:paraId="49C96E7F"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XIV - descrição de operações de empréstimo de títulos ou valores mobiliários em que o ativo recebido for diverso daquele originalmente entregue, classificado na categoria "títulos mantidos até o vencimento", com informações sobre ativos emprestados e recebidos, datas da operação original e da devolução, quantidades envolvidas e efeito no resultado do período;</w:t>
            </w:r>
          </w:p>
          <w:p w14:paraId="6994BF89" w14:textId="77777777" w:rsidR="00EB19CA" w:rsidRPr="00D462F0" w:rsidRDefault="00EB19CA" w:rsidP="00D462F0">
            <w:pPr>
              <w:jc w:val="both"/>
              <w:rPr>
                <w:rFonts w:asciiTheme="majorHAnsi" w:hAnsiTheme="majorHAnsi" w:cstheme="majorHAnsi"/>
                <w:sz w:val="24"/>
                <w:szCs w:val="24"/>
              </w:rPr>
            </w:pPr>
          </w:p>
        </w:tc>
        <w:tc>
          <w:tcPr>
            <w:tcW w:w="4074" w:type="dxa"/>
          </w:tcPr>
          <w:p w14:paraId="0A84DEFD" w14:textId="49EECA7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266B38D3" w14:textId="570DE22A" w:rsidR="00EB19CA" w:rsidRPr="00D462F0" w:rsidRDefault="00EB19CA" w:rsidP="00D462F0">
            <w:pPr>
              <w:jc w:val="both"/>
              <w:rPr>
                <w:rFonts w:asciiTheme="majorHAnsi" w:hAnsiTheme="majorHAnsi" w:cstheme="majorHAnsi"/>
                <w:sz w:val="24"/>
                <w:szCs w:val="24"/>
              </w:rPr>
            </w:pPr>
          </w:p>
        </w:tc>
        <w:tc>
          <w:tcPr>
            <w:tcW w:w="4075" w:type="dxa"/>
          </w:tcPr>
          <w:p w14:paraId="7A6FB0DE" w14:textId="77777777" w:rsidR="00EB19CA" w:rsidRPr="00D462F0" w:rsidRDefault="00EB19CA" w:rsidP="00D462F0">
            <w:pPr>
              <w:jc w:val="both"/>
              <w:rPr>
                <w:rFonts w:asciiTheme="majorHAnsi" w:hAnsiTheme="majorHAnsi" w:cstheme="majorHAnsi"/>
                <w:bCs/>
                <w:sz w:val="24"/>
                <w:szCs w:val="24"/>
              </w:rPr>
            </w:pPr>
          </w:p>
        </w:tc>
      </w:tr>
      <w:tr w:rsidR="00EB19CA" w:rsidRPr="00C93770" w14:paraId="4F66035E" w14:textId="77777777" w:rsidTr="1756A420">
        <w:tc>
          <w:tcPr>
            <w:tcW w:w="4074" w:type="dxa"/>
          </w:tcPr>
          <w:p w14:paraId="66AD38F5"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XV - </w:t>
            </w:r>
            <w:bookmarkStart w:id="0" w:name="_Int_1D69QThR"/>
            <w:r w:rsidRPr="00D462F0">
              <w:rPr>
                <w:rFonts w:asciiTheme="majorHAnsi" w:eastAsia="Calibri" w:hAnsiTheme="majorHAnsi" w:cstheme="majorHAnsi"/>
                <w:sz w:val="24"/>
                <w:szCs w:val="24"/>
              </w:rPr>
              <w:t>eventos</w:t>
            </w:r>
            <w:bookmarkEnd w:id="0"/>
            <w:r w:rsidRPr="00D462F0">
              <w:rPr>
                <w:rFonts w:asciiTheme="majorHAnsi" w:eastAsia="Calibri" w:hAnsiTheme="majorHAnsi" w:cstheme="majorHAnsi"/>
                <w:sz w:val="24"/>
                <w:szCs w:val="24"/>
              </w:rPr>
              <w:t xml:space="preserve"> subsequentes à data de encerramento do exercício que tenham ou possam vir a ter efeitos relevantes sobre a situação financeira ou </w:t>
            </w:r>
            <w:r w:rsidRPr="00D462F0">
              <w:rPr>
                <w:rFonts w:asciiTheme="majorHAnsi" w:eastAsia="Calibri" w:hAnsiTheme="majorHAnsi" w:cstheme="majorHAnsi"/>
                <w:sz w:val="24"/>
                <w:szCs w:val="24"/>
              </w:rPr>
              <w:lastRenderedPageBreak/>
              <w:t>econômica dos planos de benefícios e do Plano de Gestão Administrativa;</w:t>
            </w:r>
          </w:p>
          <w:p w14:paraId="407BB7F2" w14:textId="77777777" w:rsidR="00EB19CA" w:rsidRPr="00D462F0" w:rsidRDefault="00EB19CA" w:rsidP="00D462F0">
            <w:pPr>
              <w:jc w:val="both"/>
              <w:rPr>
                <w:rFonts w:asciiTheme="majorHAnsi" w:hAnsiTheme="majorHAnsi" w:cstheme="majorHAnsi"/>
                <w:sz w:val="24"/>
                <w:szCs w:val="24"/>
              </w:rPr>
            </w:pPr>
          </w:p>
        </w:tc>
        <w:tc>
          <w:tcPr>
            <w:tcW w:w="4074" w:type="dxa"/>
          </w:tcPr>
          <w:p w14:paraId="654C887E" w14:textId="27458E6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lastRenderedPageBreak/>
              <w:t>Revogar</w:t>
            </w:r>
          </w:p>
        </w:tc>
        <w:tc>
          <w:tcPr>
            <w:tcW w:w="4074" w:type="dxa"/>
          </w:tcPr>
          <w:p w14:paraId="441D31D9" w14:textId="4AAA43BE" w:rsidR="00EB19CA" w:rsidRPr="00D462F0" w:rsidRDefault="00EB19CA" w:rsidP="00D462F0">
            <w:pPr>
              <w:jc w:val="both"/>
              <w:rPr>
                <w:rFonts w:asciiTheme="majorHAnsi" w:hAnsiTheme="majorHAnsi" w:cstheme="majorHAnsi"/>
                <w:sz w:val="24"/>
                <w:szCs w:val="24"/>
              </w:rPr>
            </w:pPr>
          </w:p>
        </w:tc>
        <w:tc>
          <w:tcPr>
            <w:tcW w:w="4075" w:type="dxa"/>
          </w:tcPr>
          <w:p w14:paraId="2F0E3723" w14:textId="77777777" w:rsidR="00EB19CA" w:rsidRPr="00D462F0" w:rsidRDefault="00EB19CA" w:rsidP="00D462F0">
            <w:pPr>
              <w:jc w:val="both"/>
              <w:rPr>
                <w:rFonts w:asciiTheme="majorHAnsi" w:hAnsiTheme="majorHAnsi" w:cstheme="majorHAnsi"/>
                <w:bCs/>
                <w:sz w:val="24"/>
                <w:szCs w:val="24"/>
              </w:rPr>
            </w:pPr>
          </w:p>
        </w:tc>
      </w:tr>
      <w:tr w:rsidR="00EB19CA" w:rsidRPr="00C93770" w14:paraId="1773E3AD" w14:textId="77777777" w:rsidTr="1756A420">
        <w:tc>
          <w:tcPr>
            <w:tcW w:w="4074" w:type="dxa"/>
          </w:tcPr>
          <w:p w14:paraId="249EC1D3" w14:textId="77777777" w:rsidR="00EB19CA" w:rsidRPr="00D462F0" w:rsidRDefault="00EB19CA" w:rsidP="00D462F0">
            <w:pPr>
              <w:jc w:val="both"/>
              <w:rPr>
                <w:rFonts w:asciiTheme="majorHAnsi" w:eastAsia="Calibri" w:hAnsiTheme="majorHAnsi" w:cstheme="majorHAnsi"/>
                <w:sz w:val="24"/>
                <w:szCs w:val="24"/>
              </w:rPr>
            </w:pPr>
            <w:r w:rsidRPr="00D462F0">
              <w:rPr>
                <w:rFonts w:asciiTheme="majorHAnsi" w:eastAsia="Calibri" w:hAnsiTheme="majorHAnsi" w:cstheme="majorHAnsi"/>
                <w:sz w:val="24"/>
                <w:szCs w:val="24"/>
              </w:rPr>
              <w:t>XVI - premissas utilizadas no cálculo, a metodologia e a forma de precificação utilizadas na avaliação dos ativos financeiros sem cotação no mercado, inclusive os que compõem a carteira de fundos de investimentos, constantes do laudo de avaliação econômica, bem como as justificativas para a escolha do preço do ativo nos casos em que mais de uma opção seja apresentada pelo avaliador;</w:t>
            </w:r>
          </w:p>
          <w:p w14:paraId="179C1C32" w14:textId="77777777" w:rsidR="00EB19CA" w:rsidRPr="00D462F0" w:rsidRDefault="00EB19CA" w:rsidP="00D462F0">
            <w:pPr>
              <w:jc w:val="both"/>
              <w:rPr>
                <w:rFonts w:asciiTheme="majorHAnsi" w:hAnsiTheme="majorHAnsi" w:cstheme="majorHAnsi"/>
                <w:sz w:val="24"/>
                <w:szCs w:val="24"/>
              </w:rPr>
            </w:pPr>
          </w:p>
        </w:tc>
        <w:tc>
          <w:tcPr>
            <w:tcW w:w="4074" w:type="dxa"/>
          </w:tcPr>
          <w:p w14:paraId="5AF264FB" w14:textId="711A86A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2018E194" w14:textId="00F5ABBD" w:rsidR="00EB19CA" w:rsidRPr="00D462F0" w:rsidRDefault="00EB19CA" w:rsidP="00D462F0">
            <w:pPr>
              <w:jc w:val="both"/>
              <w:rPr>
                <w:rFonts w:asciiTheme="majorHAnsi" w:hAnsiTheme="majorHAnsi" w:cstheme="majorHAnsi"/>
                <w:sz w:val="24"/>
                <w:szCs w:val="24"/>
              </w:rPr>
            </w:pPr>
          </w:p>
        </w:tc>
        <w:tc>
          <w:tcPr>
            <w:tcW w:w="4075" w:type="dxa"/>
          </w:tcPr>
          <w:p w14:paraId="7592AFEC" w14:textId="77777777" w:rsidR="00EB19CA" w:rsidRPr="00D462F0" w:rsidRDefault="00EB19CA" w:rsidP="00D462F0">
            <w:pPr>
              <w:jc w:val="both"/>
              <w:rPr>
                <w:rFonts w:asciiTheme="majorHAnsi" w:hAnsiTheme="majorHAnsi" w:cstheme="majorHAnsi"/>
                <w:bCs/>
                <w:sz w:val="24"/>
                <w:szCs w:val="24"/>
              </w:rPr>
            </w:pPr>
          </w:p>
        </w:tc>
      </w:tr>
      <w:tr w:rsidR="00EB19CA" w:rsidRPr="00C93770" w14:paraId="6A4FAF7D" w14:textId="77777777" w:rsidTr="1756A420">
        <w:tc>
          <w:tcPr>
            <w:tcW w:w="4074" w:type="dxa"/>
          </w:tcPr>
          <w:p w14:paraId="53F22FE6" w14:textId="077C1CFC"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XVII - premissas utilizadas para avaliação de imóveis constantes do laudo de avaliação, bem como as justificativas para a escolha do preço do ativo nos casos em que mais de uma opção seja apresentada pelo avaliador;</w:t>
            </w:r>
          </w:p>
        </w:tc>
        <w:tc>
          <w:tcPr>
            <w:tcW w:w="4074" w:type="dxa"/>
          </w:tcPr>
          <w:p w14:paraId="0D247269" w14:textId="2753F27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4A45D02E" w14:textId="6BCA31B9" w:rsidR="00EB19CA" w:rsidRPr="00D462F0" w:rsidRDefault="00EB19CA" w:rsidP="00D462F0">
            <w:pPr>
              <w:jc w:val="both"/>
              <w:rPr>
                <w:rFonts w:asciiTheme="majorHAnsi" w:hAnsiTheme="majorHAnsi" w:cstheme="majorHAnsi"/>
                <w:sz w:val="24"/>
                <w:szCs w:val="24"/>
              </w:rPr>
            </w:pPr>
          </w:p>
        </w:tc>
        <w:tc>
          <w:tcPr>
            <w:tcW w:w="4075" w:type="dxa"/>
          </w:tcPr>
          <w:p w14:paraId="73504ABA" w14:textId="77777777" w:rsidR="00EB19CA" w:rsidRPr="00D462F0" w:rsidRDefault="00EB19CA" w:rsidP="00D462F0">
            <w:pPr>
              <w:jc w:val="both"/>
              <w:rPr>
                <w:rFonts w:asciiTheme="majorHAnsi" w:hAnsiTheme="majorHAnsi" w:cstheme="majorHAnsi"/>
                <w:bCs/>
                <w:sz w:val="24"/>
                <w:szCs w:val="24"/>
              </w:rPr>
            </w:pPr>
          </w:p>
        </w:tc>
      </w:tr>
      <w:tr w:rsidR="00EB19CA" w:rsidRPr="00C93770" w14:paraId="5B3CD382" w14:textId="77777777" w:rsidTr="1756A420">
        <w:tc>
          <w:tcPr>
            <w:tcW w:w="4074" w:type="dxa"/>
          </w:tcPr>
          <w:p w14:paraId="5F9DE9AD"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XVIII - controle e acompanhamento contábil e financeiro dos títulos objeto do ajuste de precificação contendo, no mínimo, a natureza, a quantidade e o montante de títulos por faixa de vencimento, o valor investido e o valor do ajuste posicionado na data de encerramento do exercício ou em decorrência de fato relevante;</w:t>
            </w:r>
          </w:p>
          <w:p w14:paraId="0E0C3A3C" w14:textId="77777777" w:rsidR="00EB19CA" w:rsidRPr="00D462F0" w:rsidRDefault="00EB19CA" w:rsidP="00D462F0">
            <w:pPr>
              <w:jc w:val="both"/>
              <w:rPr>
                <w:rFonts w:asciiTheme="majorHAnsi" w:hAnsiTheme="majorHAnsi" w:cstheme="majorHAnsi"/>
                <w:sz w:val="24"/>
                <w:szCs w:val="24"/>
              </w:rPr>
            </w:pPr>
          </w:p>
        </w:tc>
        <w:tc>
          <w:tcPr>
            <w:tcW w:w="4074" w:type="dxa"/>
          </w:tcPr>
          <w:p w14:paraId="0622D1E3" w14:textId="5F9EC50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00DAACE3" w14:textId="46E26BA9" w:rsidR="00EB19CA" w:rsidRPr="00D462F0" w:rsidRDefault="00EB19CA" w:rsidP="00D462F0">
            <w:pPr>
              <w:jc w:val="both"/>
              <w:rPr>
                <w:rFonts w:asciiTheme="majorHAnsi" w:hAnsiTheme="majorHAnsi" w:cstheme="majorHAnsi"/>
                <w:sz w:val="24"/>
                <w:szCs w:val="24"/>
              </w:rPr>
            </w:pPr>
          </w:p>
        </w:tc>
        <w:tc>
          <w:tcPr>
            <w:tcW w:w="4075" w:type="dxa"/>
          </w:tcPr>
          <w:p w14:paraId="60273583" w14:textId="77777777" w:rsidR="00EB19CA" w:rsidRPr="00D462F0" w:rsidRDefault="00EB19CA" w:rsidP="00D462F0">
            <w:pPr>
              <w:jc w:val="both"/>
              <w:rPr>
                <w:rFonts w:asciiTheme="majorHAnsi" w:hAnsiTheme="majorHAnsi" w:cstheme="majorHAnsi"/>
                <w:bCs/>
                <w:sz w:val="24"/>
                <w:szCs w:val="24"/>
              </w:rPr>
            </w:pPr>
          </w:p>
        </w:tc>
      </w:tr>
      <w:tr w:rsidR="00EB19CA" w:rsidRPr="00C93770" w14:paraId="00E4657C" w14:textId="77777777" w:rsidTr="1756A420">
        <w:tc>
          <w:tcPr>
            <w:tcW w:w="4074" w:type="dxa"/>
          </w:tcPr>
          <w:p w14:paraId="3C9BA2D4"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XIX - equacionamento de déficit técnico com indicação do plano de benefícios, do prazo, das taxas ou valores de contribuições, das contribuições extraordinárias de participantes, assistidos e patrocinadores, da eventual </w:t>
            </w:r>
            <w:r w:rsidRPr="00D462F0">
              <w:rPr>
                <w:rFonts w:asciiTheme="majorHAnsi" w:eastAsia="Calibri" w:hAnsiTheme="majorHAnsi" w:cstheme="majorHAnsi"/>
                <w:sz w:val="24"/>
                <w:szCs w:val="24"/>
              </w:rPr>
              <w:lastRenderedPageBreak/>
              <w:t>inadimplência e do tempo restante do equacionamento;</w:t>
            </w:r>
          </w:p>
          <w:p w14:paraId="478AFD44" w14:textId="77777777" w:rsidR="00EB19CA" w:rsidRPr="00D462F0" w:rsidRDefault="00EB19CA" w:rsidP="00D462F0">
            <w:pPr>
              <w:jc w:val="both"/>
              <w:rPr>
                <w:rFonts w:asciiTheme="majorHAnsi" w:hAnsiTheme="majorHAnsi" w:cstheme="majorHAnsi"/>
                <w:sz w:val="24"/>
                <w:szCs w:val="24"/>
              </w:rPr>
            </w:pPr>
          </w:p>
        </w:tc>
        <w:tc>
          <w:tcPr>
            <w:tcW w:w="4074" w:type="dxa"/>
          </w:tcPr>
          <w:p w14:paraId="3A22E7C7" w14:textId="2F0A9DC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lastRenderedPageBreak/>
              <w:t>Revogar</w:t>
            </w:r>
          </w:p>
        </w:tc>
        <w:tc>
          <w:tcPr>
            <w:tcW w:w="4074" w:type="dxa"/>
          </w:tcPr>
          <w:p w14:paraId="6822A178" w14:textId="77491586" w:rsidR="00EB19CA" w:rsidRPr="00D462F0" w:rsidRDefault="00EB19CA" w:rsidP="00D462F0">
            <w:pPr>
              <w:jc w:val="both"/>
              <w:rPr>
                <w:rFonts w:asciiTheme="majorHAnsi" w:hAnsiTheme="majorHAnsi" w:cstheme="majorHAnsi"/>
                <w:sz w:val="24"/>
                <w:szCs w:val="24"/>
              </w:rPr>
            </w:pPr>
          </w:p>
        </w:tc>
        <w:tc>
          <w:tcPr>
            <w:tcW w:w="4075" w:type="dxa"/>
          </w:tcPr>
          <w:p w14:paraId="1399732E" w14:textId="77777777" w:rsidR="00EB19CA" w:rsidRPr="00D462F0" w:rsidRDefault="00EB19CA" w:rsidP="00D462F0">
            <w:pPr>
              <w:jc w:val="both"/>
              <w:rPr>
                <w:rFonts w:asciiTheme="majorHAnsi" w:hAnsiTheme="majorHAnsi" w:cstheme="majorHAnsi"/>
                <w:bCs/>
                <w:sz w:val="24"/>
                <w:szCs w:val="24"/>
              </w:rPr>
            </w:pPr>
          </w:p>
        </w:tc>
      </w:tr>
      <w:tr w:rsidR="00EB19CA" w:rsidRPr="00C93770" w14:paraId="72F291DA" w14:textId="77777777" w:rsidTr="1756A420">
        <w:tc>
          <w:tcPr>
            <w:tcW w:w="4074" w:type="dxa"/>
          </w:tcPr>
          <w:p w14:paraId="7469BDD0"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XX - critérios e prazos utilizados para a destinação de superávit técnico, caso aplicável;</w:t>
            </w:r>
          </w:p>
          <w:p w14:paraId="5515FB3F" w14:textId="77777777" w:rsidR="00EB19CA" w:rsidRPr="00D462F0" w:rsidRDefault="00EB19CA" w:rsidP="00D462F0">
            <w:pPr>
              <w:jc w:val="both"/>
              <w:rPr>
                <w:rFonts w:asciiTheme="majorHAnsi" w:hAnsiTheme="majorHAnsi" w:cstheme="majorHAnsi"/>
                <w:sz w:val="24"/>
                <w:szCs w:val="24"/>
              </w:rPr>
            </w:pPr>
          </w:p>
        </w:tc>
        <w:tc>
          <w:tcPr>
            <w:tcW w:w="4074" w:type="dxa"/>
          </w:tcPr>
          <w:p w14:paraId="47547861" w14:textId="1F935CC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0E9AF40A" w14:textId="49CB9B6F" w:rsidR="00EB19CA" w:rsidRPr="00D462F0" w:rsidRDefault="00EB19CA" w:rsidP="00D462F0">
            <w:pPr>
              <w:jc w:val="both"/>
              <w:rPr>
                <w:rFonts w:asciiTheme="majorHAnsi" w:hAnsiTheme="majorHAnsi" w:cstheme="majorHAnsi"/>
                <w:sz w:val="24"/>
                <w:szCs w:val="24"/>
              </w:rPr>
            </w:pPr>
          </w:p>
        </w:tc>
        <w:tc>
          <w:tcPr>
            <w:tcW w:w="4075" w:type="dxa"/>
          </w:tcPr>
          <w:p w14:paraId="6990CC18" w14:textId="77777777" w:rsidR="00EB19CA" w:rsidRPr="00D462F0" w:rsidRDefault="00EB19CA" w:rsidP="00D462F0">
            <w:pPr>
              <w:jc w:val="both"/>
              <w:rPr>
                <w:rFonts w:asciiTheme="majorHAnsi" w:hAnsiTheme="majorHAnsi" w:cstheme="majorHAnsi"/>
                <w:bCs/>
                <w:sz w:val="24"/>
                <w:szCs w:val="24"/>
              </w:rPr>
            </w:pPr>
          </w:p>
        </w:tc>
      </w:tr>
      <w:tr w:rsidR="00EB19CA" w:rsidRPr="00C93770" w14:paraId="14F913AF" w14:textId="77777777" w:rsidTr="1756A420">
        <w:tc>
          <w:tcPr>
            <w:tcW w:w="4074" w:type="dxa"/>
          </w:tcPr>
          <w:p w14:paraId="03EF6BE7"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XXI - títulos públicos federais classificados na categoria "títulos mantidos até o vencimento", negociados no período, especificando a data da negociação, quantidade negociada, valor total negociado, o efeito no resultado e a justificativa para negociação;</w:t>
            </w:r>
          </w:p>
          <w:p w14:paraId="5ED24FEE" w14:textId="77777777" w:rsidR="00EB19CA" w:rsidRPr="00D462F0" w:rsidRDefault="00EB19CA" w:rsidP="00D462F0">
            <w:pPr>
              <w:jc w:val="both"/>
              <w:rPr>
                <w:rFonts w:asciiTheme="majorHAnsi" w:hAnsiTheme="majorHAnsi" w:cstheme="majorHAnsi"/>
                <w:sz w:val="24"/>
                <w:szCs w:val="24"/>
              </w:rPr>
            </w:pPr>
          </w:p>
        </w:tc>
        <w:tc>
          <w:tcPr>
            <w:tcW w:w="4074" w:type="dxa"/>
          </w:tcPr>
          <w:p w14:paraId="4551417D" w14:textId="3345180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594A450E" w14:textId="2316BE94" w:rsidR="00EB19CA" w:rsidRPr="00D462F0" w:rsidRDefault="00EB19CA" w:rsidP="00D462F0">
            <w:pPr>
              <w:jc w:val="both"/>
              <w:rPr>
                <w:rFonts w:asciiTheme="majorHAnsi" w:hAnsiTheme="majorHAnsi" w:cstheme="majorHAnsi"/>
                <w:sz w:val="24"/>
                <w:szCs w:val="24"/>
              </w:rPr>
            </w:pPr>
          </w:p>
        </w:tc>
        <w:tc>
          <w:tcPr>
            <w:tcW w:w="4075" w:type="dxa"/>
          </w:tcPr>
          <w:p w14:paraId="11481277" w14:textId="77777777" w:rsidR="00EB19CA" w:rsidRPr="00D462F0" w:rsidRDefault="00EB19CA" w:rsidP="00D462F0">
            <w:pPr>
              <w:jc w:val="both"/>
              <w:rPr>
                <w:rFonts w:asciiTheme="majorHAnsi" w:hAnsiTheme="majorHAnsi" w:cstheme="majorHAnsi"/>
                <w:bCs/>
                <w:sz w:val="24"/>
                <w:szCs w:val="24"/>
              </w:rPr>
            </w:pPr>
          </w:p>
        </w:tc>
      </w:tr>
      <w:tr w:rsidR="00EB19CA" w:rsidRPr="00C93770" w14:paraId="0AE6985C" w14:textId="77777777" w:rsidTr="1756A420">
        <w:tc>
          <w:tcPr>
            <w:tcW w:w="4074" w:type="dxa"/>
          </w:tcPr>
          <w:p w14:paraId="2D49DB84"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XXII - títulos públicos federais reclassificados da categoria "títulos mantidos até o vencimento" para “títulos mantidos para negociação”;</w:t>
            </w:r>
          </w:p>
          <w:p w14:paraId="3274D9BF" w14:textId="77777777" w:rsidR="00EB19CA" w:rsidRPr="00D462F0" w:rsidRDefault="00EB19CA" w:rsidP="00D462F0">
            <w:pPr>
              <w:jc w:val="both"/>
              <w:rPr>
                <w:rFonts w:asciiTheme="majorHAnsi" w:hAnsiTheme="majorHAnsi" w:cstheme="majorHAnsi"/>
                <w:sz w:val="24"/>
                <w:szCs w:val="24"/>
              </w:rPr>
            </w:pPr>
          </w:p>
        </w:tc>
        <w:tc>
          <w:tcPr>
            <w:tcW w:w="4074" w:type="dxa"/>
          </w:tcPr>
          <w:p w14:paraId="47D23E91" w14:textId="0E57346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67B713C5" w14:textId="3A99F1A8" w:rsidR="00EB19CA" w:rsidRPr="00D462F0" w:rsidRDefault="00EB19CA" w:rsidP="00D462F0">
            <w:pPr>
              <w:jc w:val="both"/>
              <w:rPr>
                <w:rFonts w:asciiTheme="majorHAnsi" w:hAnsiTheme="majorHAnsi" w:cstheme="majorHAnsi"/>
                <w:sz w:val="24"/>
                <w:szCs w:val="24"/>
              </w:rPr>
            </w:pPr>
          </w:p>
        </w:tc>
        <w:tc>
          <w:tcPr>
            <w:tcW w:w="4075" w:type="dxa"/>
          </w:tcPr>
          <w:p w14:paraId="757E5743" w14:textId="77777777" w:rsidR="00EB19CA" w:rsidRPr="00D462F0" w:rsidRDefault="00EB19CA" w:rsidP="00D462F0">
            <w:pPr>
              <w:jc w:val="both"/>
              <w:rPr>
                <w:rFonts w:asciiTheme="majorHAnsi" w:hAnsiTheme="majorHAnsi" w:cstheme="majorHAnsi"/>
                <w:bCs/>
                <w:sz w:val="24"/>
                <w:szCs w:val="24"/>
              </w:rPr>
            </w:pPr>
          </w:p>
        </w:tc>
      </w:tr>
      <w:tr w:rsidR="00EB19CA" w:rsidRPr="00C93770" w14:paraId="66422286" w14:textId="77777777" w:rsidTr="1756A420">
        <w:tc>
          <w:tcPr>
            <w:tcW w:w="4074" w:type="dxa"/>
          </w:tcPr>
          <w:p w14:paraId="44170147"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XXIII - utilização de recursos de fundo previdencial para cobertura parcial ou total das contribuições para o plano de benefícios;</w:t>
            </w:r>
          </w:p>
          <w:p w14:paraId="4B6FAE01" w14:textId="77777777" w:rsidR="00EB19CA" w:rsidRPr="00D462F0" w:rsidRDefault="00EB19CA" w:rsidP="00D462F0">
            <w:pPr>
              <w:jc w:val="both"/>
              <w:rPr>
                <w:rFonts w:asciiTheme="majorHAnsi" w:hAnsiTheme="majorHAnsi" w:cstheme="majorHAnsi"/>
                <w:sz w:val="24"/>
                <w:szCs w:val="24"/>
              </w:rPr>
            </w:pPr>
          </w:p>
        </w:tc>
        <w:tc>
          <w:tcPr>
            <w:tcW w:w="4074" w:type="dxa"/>
          </w:tcPr>
          <w:p w14:paraId="16733921" w14:textId="2C6498E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5D635584" w14:textId="3ED89538" w:rsidR="00EB19CA" w:rsidRPr="00D462F0" w:rsidRDefault="00EB19CA" w:rsidP="00D462F0">
            <w:pPr>
              <w:jc w:val="both"/>
              <w:rPr>
                <w:rFonts w:asciiTheme="majorHAnsi" w:hAnsiTheme="majorHAnsi" w:cstheme="majorHAnsi"/>
                <w:sz w:val="24"/>
                <w:szCs w:val="24"/>
              </w:rPr>
            </w:pPr>
          </w:p>
        </w:tc>
        <w:tc>
          <w:tcPr>
            <w:tcW w:w="4075" w:type="dxa"/>
          </w:tcPr>
          <w:p w14:paraId="46D4A170" w14:textId="77777777" w:rsidR="00EB19CA" w:rsidRPr="00D462F0" w:rsidRDefault="00EB19CA" w:rsidP="00D462F0">
            <w:pPr>
              <w:jc w:val="both"/>
              <w:rPr>
                <w:rFonts w:asciiTheme="majorHAnsi" w:hAnsiTheme="majorHAnsi" w:cstheme="majorHAnsi"/>
                <w:bCs/>
                <w:sz w:val="24"/>
                <w:szCs w:val="24"/>
              </w:rPr>
            </w:pPr>
          </w:p>
        </w:tc>
      </w:tr>
      <w:tr w:rsidR="00EB19CA" w:rsidRPr="00C93770" w14:paraId="39F091D2" w14:textId="77777777" w:rsidTr="1756A420">
        <w:tc>
          <w:tcPr>
            <w:tcW w:w="4074" w:type="dxa"/>
          </w:tcPr>
          <w:p w14:paraId="20672642"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XXIV - operações com patrocinador, incluindo detalhamento dos ativos financeiros e de recebíveis, indicando o grau de dependência (percentual apurado pela soma de ativos financeiros e recebíveis junto aos patrocinadores em relação ao ativo total) por plano de benefícios;</w:t>
            </w:r>
          </w:p>
          <w:p w14:paraId="00561E58" w14:textId="77777777" w:rsidR="00EB19CA" w:rsidRPr="00D462F0" w:rsidRDefault="00EB19CA" w:rsidP="00D462F0">
            <w:pPr>
              <w:jc w:val="both"/>
              <w:rPr>
                <w:rFonts w:asciiTheme="majorHAnsi" w:hAnsiTheme="majorHAnsi" w:cstheme="majorHAnsi"/>
                <w:sz w:val="24"/>
                <w:szCs w:val="24"/>
              </w:rPr>
            </w:pPr>
          </w:p>
        </w:tc>
        <w:tc>
          <w:tcPr>
            <w:tcW w:w="4074" w:type="dxa"/>
          </w:tcPr>
          <w:p w14:paraId="02D6BEA9" w14:textId="35DCEF2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035CFEB7" w14:textId="15E1615C" w:rsidR="00EB19CA" w:rsidRPr="00D462F0" w:rsidRDefault="00EB19CA" w:rsidP="00D462F0">
            <w:pPr>
              <w:jc w:val="both"/>
              <w:rPr>
                <w:rFonts w:asciiTheme="majorHAnsi" w:hAnsiTheme="majorHAnsi" w:cstheme="majorHAnsi"/>
                <w:sz w:val="24"/>
                <w:szCs w:val="24"/>
              </w:rPr>
            </w:pPr>
          </w:p>
        </w:tc>
        <w:tc>
          <w:tcPr>
            <w:tcW w:w="4075" w:type="dxa"/>
          </w:tcPr>
          <w:p w14:paraId="21A45F81" w14:textId="77777777" w:rsidR="00EB19CA" w:rsidRPr="00D462F0" w:rsidRDefault="00EB19CA" w:rsidP="00D462F0">
            <w:pPr>
              <w:jc w:val="both"/>
              <w:rPr>
                <w:rFonts w:asciiTheme="majorHAnsi" w:hAnsiTheme="majorHAnsi" w:cstheme="majorHAnsi"/>
                <w:bCs/>
                <w:sz w:val="24"/>
                <w:szCs w:val="24"/>
              </w:rPr>
            </w:pPr>
          </w:p>
        </w:tc>
      </w:tr>
      <w:tr w:rsidR="00EB19CA" w:rsidRPr="00C93770" w14:paraId="2BB69C0F" w14:textId="77777777" w:rsidTr="1756A420">
        <w:tc>
          <w:tcPr>
            <w:tcW w:w="4074" w:type="dxa"/>
          </w:tcPr>
          <w:p w14:paraId="41546775"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XXV - identificação dos perfis de investimentos de participantes em </w:t>
            </w:r>
            <w:r w:rsidRPr="00D462F0">
              <w:rPr>
                <w:rFonts w:asciiTheme="majorHAnsi" w:eastAsia="Calibri" w:hAnsiTheme="majorHAnsi" w:cstheme="majorHAnsi"/>
                <w:sz w:val="24"/>
                <w:szCs w:val="24"/>
              </w:rPr>
              <w:lastRenderedPageBreak/>
              <w:t>planos de benefícios de caráter previdencial e suas características; e</w:t>
            </w:r>
          </w:p>
          <w:p w14:paraId="5D16FF17" w14:textId="77777777" w:rsidR="00EB19CA" w:rsidRPr="00D462F0" w:rsidRDefault="00EB19CA" w:rsidP="00D462F0">
            <w:pPr>
              <w:jc w:val="both"/>
              <w:rPr>
                <w:rFonts w:asciiTheme="majorHAnsi" w:hAnsiTheme="majorHAnsi" w:cstheme="majorHAnsi"/>
                <w:sz w:val="24"/>
                <w:szCs w:val="24"/>
              </w:rPr>
            </w:pPr>
          </w:p>
        </w:tc>
        <w:tc>
          <w:tcPr>
            <w:tcW w:w="4074" w:type="dxa"/>
          </w:tcPr>
          <w:p w14:paraId="5644F6C3" w14:textId="64F0E55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lastRenderedPageBreak/>
              <w:t>Revogar</w:t>
            </w:r>
          </w:p>
        </w:tc>
        <w:tc>
          <w:tcPr>
            <w:tcW w:w="4074" w:type="dxa"/>
          </w:tcPr>
          <w:p w14:paraId="2EBB75C6" w14:textId="0260BC00" w:rsidR="00EB19CA" w:rsidRPr="00D462F0" w:rsidRDefault="00EB19CA" w:rsidP="00D462F0">
            <w:pPr>
              <w:jc w:val="both"/>
              <w:rPr>
                <w:rFonts w:asciiTheme="majorHAnsi" w:hAnsiTheme="majorHAnsi" w:cstheme="majorHAnsi"/>
                <w:sz w:val="24"/>
                <w:szCs w:val="24"/>
              </w:rPr>
            </w:pPr>
          </w:p>
        </w:tc>
        <w:tc>
          <w:tcPr>
            <w:tcW w:w="4075" w:type="dxa"/>
          </w:tcPr>
          <w:p w14:paraId="68A20C16" w14:textId="77777777" w:rsidR="00EB19CA" w:rsidRPr="00D462F0" w:rsidRDefault="00EB19CA" w:rsidP="00D462F0">
            <w:pPr>
              <w:jc w:val="both"/>
              <w:rPr>
                <w:rFonts w:asciiTheme="majorHAnsi" w:hAnsiTheme="majorHAnsi" w:cstheme="majorHAnsi"/>
                <w:bCs/>
                <w:sz w:val="24"/>
                <w:szCs w:val="24"/>
              </w:rPr>
            </w:pPr>
          </w:p>
        </w:tc>
      </w:tr>
      <w:tr w:rsidR="00EB19CA" w:rsidRPr="00C93770" w14:paraId="2C400C74" w14:textId="77777777" w:rsidTr="1756A420">
        <w:tc>
          <w:tcPr>
            <w:tcW w:w="4074" w:type="dxa"/>
          </w:tcPr>
          <w:p w14:paraId="178DACCA" w14:textId="69B7F4E4" w:rsidR="00EB19CA" w:rsidRPr="00D462F0" w:rsidRDefault="00EB19CA" w:rsidP="00D462F0">
            <w:pPr>
              <w:jc w:val="both"/>
              <w:rPr>
                <w:rFonts w:asciiTheme="majorHAnsi" w:hAnsiTheme="majorHAnsi" w:cstheme="majorHAnsi"/>
                <w:sz w:val="24"/>
                <w:szCs w:val="24"/>
              </w:rPr>
            </w:pPr>
            <w:bookmarkStart w:id="1" w:name="_Hlk205977014"/>
            <w:r w:rsidRPr="00D462F0">
              <w:rPr>
                <w:rFonts w:asciiTheme="majorHAnsi" w:hAnsiTheme="majorHAnsi" w:cstheme="majorHAnsi"/>
                <w:sz w:val="24"/>
                <w:szCs w:val="24"/>
              </w:rPr>
              <w:t xml:space="preserve">XXVI - operações entre partes relacionadas com, no mínimo, condições pactuadas e os montantes dos saldos existentes das transações, bem como a provisão para créditos de liquidação duvidosa </w:t>
            </w:r>
            <w:bookmarkEnd w:id="1"/>
            <w:r w:rsidRPr="00D462F0">
              <w:rPr>
                <w:rFonts w:asciiTheme="majorHAnsi" w:hAnsiTheme="majorHAnsi" w:cstheme="majorHAnsi"/>
                <w:sz w:val="24"/>
                <w:szCs w:val="24"/>
              </w:rPr>
              <w:t>relacionada com o montante dos saldos existentes.</w:t>
            </w:r>
          </w:p>
        </w:tc>
        <w:tc>
          <w:tcPr>
            <w:tcW w:w="4074" w:type="dxa"/>
          </w:tcPr>
          <w:p w14:paraId="312A83D8" w14:textId="45F26B7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4710D3BA" w14:textId="5418FA9B" w:rsidR="00EB19CA" w:rsidRPr="00D462F0" w:rsidRDefault="00EB19CA" w:rsidP="00D462F0">
            <w:pPr>
              <w:jc w:val="both"/>
              <w:rPr>
                <w:rFonts w:asciiTheme="majorHAnsi" w:hAnsiTheme="majorHAnsi" w:cstheme="majorHAnsi"/>
                <w:sz w:val="24"/>
                <w:szCs w:val="24"/>
              </w:rPr>
            </w:pPr>
          </w:p>
        </w:tc>
        <w:tc>
          <w:tcPr>
            <w:tcW w:w="4075" w:type="dxa"/>
          </w:tcPr>
          <w:p w14:paraId="6B9773BD" w14:textId="77777777" w:rsidR="00EB19CA" w:rsidRPr="00D462F0" w:rsidRDefault="00EB19CA" w:rsidP="00D462F0">
            <w:pPr>
              <w:jc w:val="both"/>
              <w:rPr>
                <w:rFonts w:asciiTheme="majorHAnsi" w:hAnsiTheme="majorHAnsi" w:cstheme="majorHAnsi"/>
                <w:bCs/>
                <w:sz w:val="24"/>
                <w:szCs w:val="24"/>
              </w:rPr>
            </w:pPr>
          </w:p>
        </w:tc>
      </w:tr>
      <w:tr w:rsidR="00EB19CA" w:rsidRPr="00C93770" w14:paraId="79676A59" w14:textId="77777777" w:rsidTr="1756A420">
        <w:tc>
          <w:tcPr>
            <w:tcW w:w="4074" w:type="dxa"/>
          </w:tcPr>
          <w:p w14:paraId="302A7C1C" w14:textId="745DA82B"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56F76528" w14:textId="734819CF" w:rsidR="00EB19CA" w:rsidRPr="00D462F0" w:rsidRDefault="00EB19CA" w:rsidP="00D462F0">
            <w:pPr>
              <w:spacing w:after="20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Art. 208-A.</w:t>
            </w:r>
            <w:r w:rsidR="004153BF"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 xml:space="preserve"> As EFPC devem elaborar e apresentar as Notas Explicativas às Demonstrações Contábeis seguindo obrigatoriamente a ordem dos incisos deste artigo, contendo, no mínimo, as informações neles previstas, segregadas, quando possível, por planos de benefícios e pelo Plano de Gestão Administrativa:</w:t>
            </w:r>
          </w:p>
          <w:p w14:paraId="68E7F9F6"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6BF093A2"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 inclusão do artigo 208-A em substituição ao art. 208, tendo o objetivo de estabelecer ordem mínima padronizada de forma a garantir uniformidade na apresentação das informações, facilitando a leitura técnica, a análise comparativa entre entidades e o acompanhamento pelo órgão fiscalizador. Além disso, atende aos princípios da compreensibilidade e comparabilidade, fundamentais na estrutura conceitual da contabilidade prevista no CPC 00 (R2). Atualmente, a ausência de um modelo sequencial tem gerado divergências na forma de exposição das informações, dificultando a análise técnica. Além disso, verificou-se a necessidade de incluir e readequar alguns incisos, demandados por áreas técnicas internas e externas.</w:t>
            </w:r>
          </w:p>
          <w:p w14:paraId="266D50A0" w14:textId="77777777" w:rsidR="00EB19CA" w:rsidRPr="00D462F0" w:rsidRDefault="00EB19CA" w:rsidP="00D462F0">
            <w:pPr>
              <w:jc w:val="both"/>
              <w:rPr>
                <w:rFonts w:asciiTheme="majorHAnsi" w:hAnsiTheme="majorHAnsi" w:cstheme="majorHAnsi"/>
                <w:sz w:val="24"/>
                <w:szCs w:val="24"/>
              </w:rPr>
            </w:pPr>
          </w:p>
        </w:tc>
        <w:tc>
          <w:tcPr>
            <w:tcW w:w="4075" w:type="dxa"/>
          </w:tcPr>
          <w:p w14:paraId="64C951FC"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III do art. 4º do Decreto nº 10.411/2020.</w:t>
            </w:r>
          </w:p>
          <w:p w14:paraId="4E58EE1B" w14:textId="17459DF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dispensa de AIR está baseada em ato normativo de baixo impacto, pois trata de substituição de artigo (art. 208) para ficar mais claro para o leitor, pois verificou-se a necessidade de inclusão e reordenamento de incisos. </w:t>
            </w:r>
          </w:p>
          <w:p w14:paraId="4ABAC013" w14:textId="44B359B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As alterações e inclusões propostas são pontuais para trazer maior transparência para as notas explicativas. </w:t>
            </w:r>
          </w:p>
        </w:tc>
      </w:tr>
      <w:tr w:rsidR="00EB19CA" w:rsidRPr="00C93770" w14:paraId="4F6411C9" w14:textId="77777777" w:rsidTr="1756A420">
        <w:tc>
          <w:tcPr>
            <w:tcW w:w="4074" w:type="dxa"/>
          </w:tcPr>
          <w:p w14:paraId="0F67C32F" w14:textId="77777777" w:rsidR="00EB19CA" w:rsidRPr="00D462F0" w:rsidRDefault="00EB19CA" w:rsidP="00D462F0">
            <w:pPr>
              <w:jc w:val="both"/>
              <w:rPr>
                <w:rFonts w:asciiTheme="majorHAnsi" w:hAnsiTheme="majorHAnsi" w:cstheme="majorHAnsi"/>
                <w:sz w:val="24"/>
                <w:szCs w:val="24"/>
              </w:rPr>
            </w:pPr>
          </w:p>
        </w:tc>
        <w:tc>
          <w:tcPr>
            <w:tcW w:w="4074" w:type="dxa"/>
          </w:tcPr>
          <w:p w14:paraId="1AB79674" w14:textId="2F85045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 - contexto operacional das EFPC, incluindo resumo das principais práticas contábeis, relação dos itens avaliados, descrição dos critérios adotados nos períodos, anterior e atual, e eventuais </w:t>
            </w:r>
            <w:r w:rsidRPr="00D462F0">
              <w:rPr>
                <w:rFonts w:asciiTheme="majorHAnsi" w:hAnsiTheme="majorHAnsi" w:cstheme="majorHAnsi"/>
                <w:bCs/>
                <w:color w:val="0000FF"/>
                <w:sz w:val="24"/>
                <w:szCs w:val="24"/>
              </w:rPr>
              <w:lastRenderedPageBreak/>
              <w:t>efeitos decorrentes de mudanças de critérios;</w:t>
            </w:r>
          </w:p>
        </w:tc>
        <w:tc>
          <w:tcPr>
            <w:tcW w:w="4074" w:type="dxa"/>
          </w:tcPr>
          <w:p w14:paraId="10139259" w14:textId="1D044F0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Inciso I do art. 208</w:t>
            </w:r>
          </w:p>
        </w:tc>
        <w:tc>
          <w:tcPr>
            <w:tcW w:w="4075" w:type="dxa"/>
          </w:tcPr>
          <w:p w14:paraId="59E20844" w14:textId="4959909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570E8FAC" w14:textId="77777777" w:rsidTr="1756A420">
        <w:tc>
          <w:tcPr>
            <w:tcW w:w="4074" w:type="dxa"/>
          </w:tcPr>
          <w:p w14:paraId="4D0B3A3D" w14:textId="77777777" w:rsidR="00EB19CA" w:rsidRPr="00D462F0" w:rsidRDefault="00EB19CA" w:rsidP="00D462F0">
            <w:pPr>
              <w:jc w:val="both"/>
              <w:rPr>
                <w:rFonts w:asciiTheme="majorHAnsi" w:hAnsiTheme="majorHAnsi" w:cstheme="majorHAnsi"/>
                <w:sz w:val="24"/>
                <w:szCs w:val="24"/>
              </w:rPr>
            </w:pPr>
          </w:p>
        </w:tc>
        <w:tc>
          <w:tcPr>
            <w:tcW w:w="4074" w:type="dxa"/>
          </w:tcPr>
          <w:p w14:paraId="0C0C0BA2" w14:textId="77777777" w:rsidR="00EB19CA" w:rsidRPr="00D462F0" w:rsidRDefault="00EB19CA" w:rsidP="00D462F0">
            <w:pPr>
              <w:spacing w:after="16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II - composição da carteira de investimentos, em comparação com a do exercício anterior;</w:t>
            </w:r>
          </w:p>
          <w:p w14:paraId="42C6176B"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447D34DE" w14:textId="4526EA1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à reorganização do ordenamento do conteúdo mínimo das notas explicativas, o inciso IX do art. 208 foi realocado para inciso II do art. 208-A.</w:t>
            </w:r>
          </w:p>
        </w:tc>
        <w:tc>
          <w:tcPr>
            <w:tcW w:w="4075" w:type="dxa"/>
          </w:tcPr>
          <w:p w14:paraId="1262100D" w14:textId="00F0577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607C968" w14:textId="77777777" w:rsidTr="1756A420">
        <w:tc>
          <w:tcPr>
            <w:tcW w:w="4074" w:type="dxa"/>
          </w:tcPr>
          <w:p w14:paraId="64AAA83A" w14:textId="77777777" w:rsidR="00EB19CA" w:rsidRPr="00D462F0" w:rsidRDefault="00EB19CA" w:rsidP="00D462F0">
            <w:pPr>
              <w:jc w:val="both"/>
              <w:rPr>
                <w:rFonts w:asciiTheme="majorHAnsi" w:hAnsiTheme="majorHAnsi" w:cstheme="majorHAnsi"/>
                <w:sz w:val="24"/>
                <w:szCs w:val="24"/>
              </w:rPr>
            </w:pPr>
          </w:p>
        </w:tc>
        <w:tc>
          <w:tcPr>
            <w:tcW w:w="4074" w:type="dxa"/>
          </w:tcPr>
          <w:p w14:paraId="0204A4BF" w14:textId="1F575C06"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III - títulos públicos federais classificados na categoria "títulos mantidos até o vencimento", negociados no período, especificando a data da negociação, quantidade negociada, valor total negociado, o efeito no resultado e a justificativa para negociação;</w:t>
            </w:r>
          </w:p>
        </w:tc>
        <w:tc>
          <w:tcPr>
            <w:tcW w:w="4074" w:type="dxa"/>
          </w:tcPr>
          <w:p w14:paraId="0730E78A" w14:textId="7572211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à reorganização do ordenamento do conteúdo mínimo das notas explicativas, o inciso XXI do art. 208 foi realocado para inciso III do art. 208-A.</w:t>
            </w:r>
          </w:p>
        </w:tc>
        <w:tc>
          <w:tcPr>
            <w:tcW w:w="4075" w:type="dxa"/>
          </w:tcPr>
          <w:p w14:paraId="7A2F5CCB" w14:textId="366BEBD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CF85F84" w14:textId="77777777" w:rsidTr="1756A420">
        <w:tc>
          <w:tcPr>
            <w:tcW w:w="4074" w:type="dxa"/>
          </w:tcPr>
          <w:p w14:paraId="73C65419" w14:textId="77777777" w:rsidR="00EB19CA" w:rsidRPr="00D462F0" w:rsidRDefault="00EB19CA" w:rsidP="00D462F0">
            <w:pPr>
              <w:jc w:val="both"/>
              <w:rPr>
                <w:rFonts w:asciiTheme="majorHAnsi" w:hAnsiTheme="majorHAnsi" w:cstheme="majorHAnsi"/>
                <w:sz w:val="24"/>
                <w:szCs w:val="24"/>
              </w:rPr>
            </w:pPr>
          </w:p>
        </w:tc>
        <w:tc>
          <w:tcPr>
            <w:tcW w:w="4074" w:type="dxa"/>
          </w:tcPr>
          <w:p w14:paraId="6544A5F2" w14:textId="77777777" w:rsidR="00EB19CA" w:rsidRPr="00D462F0" w:rsidRDefault="00EB19CA" w:rsidP="00D462F0">
            <w:pPr>
              <w:spacing w:after="16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IV - títulos públicos federais reclassificados da categoria "títulos mantidos até o vencimento" para “títulos mantidos para negociação”;</w:t>
            </w:r>
          </w:p>
          <w:p w14:paraId="1A954190"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6B00FC2A" w14:textId="159F304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XXII do art. 208 foi realocado para inciso IV do art. 208-A.</w:t>
            </w:r>
          </w:p>
        </w:tc>
        <w:tc>
          <w:tcPr>
            <w:tcW w:w="4075" w:type="dxa"/>
          </w:tcPr>
          <w:p w14:paraId="1FD6C2B5" w14:textId="170AB9F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32848DCC" w14:textId="77777777" w:rsidTr="1756A420">
        <w:tc>
          <w:tcPr>
            <w:tcW w:w="4074" w:type="dxa"/>
          </w:tcPr>
          <w:p w14:paraId="2F75028D" w14:textId="77777777" w:rsidR="00EB19CA" w:rsidRPr="00D462F0" w:rsidRDefault="00EB19CA" w:rsidP="00D462F0">
            <w:pPr>
              <w:jc w:val="both"/>
              <w:rPr>
                <w:rFonts w:asciiTheme="majorHAnsi" w:hAnsiTheme="majorHAnsi" w:cstheme="majorHAnsi"/>
                <w:sz w:val="24"/>
                <w:szCs w:val="24"/>
              </w:rPr>
            </w:pPr>
          </w:p>
        </w:tc>
        <w:tc>
          <w:tcPr>
            <w:tcW w:w="4074" w:type="dxa"/>
          </w:tcPr>
          <w:p w14:paraId="118D848A" w14:textId="77777777" w:rsidR="00EB19CA" w:rsidRPr="00D462F0" w:rsidRDefault="00EB19CA" w:rsidP="00D462F0">
            <w:pPr>
              <w:spacing w:after="16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V - premissas utilizadas no cálculo, a metodologia e a forma de precificação utilizadas na avaliação dos ativos financeiros sem cotação no mercado, inclusive os que compõem a carteira de fundos de investimentos, constantes do laudo de avaliação econômica, bem como as justificativas para a escolha do preço do ativo nos casos em que mais de uma opção seja apresentada pelo avaliador;</w:t>
            </w:r>
          </w:p>
          <w:p w14:paraId="36EFAC85"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7D22580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XVI do art. 208 foi realocado para inciso V do art. 208-A.</w:t>
            </w:r>
          </w:p>
          <w:p w14:paraId="23BA473B" w14:textId="77777777" w:rsidR="00EB19CA" w:rsidRPr="00D462F0" w:rsidRDefault="00EB19CA" w:rsidP="00D462F0">
            <w:pPr>
              <w:jc w:val="both"/>
              <w:rPr>
                <w:rFonts w:asciiTheme="majorHAnsi" w:hAnsiTheme="majorHAnsi" w:cstheme="majorHAnsi"/>
                <w:sz w:val="24"/>
                <w:szCs w:val="24"/>
              </w:rPr>
            </w:pPr>
          </w:p>
        </w:tc>
        <w:tc>
          <w:tcPr>
            <w:tcW w:w="4075" w:type="dxa"/>
          </w:tcPr>
          <w:p w14:paraId="3C4B5EE7" w14:textId="29970F3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44C2CE89" w14:textId="77777777" w:rsidTr="1756A420">
        <w:tc>
          <w:tcPr>
            <w:tcW w:w="4074" w:type="dxa"/>
          </w:tcPr>
          <w:p w14:paraId="2240A8B2" w14:textId="77777777" w:rsidR="00EB19CA" w:rsidRPr="00D462F0" w:rsidRDefault="00EB19CA" w:rsidP="00D462F0">
            <w:pPr>
              <w:jc w:val="both"/>
              <w:rPr>
                <w:rFonts w:asciiTheme="majorHAnsi" w:hAnsiTheme="majorHAnsi" w:cstheme="majorHAnsi"/>
                <w:sz w:val="24"/>
                <w:szCs w:val="24"/>
              </w:rPr>
            </w:pPr>
          </w:p>
        </w:tc>
        <w:tc>
          <w:tcPr>
            <w:tcW w:w="4074" w:type="dxa"/>
          </w:tcPr>
          <w:p w14:paraId="2594897C" w14:textId="232F2D03"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VI - controle e acompanhamento contábil e financeiro dos títulos objeto do ajuste de precificação contendo, no mínimo, a natureza, a quantidade e o montante de títulos por faixa de </w:t>
            </w:r>
            <w:r w:rsidRPr="00D462F0">
              <w:rPr>
                <w:rFonts w:asciiTheme="majorHAnsi" w:hAnsiTheme="majorHAnsi" w:cstheme="majorHAnsi"/>
                <w:bCs/>
                <w:color w:val="0000FF"/>
                <w:sz w:val="24"/>
                <w:szCs w:val="24"/>
              </w:rPr>
              <w:lastRenderedPageBreak/>
              <w:t>vencimento, o valor investido e o valor do ajuste posicionado na data de encerramento do exercício ou em decorrência de fato relevante;</w:t>
            </w:r>
          </w:p>
        </w:tc>
        <w:tc>
          <w:tcPr>
            <w:tcW w:w="4074" w:type="dxa"/>
          </w:tcPr>
          <w:p w14:paraId="63DE8DE0"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Devido a reorganização do ordenamento do conteúdo mínimo das notas explicativas, o inciso XVIII do art. 208 foi realocado para inciso VI do art. 208-A.</w:t>
            </w:r>
          </w:p>
          <w:p w14:paraId="4E6B2533" w14:textId="77777777" w:rsidR="00EB19CA" w:rsidRPr="00D462F0" w:rsidRDefault="00EB19CA" w:rsidP="00D462F0">
            <w:pPr>
              <w:jc w:val="both"/>
              <w:rPr>
                <w:rFonts w:asciiTheme="majorHAnsi" w:hAnsiTheme="majorHAnsi" w:cstheme="majorHAnsi"/>
                <w:sz w:val="24"/>
                <w:szCs w:val="24"/>
              </w:rPr>
            </w:pPr>
          </w:p>
        </w:tc>
        <w:tc>
          <w:tcPr>
            <w:tcW w:w="4075" w:type="dxa"/>
          </w:tcPr>
          <w:p w14:paraId="7F7EF67B" w14:textId="6BF5B6A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Idem art. 208-A.</w:t>
            </w:r>
          </w:p>
        </w:tc>
      </w:tr>
      <w:tr w:rsidR="00EB19CA" w:rsidRPr="00C93770" w14:paraId="3A96BAAE" w14:textId="77777777" w:rsidTr="1756A420">
        <w:tc>
          <w:tcPr>
            <w:tcW w:w="4074" w:type="dxa"/>
          </w:tcPr>
          <w:p w14:paraId="007A2F5F" w14:textId="77777777" w:rsidR="00EB19CA" w:rsidRPr="00D462F0" w:rsidRDefault="00EB19CA" w:rsidP="00D462F0">
            <w:pPr>
              <w:jc w:val="both"/>
              <w:rPr>
                <w:rFonts w:asciiTheme="majorHAnsi" w:hAnsiTheme="majorHAnsi" w:cstheme="majorHAnsi"/>
                <w:sz w:val="24"/>
                <w:szCs w:val="24"/>
              </w:rPr>
            </w:pPr>
          </w:p>
        </w:tc>
        <w:tc>
          <w:tcPr>
            <w:tcW w:w="4074" w:type="dxa"/>
          </w:tcPr>
          <w:p w14:paraId="6A77FB91" w14:textId="4C6CC3D6"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VII - identificação dos perfis de investimentos de participantes em planos de benefícios de caráter previdencial e suas características;</w:t>
            </w:r>
          </w:p>
        </w:tc>
        <w:tc>
          <w:tcPr>
            <w:tcW w:w="4074" w:type="dxa"/>
          </w:tcPr>
          <w:p w14:paraId="17FAE264" w14:textId="03A1D82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XXV do art. 208 foi realocado para inciso VII do art. 208-A.</w:t>
            </w:r>
          </w:p>
        </w:tc>
        <w:tc>
          <w:tcPr>
            <w:tcW w:w="4075" w:type="dxa"/>
          </w:tcPr>
          <w:p w14:paraId="0ECBC6CF" w14:textId="72EE7A8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7679172E" w14:textId="77777777" w:rsidTr="1756A420">
        <w:tc>
          <w:tcPr>
            <w:tcW w:w="4074" w:type="dxa"/>
          </w:tcPr>
          <w:p w14:paraId="438489FD" w14:textId="77777777" w:rsidR="00EB19CA" w:rsidRPr="00D462F0" w:rsidRDefault="00EB19CA" w:rsidP="00D462F0">
            <w:pPr>
              <w:jc w:val="both"/>
              <w:rPr>
                <w:rFonts w:asciiTheme="majorHAnsi" w:hAnsiTheme="majorHAnsi" w:cstheme="majorHAnsi"/>
                <w:sz w:val="24"/>
                <w:szCs w:val="24"/>
              </w:rPr>
            </w:pPr>
          </w:p>
        </w:tc>
        <w:tc>
          <w:tcPr>
            <w:tcW w:w="4074" w:type="dxa"/>
          </w:tcPr>
          <w:p w14:paraId="41E07560"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VIII - avaliações dos bens imóveis do ativo “Imobilizado” </w:t>
            </w:r>
            <w:r w:rsidRPr="00D462F0">
              <w:rPr>
                <w:rFonts w:asciiTheme="majorHAnsi" w:eastAsiaTheme="minorEastAsia" w:hAnsiTheme="majorHAnsi" w:cstheme="majorHAnsi"/>
                <w:bCs/>
                <w:color w:val="0000FF"/>
                <w:sz w:val="24"/>
                <w:szCs w:val="24"/>
              </w:rPr>
              <w:t xml:space="preserve">indicando, no mínimo, as avaliações realizadas, o método de depreciação adotado, o histórico e a data da avaliação, a identificação dos avaliadores </w:t>
            </w:r>
            <w:r w:rsidRPr="00D462F0">
              <w:rPr>
                <w:rFonts w:asciiTheme="majorHAnsi" w:hAnsiTheme="majorHAnsi" w:cstheme="majorHAnsi"/>
                <w:bCs/>
                <w:color w:val="0000FF"/>
                <w:sz w:val="24"/>
                <w:szCs w:val="24"/>
              </w:rPr>
              <w:t>responsáveis e os respectivos valores, bem como, quando aplicável, a justificativa para reconhecimento ou reversão de perda por redução ao valor recuperável do ativo e os efeitos decorrentes no exercício;</w:t>
            </w:r>
          </w:p>
          <w:p w14:paraId="4EAE9483"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5B03AAFB"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V do art. 208 foi dividido em dois incisos e uma parte foi realocado para inciso VIII e outra para o inciso IX do art. 208-A.</w:t>
            </w:r>
          </w:p>
          <w:p w14:paraId="36C3477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 alteração proposta de divisão do inciso V anterior em dois incisos, tem por finalidade fortalecer a qualidade e a completude das informações divulgadas pelas EFPC nas notas explicativas, especificamente no que se refere à mensuração e à avaliação de bens imóveis classificados como </w:t>
            </w:r>
            <w:r w:rsidRPr="00D462F0">
              <w:rPr>
                <w:rFonts w:asciiTheme="majorHAnsi" w:hAnsiTheme="majorHAnsi" w:cstheme="majorHAnsi"/>
                <w:b/>
                <w:bCs/>
                <w:sz w:val="24"/>
                <w:szCs w:val="24"/>
              </w:rPr>
              <w:t>“Imobilizado”</w:t>
            </w:r>
            <w:r w:rsidRPr="00D462F0">
              <w:rPr>
                <w:rFonts w:asciiTheme="majorHAnsi" w:hAnsiTheme="majorHAnsi" w:cstheme="majorHAnsi"/>
                <w:sz w:val="24"/>
                <w:szCs w:val="24"/>
              </w:rPr>
              <w:t xml:space="preserve"> ou como </w:t>
            </w:r>
            <w:r w:rsidRPr="00D462F0">
              <w:rPr>
                <w:rFonts w:asciiTheme="majorHAnsi" w:hAnsiTheme="majorHAnsi" w:cstheme="majorHAnsi"/>
                <w:b/>
                <w:bCs/>
                <w:sz w:val="24"/>
                <w:szCs w:val="24"/>
              </w:rPr>
              <w:t>“Investimentos em imóveis”</w:t>
            </w:r>
            <w:r w:rsidRPr="00D462F0">
              <w:rPr>
                <w:rFonts w:asciiTheme="majorHAnsi" w:hAnsiTheme="majorHAnsi" w:cstheme="majorHAnsi"/>
                <w:sz w:val="24"/>
                <w:szCs w:val="24"/>
              </w:rPr>
              <w:t>.</w:t>
            </w:r>
          </w:p>
          <w:p w14:paraId="7C9A33E3"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O texto original tratava conjuntamente dos dois tipos de classificação contábil, exigindo apenas informações genéricas sobre as avaliações e reavaliações, sem distinguir a natureza e o tratamento contábil distinto entre esses grupos patrimoniais. A nova redação propõe separar de forma explícita as exigências para:</w:t>
            </w:r>
          </w:p>
          <w:p w14:paraId="42C5957C" w14:textId="77777777" w:rsidR="00EB19CA" w:rsidRPr="00D462F0" w:rsidRDefault="00EB19CA" w:rsidP="00D462F0">
            <w:pPr>
              <w:numPr>
                <w:ilvl w:val="0"/>
                <w:numId w:val="2"/>
              </w:numPr>
              <w:spacing w:after="200"/>
              <w:jc w:val="both"/>
              <w:rPr>
                <w:rFonts w:asciiTheme="majorHAnsi" w:hAnsiTheme="majorHAnsi" w:cstheme="majorHAnsi"/>
                <w:sz w:val="24"/>
                <w:szCs w:val="24"/>
              </w:rPr>
            </w:pPr>
            <w:r w:rsidRPr="00D462F0">
              <w:rPr>
                <w:rFonts w:asciiTheme="majorHAnsi" w:hAnsiTheme="majorHAnsi" w:cstheme="majorHAnsi"/>
                <w:sz w:val="24"/>
                <w:szCs w:val="24"/>
              </w:rPr>
              <w:t xml:space="preserve">Imóveis classificados como imobilizado (ativo operacional da entidade), que estão sujeitos a depreciação sistemática e </w:t>
            </w:r>
            <w:r w:rsidRPr="00D462F0">
              <w:rPr>
                <w:rFonts w:asciiTheme="majorHAnsi" w:hAnsiTheme="majorHAnsi" w:cstheme="majorHAnsi"/>
                <w:sz w:val="24"/>
                <w:szCs w:val="24"/>
              </w:rPr>
              <w:lastRenderedPageBreak/>
              <w:t xml:space="preserve">avaliação de recuperabilidade (teste de </w:t>
            </w:r>
            <w:proofErr w:type="spellStart"/>
            <w:r w:rsidRPr="00D462F0">
              <w:rPr>
                <w:rFonts w:asciiTheme="majorHAnsi" w:hAnsiTheme="majorHAnsi" w:cstheme="majorHAnsi"/>
                <w:i/>
                <w:iCs/>
                <w:sz w:val="24"/>
                <w:szCs w:val="24"/>
              </w:rPr>
              <w:t>impairment</w:t>
            </w:r>
            <w:proofErr w:type="spellEnd"/>
            <w:r w:rsidRPr="00D462F0">
              <w:rPr>
                <w:rFonts w:asciiTheme="majorHAnsi" w:hAnsiTheme="majorHAnsi" w:cstheme="majorHAnsi"/>
                <w:sz w:val="24"/>
                <w:szCs w:val="24"/>
              </w:rPr>
              <w:t>); e</w:t>
            </w:r>
          </w:p>
          <w:p w14:paraId="31048001" w14:textId="77777777" w:rsidR="00EB19CA" w:rsidRPr="00D462F0" w:rsidRDefault="00EB19CA" w:rsidP="00D462F0">
            <w:pPr>
              <w:numPr>
                <w:ilvl w:val="0"/>
                <w:numId w:val="2"/>
              </w:numPr>
              <w:spacing w:after="200"/>
              <w:jc w:val="both"/>
              <w:rPr>
                <w:rFonts w:asciiTheme="majorHAnsi" w:hAnsiTheme="majorHAnsi" w:cstheme="majorHAnsi"/>
                <w:sz w:val="24"/>
                <w:szCs w:val="24"/>
              </w:rPr>
            </w:pPr>
            <w:r w:rsidRPr="00D462F0">
              <w:rPr>
                <w:rFonts w:asciiTheme="majorHAnsi" w:hAnsiTheme="majorHAnsi" w:cstheme="majorHAnsi"/>
                <w:sz w:val="24"/>
                <w:szCs w:val="24"/>
              </w:rPr>
              <w:t>Imóveis classificados como Investimentos, que têm como finalidade a renda ou valorização de capital, demandando divulgação clara dos critérios de avaliação justa ou reavaliação periódica.</w:t>
            </w:r>
          </w:p>
          <w:p w14:paraId="14AF648F"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Essa separação decorre das exigências dos Pronunciamentos Técnicos </w:t>
            </w:r>
            <w:r w:rsidRPr="00D462F0">
              <w:rPr>
                <w:rFonts w:asciiTheme="majorHAnsi" w:hAnsiTheme="majorHAnsi" w:cstheme="majorHAnsi"/>
                <w:b/>
                <w:bCs/>
                <w:sz w:val="24"/>
                <w:szCs w:val="24"/>
              </w:rPr>
              <w:t>CPC 27</w:t>
            </w:r>
            <w:r w:rsidRPr="00D462F0">
              <w:rPr>
                <w:rFonts w:asciiTheme="majorHAnsi" w:hAnsiTheme="majorHAnsi" w:cstheme="majorHAnsi"/>
                <w:sz w:val="24"/>
                <w:szCs w:val="24"/>
              </w:rPr>
              <w:t xml:space="preserve"> (Ativo Imobilizado) e </w:t>
            </w:r>
            <w:r w:rsidRPr="00D462F0">
              <w:rPr>
                <w:rFonts w:asciiTheme="majorHAnsi" w:hAnsiTheme="majorHAnsi" w:cstheme="majorHAnsi"/>
                <w:b/>
                <w:bCs/>
                <w:sz w:val="24"/>
                <w:szCs w:val="24"/>
              </w:rPr>
              <w:t>CPC 28</w:t>
            </w:r>
            <w:r w:rsidRPr="00D462F0">
              <w:rPr>
                <w:rFonts w:asciiTheme="majorHAnsi" w:hAnsiTheme="majorHAnsi" w:cstheme="majorHAnsi"/>
                <w:sz w:val="24"/>
                <w:szCs w:val="24"/>
              </w:rPr>
              <w:t xml:space="preserve"> (Propriedade para Investimento), ambos exigíveis às EFPC por força da Resolução CNPC nº 43/2021, e tem como objetivo evitar assimetrias e omissões na apresentação das informações contábeis.</w:t>
            </w:r>
          </w:p>
          <w:p w14:paraId="1A844B1F" w14:textId="77777777" w:rsidR="00EB19CA" w:rsidRPr="00D462F0" w:rsidRDefault="00EB19CA" w:rsidP="00D462F0">
            <w:pPr>
              <w:jc w:val="both"/>
              <w:rPr>
                <w:rFonts w:asciiTheme="majorHAnsi" w:hAnsiTheme="majorHAnsi" w:cstheme="majorHAnsi"/>
                <w:sz w:val="24"/>
                <w:szCs w:val="24"/>
              </w:rPr>
            </w:pPr>
          </w:p>
        </w:tc>
        <w:tc>
          <w:tcPr>
            <w:tcW w:w="4075" w:type="dxa"/>
          </w:tcPr>
          <w:p w14:paraId="60429C75" w14:textId="27B16C4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Idem art. 208-A.</w:t>
            </w:r>
          </w:p>
        </w:tc>
      </w:tr>
      <w:tr w:rsidR="00EB19CA" w:rsidRPr="00C93770" w14:paraId="68EF732C" w14:textId="77777777" w:rsidTr="1756A420">
        <w:tc>
          <w:tcPr>
            <w:tcW w:w="4074" w:type="dxa"/>
          </w:tcPr>
          <w:p w14:paraId="45F5F025"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p w14:paraId="1E7B4862" w14:textId="77777777" w:rsidR="00EB19CA" w:rsidRPr="00D462F0" w:rsidRDefault="00EB19CA" w:rsidP="00D462F0">
            <w:pPr>
              <w:jc w:val="both"/>
              <w:rPr>
                <w:rFonts w:asciiTheme="majorHAnsi" w:hAnsiTheme="majorHAnsi" w:cstheme="majorHAnsi"/>
                <w:sz w:val="24"/>
                <w:szCs w:val="24"/>
              </w:rPr>
            </w:pPr>
          </w:p>
        </w:tc>
        <w:tc>
          <w:tcPr>
            <w:tcW w:w="4074" w:type="dxa"/>
          </w:tcPr>
          <w:p w14:paraId="7A949710" w14:textId="5C93F80C"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IX - avaliações e, quando aplicável, reavaliações dos bens imóveis classificados como investimento, indicando, no mínimo, o histórico, a data da avaliação, a identificação dos avaliadores responsáveis e os respectivos valores, o critério de mensuração adotado (valor justo ou custo) e os efeitos decorrentes no exercício;</w:t>
            </w:r>
          </w:p>
        </w:tc>
        <w:tc>
          <w:tcPr>
            <w:tcW w:w="4074" w:type="dxa"/>
          </w:tcPr>
          <w:p w14:paraId="1494785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decorrente da divisão do inciso V do art. 208 em dois incisos, no art. 208-A, sendo este inciso IX referente a imóveis classificados como investimentos.</w:t>
            </w:r>
          </w:p>
          <w:p w14:paraId="31743B3F" w14:textId="7D6486CE" w:rsidR="00EB19CA" w:rsidRPr="00D462F0" w:rsidRDefault="00EB19CA" w:rsidP="00D462F0">
            <w:pPr>
              <w:jc w:val="both"/>
              <w:rPr>
                <w:rFonts w:asciiTheme="majorHAnsi" w:hAnsiTheme="majorHAnsi" w:cstheme="majorHAnsi"/>
                <w:sz w:val="24"/>
                <w:szCs w:val="24"/>
              </w:rPr>
            </w:pPr>
          </w:p>
        </w:tc>
        <w:tc>
          <w:tcPr>
            <w:tcW w:w="4075" w:type="dxa"/>
          </w:tcPr>
          <w:p w14:paraId="5311B23B" w14:textId="6B3BD45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50FC3BF7" w14:textId="77777777" w:rsidTr="1756A420">
        <w:tc>
          <w:tcPr>
            <w:tcW w:w="4074" w:type="dxa"/>
          </w:tcPr>
          <w:p w14:paraId="452254D9" w14:textId="77777777" w:rsidR="00EB19CA" w:rsidRPr="00D462F0" w:rsidRDefault="00EB19CA" w:rsidP="00D462F0">
            <w:pPr>
              <w:jc w:val="both"/>
              <w:rPr>
                <w:rFonts w:asciiTheme="majorHAnsi" w:hAnsiTheme="majorHAnsi" w:cstheme="majorHAnsi"/>
                <w:sz w:val="24"/>
                <w:szCs w:val="24"/>
              </w:rPr>
            </w:pPr>
          </w:p>
        </w:tc>
        <w:tc>
          <w:tcPr>
            <w:tcW w:w="4074" w:type="dxa"/>
          </w:tcPr>
          <w:p w14:paraId="511DD7F5" w14:textId="714D7D0B"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 - premissas utilizadas para avaliação de imóveis constantes do laudo de avaliação, bem como as justificativas para a escolha do preço do ativo nos casos em que mais de uma opção seja apresentada pelo avaliador;</w:t>
            </w:r>
          </w:p>
        </w:tc>
        <w:tc>
          <w:tcPr>
            <w:tcW w:w="4074" w:type="dxa"/>
          </w:tcPr>
          <w:p w14:paraId="44C309CE"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XVII do art. 208 foi realocado para inciso X do art. 208-A.</w:t>
            </w:r>
          </w:p>
          <w:p w14:paraId="00F2A4A7" w14:textId="77777777" w:rsidR="00EB19CA" w:rsidRPr="00D462F0" w:rsidRDefault="00EB19CA" w:rsidP="00D462F0">
            <w:pPr>
              <w:jc w:val="both"/>
              <w:rPr>
                <w:rFonts w:asciiTheme="majorHAnsi" w:hAnsiTheme="majorHAnsi" w:cstheme="majorHAnsi"/>
                <w:sz w:val="24"/>
                <w:szCs w:val="24"/>
              </w:rPr>
            </w:pPr>
          </w:p>
        </w:tc>
        <w:tc>
          <w:tcPr>
            <w:tcW w:w="4075" w:type="dxa"/>
          </w:tcPr>
          <w:p w14:paraId="77A35B8E" w14:textId="095BF29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EEE4F7C" w14:textId="77777777" w:rsidTr="1756A420">
        <w:tc>
          <w:tcPr>
            <w:tcW w:w="4074" w:type="dxa"/>
          </w:tcPr>
          <w:p w14:paraId="77954EF7" w14:textId="77777777" w:rsidR="00EB19CA" w:rsidRPr="00D462F0" w:rsidRDefault="00EB19CA" w:rsidP="00D462F0">
            <w:pPr>
              <w:jc w:val="both"/>
              <w:rPr>
                <w:rFonts w:asciiTheme="majorHAnsi" w:hAnsiTheme="majorHAnsi" w:cstheme="majorHAnsi"/>
                <w:sz w:val="24"/>
                <w:szCs w:val="24"/>
              </w:rPr>
            </w:pPr>
          </w:p>
        </w:tc>
        <w:tc>
          <w:tcPr>
            <w:tcW w:w="4074" w:type="dxa"/>
          </w:tcPr>
          <w:p w14:paraId="36034A93" w14:textId="27763AA9"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XI - descrição de operações de empréstimo de títulos ou valores </w:t>
            </w:r>
            <w:r w:rsidRPr="00D462F0">
              <w:rPr>
                <w:rFonts w:asciiTheme="majorHAnsi" w:hAnsiTheme="majorHAnsi" w:cstheme="majorHAnsi"/>
                <w:bCs/>
                <w:color w:val="0000FF"/>
                <w:sz w:val="24"/>
                <w:szCs w:val="24"/>
              </w:rPr>
              <w:lastRenderedPageBreak/>
              <w:t>mobiliários em que o ativo recebido for diverso daquele originalmente entregue, classificado na categoria "títulos mantidos até o vencimento", com informações sobre ativos emprestados e recebidos, datas da operação original e da devolução, quantidades envolvidas e efeito no resultado do período;</w:t>
            </w:r>
          </w:p>
        </w:tc>
        <w:tc>
          <w:tcPr>
            <w:tcW w:w="4074" w:type="dxa"/>
          </w:tcPr>
          <w:p w14:paraId="7DB53AE2"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Devido a reorganização do ordenamento do conteúdo mínimo das </w:t>
            </w:r>
            <w:r w:rsidRPr="00D462F0">
              <w:rPr>
                <w:rFonts w:asciiTheme="majorHAnsi" w:hAnsiTheme="majorHAnsi" w:cstheme="majorHAnsi"/>
                <w:sz w:val="24"/>
                <w:szCs w:val="24"/>
              </w:rPr>
              <w:lastRenderedPageBreak/>
              <w:t>notas explicativas, o inciso XIV do art. 208 foi realocado para inciso XI do art. 208-A.</w:t>
            </w:r>
          </w:p>
          <w:p w14:paraId="3750B229" w14:textId="77777777" w:rsidR="00EB19CA" w:rsidRPr="00D462F0" w:rsidRDefault="00EB19CA" w:rsidP="00D462F0">
            <w:pPr>
              <w:jc w:val="both"/>
              <w:rPr>
                <w:rFonts w:asciiTheme="majorHAnsi" w:hAnsiTheme="majorHAnsi" w:cstheme="majorHAnsi"/>
                <w:sz w:val="24"/>
                <w:szCs w:val="24"/>
              </w:rPr>
            </w:pPr>
          </w:p>
        </w:tc>
        <w:tc>
          <w:tcPr>
            <w:tcW w:w="4075" w:type="dxa"/>
          </w:tcPr>
          <w:p w14:paraId="2DCF90AF" w14:textId="2CA0F9F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Idem art. 208-A.</w:t>
            </w:r>
          </w:p>
        </w:tc>
      </w:tr>
      <w:tr w:rsidR="00EB19CA" w:rsidRPr="00C93770" w14:paraId="02DA5107" w14:textId="77777777" w:rsidTr="1756A420">
        <w:tc>
          <w:tcPr>
            <w:tcW w:w="4074" w:type="dxa"/>
          </w:tcPr>
          <w:p w14:paraId="676C0D94" w14:textId="77777777" w:rsidR="00EB19CA" w:rsidRPr="00D462F0" w:rsidRDefault="00EB19CA" w:rsidP="00D462F0">
            <w:pPr>
              <w:jc w:val="both"/>
              <w:rPr>
                <w:rFonts w:asciiTheme="majorHAnsi" w:hAnsiTheme="majorHAnsi" w:cstheme="majorHAnsi"/>
                <w:sz w:val="24"/>
                <w:szCs w:val="24"/>
              </w:rPr>
            </w:pPr>
          </w:p>
        </w:tc>
        <w:tc>
          <w:tcPr>
            <w:tcW w:w="4074" w:type="dxa"/>
          </w:tcPr>
          <w:p w14:paraId="3751D62F" w14:textId="36A28153"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XII - operações entre partes relacionadas com, no mínimo, condições pactuadas e os montantes dos saldos existentes das transações, bem como a provisão para créditos de liquidação duvidosa relacionada com o montante dos saldos existentes;</w:t>
            </w:r>
          </w:p>
        </w:tc>
        <w:tc>
          <w:tcPr>
            <w:tcW w:w="4074" w:type="dxa"/>
          </w:tcPr>
          <w:p w14:paraId="51B50D2F"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XXVI do art. 208 foi realocado para inciso XII do art. 208-A.</w:t>
            </w:r>
          </w:p>
          <w:p w14:paraId="5992A6BC" w14:textId="13983850" w:rsidR="00EB19CA" w:rsidRPr="00D462F0" w:rsidRDefault="00EB19CA" w:rsidP="00D462F0">
            <w:pPr>
              <w:jc w:val="both"/>
              <w:rPr>
                <w:rFonts w:asciiTheme="majorHAnsi" w:hAnsiTheme="majorHAnsi" w:cstheme="majorHAnsi"/>
                <w:sz w:val="24"/>
                <w:szCs w:val="24"/>
              </w:rPr>
            </w:pPr>
          </w:p>
        </w:tc>
        <w:tc>
          <w:tcPr>
            <w:tcW w:w="4075" w:type="dxa"/>
          </w:tcPr>
          <w:p w14:paraId="6A135615" w14:textId="283466F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7044EEE" w14:textId="77777777" w:rsidTr="1756A420">
        <w:tc>
          <w:tcPr>
            <w:tcW w:w="4074" w:type="dxa"/>
          </w:tcPr>
          <w:p w14:paraId="0C633484" w14:textId="77777777" w:rsidR="00EB19CA" w:rsidRPr="00D462F0" w:rsidRDefault="00EB19CA" w:rsidP="00D462F0">
            <w:pPr>
              <w:jc w:val="both"/>
              <w:rPr>
                <w:rFonts w:asciiTheme="majorHAnsi" w:hAnsiTheme="majorHAnsi" w:cstheme="majorHAnsi"/>
                <w:sz w:val="24"/>
                <w:szCs w:val="24"/>
              </w:rPr>
            </w:pPr>
          </w:p>
        </w:tc>
        <w:tc>
          <w:tcPr>
            <w:tcW w:w="4074" w:type="dxa"/>
          </w:tcPr>
          <w:p w14:paraId="54E25D8F" w14:textId="7D5F6C25"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XIII - operações entre partes relacionadas com, no mínimo, condições pactuadas com seus prazos e condições, incluindo eventuais garantias dadas ou recebidas, os montantes dos saldos existentes das transações, bem como a provisão para créditos de liquidação duvidosa relacionada com o montante dos saldos existentes;</w:t>
            </w:r>
          </w:p>
        </w:tc>
        <w:tc>
          <w:tcPr>
            <w:tcW w:w="4074" w:type="dxa"/>
          </w:tcPr>
          <w:p w14:paraId="50C4B3C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XXVI do art. 208 foi realocado para inciso XIII do art. 208-A.</w:t>
            </w:r>
          </w:p>
          <w:p w14:paraId="2532190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texto para melhor detalhamento de informações sobre partes relacionadas.</w:t>
            </w:r>
          </w:p>
          <w:p w14:paraId="0B2C0ADD" w14:textId="77777777" w:rsidR="00EB19CA" w:rsidRPr="00D462F0" w:rsidRDefault="00EB19CA" w:rsidP="00D462F0">
            <w:pPr>
              <w:jc w:val="both"/>
              <w:rPr>
                <w:rFonts w:asciiTheme="majorHAnsi" w:hAnsiTheme="majorHAnsi" w:cstheme="majorHAnsi"/>
                <w:sz w:val="24"/>
                <w:szCs w:val="24"/>
              </w:rPr>
            </w:pPr>
          </w:p>
        </w:tc>
        <w:tc>
          <w:tcPr>
            <w:tcW w:w="4075" w:type="dxa"/>
          </w:tcPr>
          <w:p w14:paraId="33A97543" w14:textId="0DF7412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B5BC962" w14:textId="77777777" w:rsidTr="1756A420">
        <w:tc>
          <w:tcPr>
            <w:tcW w:w="4074" w:type="dxa"/>
          </w:tcPr>
          <w:p w14:paraId="4B54ADCB" w14:textId="77777777" w:rsidR="00EB19CA" w:rsidRPr="00D462F0" w:rsidRDefault="00EB19CA" w:rsidP="00D462F0">
            <w:pPr>
              <w:jc w:val="both"/>
              <w:rPr>
                <w:rFonts w:asciiTheme="majorHAnsi" w:hAnsiTheme="majorHAnsi" w:cstheme="majorHAnsi"/>
                <w:sz w:val="24"/>
                <w:szCs w:val="24"/>
              </w:rPr>
            </w:pPr>
          </w:p>
        </w:tc>
        <w:tc>
          <w:tcPr>
            <w:tcW w:w="4074" w:type="dxa"/>
          </w:tcPr>
          <w:p w14:paraId="0A9C1A78" w14:textId="618AD7DF"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XIV - critérios de avaliação e de amortização das aplicações de recursos existentes no ativo intangível;</w:t>
            </w:r>
          </w:p>
        </w:tc>
        <w:tc>
          <w:tcPr>
            <w:tcW w:w="4074" w:type="dxa"/>
          </w:tcPr>
          <w:p w14:paraId="21B01947" w14:textId="26885F0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IV do art. 208 foi realocado para inciso XIV do art. 208-A.</w:t>
            </w:r>
          </w:p>
        </w:tc>
        <w:tc>
          <w:tcPr>
            <w:tcW w:w="4075" w:type="dxa"/>
          </w:tcPr>
          <w:p w14:paraId="7BC68EA8" w14:textId="58B2614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6ADA0965" w14:textId="77777777" w:rsidTr="1756A420">
        <w:tc>
          <w:tcPr>
            <w:tcW w:w="4074" w:type="dxa"/>
          </w:tcPr>
          <w:p w14:paraId="5B495BF0" w14:textId="77777777" w:rsidR="00EB19CA" w:rsidRPr="00D462F0" w:rsidRDefault="00EB19CA" w:rsidP="00D462F0">
            <w:pPr>
              <w:jc w:val="both"/>
              <w:rPr>
                <w:rFonts w:asciiTheme="majorHAnsi" w:hAnsiTheme="majorHAnsi" w:cstheme="majorHAnsi"/>
                <w:sz w:val="24"/>
                <w:szCs w:val="24"/>
              </w:rPr>
            </w:pPr>
          </w:p>
        </w:tc>
        <w:tc>
          <w:tcPr>
            <w:tcW w:w="4074" w:type="dxa"/>
          </w:tcPr>
          <w:p w14:paraId="4E4B343D" w14:textId="77777777" w:rsidR="00EB19CA" w:rsidRPr="00D462F0" w:rsidRDefault="00EB19CA" w:rsidP="00D462F0">
            <w:pPr>
              <w:spacing w:after="16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XV - descrição das contingências passivas relevantes, cujas chances de perda sejam prováveis ou possíveis;</w:t>
            </w:r>
          </w:p>
          <w:p w14:paraId="2858EDE4"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361FF8A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II do art. 208 foi realocado para inciso XV XIV do art. 208-A.</w:t>
            </w:r>
          </w:p>
          <w:p w14:paraId="76AB0649" w14:textId="77777777" w:rsidR="00EB19CA" w:rsidRPr="00D462F0" w:rsidRDefault="00EB19CA" w:rsidP="00D462F0">
            <w:pPr>
              <w:jc w:val="both"/>
              <w:rPr>
                <w:rFonts w:asciiTheme="majorHAnsi" w:hAnsiTheme="majorHAnsi" w:cstheme="majorHAnsi"/>
                <w:sz w:val="24"/>
                <w:szCs w:val="24"/>
              </w:rPr>
            </w:pPr>
          </w:p>
        </w:tc>
        <w:tc>
          <w:tcPr>
            <w:tcW w:w="4075" w:type="dxa"/>
          </w:tcPr>
          <w:p w14:paraId="1A1D2325" w14:textId="0392049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38EBC7A5" w14:textId="77777777" w:rsidTr="1756A420">
        <w:tc>
          <w:tcPr>
            <w:tcW w:w="4074" w:type="dxa"/>
          </w:tcPr>
          <w:p w14:paraId="49A7686B" w14:textId="77777777" w:rsidR="00EB19CA" w:rsidRPr="00D462F0" w:rsidRDefault="00EB19CA" w:rsidP="00D462F0">
            <w:pPr>
              <w:jc w:val="both"/>
              <w:rPr>
                <w:rFonts w:asciiTheme="majorHAnsi" w:hAnsiTheme="majorHAnsi" w:cstheme="majorHAnsi"/>
                <w:sz w:val="24"/>
                <w:szCs w:val="24"/>
              </w:rPr>
            </w:pPr>
          </w:p>
        </w:tc>
        <w:tc>
          <w:tcPr>
            <w:tcW w:w="4074" w:type="dxa"/>
          </w:tcPr>
          <w:p w14:paraId="365DAD1C" w14:textId="13C7E9DB"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XVI - detalhamentos e justificativas das provisões reconhecidas no período, bem como dos passivos contingentes, cujas perdas sejam classificadas como prováveis ou possíveis, nos termos das normas contábeis aplicáveis;</w:t>
            </w:r>
          </w:p>
        </w:tc>
        <w:tc>
          <w:tcPr>
            <w:tcW w:w="4074" w:type="dxa"/>
          </w:tcPr>
          <w:p w14:paraId="776342D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novo inciso.</w:t>
            </w:r>
          </w:p>
          <w:p w14:paraId="7429874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do inciso proposto visa aprimorar o conteúdo das notas explicativas exigidas das EFPC no que se refere à divulgação de provisões reconhecidas no período e de passivos contingentes classificados como de perda provável ou possível, conforme definido pelas normas contábeis aplicáveis.</w:t>
            </w:r>
            <w:r w:rsidRPr="00D462F0">
              <w:rPr>
                <w:rFonts w:asciiTheme="majorHAnsi" w:hAnsiTheme="majorHAnsi" w:cstheme="majorHAnsi"/>
                <w:sz w:val="24"/>
                <w:szCs w:val="24"/>
              </w:rPr>
              <w:br/>
              <w:t>O objetivo é assegurar maior transparência e clareza na apresentação dessas informações, permitindo que os usuários das demonstrações contábeis — como participantes, assistidos, órgãos de fiscalização e auditorias — compreendam de forma adequada quais obrigações foram efetivamente reconhecidas no período, bem como quais passivos contingentes relevantes, ainda não reconhecidos contabilmente, apresentam probabilidade de perda provável ou possível, por exemplo.</w:t>
            </w:r>
            <w:r w:rsidRPr="00D462F0">
              <w:rPr>
                <w:rFonts w:asciiTheme="majorHAnsi" w:hAnsiTheme="majorHAnsi" w:cstheme="majorHAnsi"/>
                <w:sz w:val="24"/>
                <w:szCs w:val="24"/>
              </w:rPr>
              <w:br/>
              <w:t>Essa melhoria contribui para o alinhamento às boas práticas contábeis e regulatórias, reforçando a fidedignidade e utilidade das demonstrações financeiras.</w:t>
            </w:r>
          </w:p>
          <w:p w14:paraId="790DA8C2" w14:textId="54CA68F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Do ponto de vista contábil, essa distinção é fundamental para assegurar a fidedignidade das demonstrações financeiras, permitindo que os usuários (como participantes, assistidos, órgãos de fiscalização e auditorias) compreendam:</w:t>
            </w:r>
          </w:p>
          <w:p w14:paraId="1C102014" w14:textId="77777777" w:rsidR="00EB19CA" w:rsidRPr="00D462F0" w:rsidRDefault="00EB19CA" w:rsidP="00D462F0">
            <w:pPr>
              <w:tabs>
                <w:tab w:val="num" w:pos="720"/>
              </w:tabs>
              <w:jc w:val="both"/>
              <w:rPr>
                <w:rFonts w:asciiTheme="majorHAnsi" w:hAnsiTheme="majorHAnsi" w:cstheme="majorHAnsi"/>
                <w:sz w:val="24"/>
                <w:szCs w:val="24"/>
              </w:rPr>
            </w:pPr>
            <w:r w:rsidRPr="00D462F0">
              <w:rPr>
                <w:rFonts w:asciiTheme="majorHAnsi" w:hAnsiTheme="majorHAnsi" w:cstheme="majorHAnsi"/>
                <w:sz w:val="24"/>
                <w:szCs w:val="24"/>
              </w:rPr>
              <w:lastRenderedPageBreak/>
              <w:t>Quais são as obrigações efetivas já reconhecidas e com impacto patrimonial;</w:t>
            </w:r>
          </w:p>
          <w:p w14:paraId="42C6D5A7" w14:textId="31AB4DA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Quais são riscos potenciais ainda não registrados contabilmente, mas que merecem monitoramento.</w:t>
            </w:r>
          </w:p>
        </w:tc>
        <w:tc>
          <w:tcPr>
            <w:tcW w:w="4075" w:type="dxa"/>
          </w:tcPr>
          <w:p w14:paraId="60FF3046" w14:textId="13CE9D7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Idem art. 208-A.</w:t>
            </w:r>
          </w:p>
        </w:tc>
      </w:tr>
      <w:tr w:rsidR="00EB19CA" w:rsidRPr="00C93770" w14:paraId="4353F5A6" w14:textId="77777777" w:rsidTr="1756A420">
        <w:tc>
          <w:tcPr>
            <w:tcW w:w="4074" w:type="dxa"/>
          </w:tcPr>
          <w:p w14:paraId="3A02063E" w14:textId="77777777" w:rsidR="00EB19CA" w:rsidRPr="00D462F0" w:rsidRDefault="00EB19CA" w:rsidP="00D462F0">
            <w:pPr>
              <w:jc w:val="both"/>
              <w:rPr>
                <w:rFonts w:asciiTheme="majorHAnsi" w:hAnsiTheme="majorHAnsi" w:cstheme="majorHAnsi"/>
                <w:sz w:val="24"/>
                <w:szCs w:val="24"/>
              </w:rPr>
            </w:pPr>
          </w:p>
        </w:tc>
        <w:tc>
          <w:tcPr>
            <w:tcW w:w="4074" w:type="dxa"/>
          </w:tcPr>
          <w:p w14:paraId="7AB642ED" w14:textId="49560AAD"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XVII - critérios, natureza e percentual utilizados para a constituição de provisões;</w:t>
            </w:r>
          </w:p>
        </w:tc>
        <w:tc>
          <w:tcPr>
            <w:tcW w:w="4074" w:type="dxa"/>
          </w:tcPr>
          <w:p w14:paraId="04E46E2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III do art. 208 foi realocado para inciso XVII do art. 208-A.</w:t>
            </w:r>
          </w:p>
          <w:p w14:paraId="3D326619" w14:textId="77777777" w:rsidR="00EB19CA" w:rsidRPr="00D462F0" w:rsidRDefault="00EB19CA" w:rsidP="00D462F0">
            <w:pPr>
              <w:jc w:val="both"/>
              <w:rPr>
                <w:rFonts w:asciiTheme="majorHAnsi" w:hAnsiTheme="majorHAnsi" w:cstheme="majorHAnsi"/>
                <w:sz w:val="24"/>
                <w:szCs w:val="24"/>
              </w:rPr>
            </w:pPr>
          </w:p>
        </w:tc>
        <w:tc>
          <w:tcPr>
            <w:tcW w:w="4075" w:type="dxa"/>
          </w:tcPr>
          <w:p w14:paraId="5183AB6A" w14:textId="4A62D02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3AC71E8F" w14:textId="77777777" w:rsidTr="1756A420">
        <w:tc>
          <w:tcPr>
            <w:tcW w:w="4074" w:type="dxa"/>
          </w:tcPr>
          <w:p w14:paraId="0703A99D" w14:textId="77777777" w:rsidR="00EB19CA" w:rsidRPr="00D462F0" w:rsidRDefault="00EB19CA" w:rsidP="00D462F0">
            <w:pPr>
              <w:jc w:val="both"/>
              <w:rPr>
                <w:rFonts w:asciiTheme="majorHAnsi" w:hAnsiTheme="majorHAnsi" w:cstheme="majorHAnsi"/>
                <w:sz w:val="24"/>
                <w:szCs w:val="24"/>
              </w:rPr>
            </w:pPr>
          </w:p>
        </w:tc>
        <w:tc>
          <w:tcPr>
            <w:tcW w:w="4074" w:type="dxa"/>
          </w:tcPr>
          <w:p w14:paraId="328EAA60" w14:textId="4BD8E114"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XVIII - critérios e prazos utilizados para a destinação de superávit técnico, caso aplicável;</w:t>
            </w:r>
          </w:p>
        </w:tc>
        <w:tc>
          <w:tcPr>
            <w:tcW w:w="4074" w:type="dxa"/>
          </w:tcPr>
          <w:p w14:paraId="262B0383" w14:textId="5A3FA5D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XX do art. 208 foi realocado para inciso XVIII do art. 208-A.</w:t>
            </w:r>
          </w:p>
        </w:tc>
        <w:tc>
          <w:tcPr>
            <w:tcW w:w="4075" w:type="dxa"/>
          </w:tcPr>
          <w:p w14:paraId="5B327BE0" w14:textId="56CA005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2E7CC693" w14:textId="77777777" w:rsidTr="1756A420">
        <w:tc>
          <w:tcPr>
            <w:tcW w:w="4074" w:type="dxa"/>
          </w:tcPr>
          <w:p w14:paraId="03EC3A28" w14:textId="77777777" w:rsidR="00EB19CA" w:rsidRPr="00D462F0" w:rsidRDefault="00EB19CA" w:rsidP="00D462F0">
            <w:pPr>
              <w:jc w:val="both"/>
              <w:rPr>
                <w:rFonts w:asciiTheme="majorHAnsi" w:hAnsiTheme="majorHAnsi" w:cstheme="majorHAnsi"/>
                <w:sz w:val="24"/>
                <w:szCs w:val="24"/>
              </w:rPr>
            </w:pPr>
          </w:p>
        </w:tc>
        <w:tc>
          <w:tcPr>
            <w:tcW w:w="4074" w:type="dxa"/>
          </w:tcPr>
          <w:p w14:paraId="1E7B341D" w14:textId="77777777" w:rsidR="00EB19CA" w:rsidRPr="00D462F0" w:rsidRDefault="00EB19CA" w:rsidP="00D462F0">
            <w:pPr>
              <w:spacing w:after="16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XIX - objetivos e critérios utilizados para constituição e reversão de fundos;</w:t>
            </w:r>
          </w:p>
          <w:p w14:paraId="187FBAB8"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778B0CB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XI do art. 208 foi realocado para inciso XIX do art. 208-A.</w:t>
            </w:r>
          </w:p>
          <w:p w14:paraId="772AE26F" w14:textId="77777777" w:rsidR="00EB19CA" w:rsidRPr="00D462F0" w:rsidRDefault="00EB19CA" w:rsidP="00D462F0">
            <w:pPr>
              <w:jc w:val="both"/>
              <w:rPr>
                <w:rFonts w:asciiTheme="majorHAnsi" w:hAnsiTheme="majorHAnsi" w:cstheme="majorHAnsi"/>
                <w:sz w:val="24"/>
                <w:szCs w:val="24"/>
              </w:rPr>
            </w:pPr>
          </w:p>
        </w:tc>
        <w:tc>
          <w:tcPr>
            <w:tcW w:w="4075" w:type="dxa"/>
          </w:tcPr>
          <w:p w14:paraId="433DA201" w14:textId="2C73633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1E56D67" w14:textId="77777777" w:rsidTr="1756A420">
        <w:tc>
          <w:tcPr>
            <w:tcW w:w="4074" w:type="dxa"/>
          </w:tcPr>
          <w:p w14:paraId="03DAB073" w14:textId="77777777" w:rsidR="00EB19CA" w:rsidRPr="00D462F0" w:rsidRDefault="00EB19CA" w:rsidP="00D462F0">
            <w:pPr>
              <w:jc w:val="both"/>
              <w:rPr>
                <w:rFonts w:asciiTheme="majorHAnsi" w:hAnsiTheme="majorHAnsi" w:cstheme="majorHAnsi"/>
                <w:sz w:val="24"/>
                <w:szCs w:val="24"/>
              </w:rPr>
            </w:pPr>
          </w:p>
        </w:tc>
        <w:tc>
          <w:tcPr>
            <w:tcW w:w="4074" w:type="dxa"/>
          </w:tcPr>
          <w:p w14:paraId="77AFE458" w14:textId="61B2A26D"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 - utilização de recursos de fundo previdencial para cobertura parcial ou total das contribuições para o plano de benefícios;</w:t>
            </w:r>
          </w:p>
        </w:tc>
        <w:tc>
          <w:tcPr>
            <w:tcW w:w="4074" w:type="dxa"/>
          </w:tcPr>
          <w:p w14:paraId="1D0E213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XXIII do art. 208 foi realocado para inciso XX do art. 208-A.</w:t>
            </w:r>
          </w:p>
          <w:p w14:paraId="31D8097E" w14:textId="77777777" w:rsidR="00EB19CA" w:rsidRPr="00D462F0" w:rsidRDefault="00EB19CA" w:rsidP="00D462F0">
            <w:pPr>
              <w:jc w:val="both"/>
              <w:rPr>
                <w:rFonts w:asciiTheme="majorHAnsi" w:hAnsiTheme="majorHAnsi" w:cstheme="majorHAnsi"/>
                <w:sz w:val="24"/>
                <w:szCs w:val="24"/>
              </w:rPr>
            </w:pPr>
          </w:p>
        </w:tc>
        <w:tc>
          <w:tcPr>
            <w:tcW w:w="4075" w:type="dxa"/>
          </w:tcPr>
          <w:p w14:paraId="47F0F4A0" w14:textId="421C165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41E58B4C" w14:textId="77777777" w:rsidTr="1756A420">
        <w:tc>
          <w:tcPr>
            <w:tcW w:w="4074" w:type="dxa"/>
          </w:tcPr>
          <w:p w14:paraId="59A2C2A3" w14:textId="77777777" w:rsidR="00EB19CA" w:rsidRPr="00D462F0" w:rsidRDefault="00EB19CA" w:rsidP="00D462F0">
            <w:pPr>
              <w:jc w:val="both"/>
              <w:rPr>
                <w:rFonts w:asciiTheme="majorHAnsi" w:hAnsiTheme="majorHAnsi" w:cstheme="majorHAnsi"/>
                <w:sz w:val="24"/>
                <w:szCs w:val="24"/>
              </w:rPr>
            </w:pPr>
          </w:p>
        </w:tc>
        <w:tc>
          <w:tcPr>
            <w:tcW w:w="4074" w:type="dxa"/>
          </w:tcPr>
          <w:p w14:paraId="5411C63A" w14:textId="6E91D941" w:rsidR="00EB19CA" w:rsidRPr="00D462F0" w:rsidRDefault="00EB19CA" w:rsidP="004E06F1">
            <w:pPr>
              <w:spacing w:after="16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XXI - composição das contribuições em atraso e contratadas, por patrocinador e por plano de benefícios, comparativos com o exercício anterior;</w:t>
            </w:r>
          </w:p>
        </w:tc>
        <w:tc>
          <w:tcPr>
            <w:tcW w:w="4074" w:type="dxa"/>
          </w:tcPr>
          <w:p w14:paraId="7BA23B10"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VIII do art. 208 foi realocado para inciso XXI do art. 208-A.</w:t>
            </w:r>
          </w:p>
          <w:p w14:paraId="48EE75D6" w14:textId="77777777" w:rsidR="00EB19CA" w:rsidRPr="00D462F0" w:rsidRDefault="00EB19CA" w:rsidP="00D462F0">
            <w:pPr>
              <w:jc w:val="both"/>
              <w:rPr>
                <w:rFonts w:asciiTheme="majorHAnsi" w:hAnsiTheme="majorHAnsi" w:cstheme="majorHAnsi"/>
                <w:sz w:val="24"/>
                <w:szCs w:val="24"/>
              </w:rPr>
            </w:pPr>
          </w:p>
        </w:tc>
        <w:tc>
          <w:tcPr>
            <w:tcW w:w="4075" w:type="dxa"/>
          </w:tcPr>
          <w:p w14:paraId="7F2B799D" w14:textId="19C0C31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2CD02D8B" w14:textId="77777777" w:rsidTr="1756A420">
        <w:tc>
          <w:tcPr>
            <w:tcW w:w="4074" w:type="dxa"/>
          </w:tcPr>
          <w:p w14:paraId="1E1DC7D7" w14:textId="77777777" w:rsidR="00EB19CA" w:rsidRPr="00D462F0" w:rsidRDefault="00EB19CA" w:rsidP="00D462F0">
            <w:pPr>
              <w:jc w:val="both"/>
              <w:rPr>
                <w:rFonts w:asciiTheme="majorHAnsi" w:hAnsiTheme="majorHAnsi" w:cstheme="majorHAnsi"/>
                <w:sz w:val="24"/>
                <w:szCs w:val="24"/>
              </w:rPr>
            </w:pPr>
          </w:p>
        </w:tc>
        <w:tc>
          <w:tcPr>
            <w:tcW w:w="4074" w:type="dxa"/>
          </w:tcPr>
          <w:p w14:paraId="778845CA" w14:textId="1309CB09"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XXII - equacionamento de déficit técnico com indicação do plano de benefícios, do prazo, das taxas ou </w:t>
            </w:r>
            <w:r w:rsidRPr="00D462F0">
              <w:rPr>
                <w:rFonts w:asciiTheme="majorHAnsi" w:hAnsiTheme="majorHAnsi" w:cstheme="majorHAnsi"/>
                <w:bCs/>
                <w:color w:val="0000FF"/>
                <w:sz w:val="24"/>
                <w:szCs w:val="24"/>
              </w:rPr>
              <w:lastRenderedPageBreak/>
              <w:t>valores de contribuições, das contribuições extraordinárias de participantes, assistidos e patrocinadores, da eventual inadimplência e do tempo restante do equacionamento;</w:t>
            </w:r>
          </w:p>
        </w:tc>
        <w:tc>
          <w:tcPr>
            <w:tcW w:w="4074" w:type="dxa"/>
          </w:tcPr>
          <w:p w14:paraId="79BEE52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Devido a reorganização do ordenamento do conteúdo mínimo das notas explicativas, o inciso XIX do art. </w:t>
            </w:r>
            <w:r w:rsidRPr="00D462F0">
              <w:rPr>
                <w:rFonts w:asciiTheme="majorHAnsi" w:hAnsiTheme="majorHAnsi" w:cstheme="majorHAnsi"/>
                <w:sz w:val="24"/>
                <w:szCs w:val="24"/>
              </w:rPr>
              <w:lastRenderedPageBreak/>
              <w:t>208 foi realocado para inciso XXII do art. 208-A.</w:t>
            </w:r>
          </w:p>
          <w:p w14:paraId="41EA498C" w14:textId="77777777" w:rsidR="00EB19CA" w:rsidRPr="00D462F0" w:rsidRDefault="00EB19CA" w:rsidP="00D462F0">
            <w:pPr>
              <w:jc w:val="both"/>
              <w:rPr>
                <w:rFonts w:asciiTheme="majorHAnsi" w:hAnsiTheme="majorHAnsi" w:cstheme="majorHAnsi"/>
                <w:sz w:val="24"/>
                <w:szCs w:val="24"/>
              </w:rPr>
            </w:pPr>
          </w:p>
        </w:tc>
        <w:tc>
          <w:tcPr>
            <w:tcW w:w="4075" w:type="dxa"/>
          </w:tcPr>
          <w:p w14:paraId="541460BE" w14:textId="2B69A43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Idem art. 208-A</w:t>
            </w:r>
          </w:p>
        </w:tc>
      </w:tr>
      <w:tr w:rsidR="00EB19CA" w:rsidRPr="00C93770" w14:paraId="5A4EC93E" w14:textId="77777777" w:rsidTr="1756A420">
        <w:tc>
          <w:tcPr>
            <w:tcW w:w="4074" w:type="dxa"/>
          </w:tcPr>
          <w:p w14:paraId="49700324" w14:textId="77777777" w:rsidR="00EB19CA" w:rsidRPr="00D462F0" w:rsidRDefault="00EB19CA" w:rsidP="00D462F0">
            <w:pPr>
              <w:jc w:val="both"/>
              <w:rPr>
                <w:rFonts w:asciiTheme="majorHAnsi" w:hAnsiTheme="majorHAnsi" w:cstheme="majorHAnsi"/>
                <w:sz w:val="24"/>
                <w:szCs w:val="24"/>
              </w:rPr>
            </w:pPr>
          </w:p>
        </w:tc>
        <w:tc>
          <w:tcPr>
            <w:tcW w:w="4074" w:type="dxa"/>
          </w:tcPr>
          <w:p w14:paraId="69354727" w14:textId="0ECDC1DA"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XXIII - descrição de operações relativas à contratação de contribuições em atraso, de serviço passado, de déficit técnico e de outras indicando o valor contratado, o prazo de amortização, o valor da parcela, a data de vencimento, os juros pactuados e outras informações pertinentes;</w:t>
            </w:r>
          </w:p>
        </w:tc>
        <w:tc>
          <w:tcPr>
            <w:tcW w:w="4074" w:type="dxa"/>
          </w:tcPr>
          <w:p w14:paraId="069282F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VII do art. 208 foi realocado para inciso XXIII do art. 208-A.</w:t>
            </w:r>
          </w:p>
          <w:p w14:paraId="3BF7A385" w14:textId="77777777" w:rsidR="00EB19CA" w:rsidRPr="00D462F0" w:rsidRDefault="00EB19CA" w:rsidP="00D462F0">
            <w:pPr>
              <w:jc w:val="both"/>
              <w:rPr>
                <w:rFonts w:asciiTheme="majorHAnsi" w:hAnsiTheme="majorHAnsi" w:cstheme="majorHAnsi"/>
                <w:sz w:val="24"/>
                <w:szCs w:val="24"/>
              </w:rPr>
            </w:pPr>
          </w:p>
        </w:tc>
        <w:tc>
          <w:tcPr>
            <w:tcW w:w="4075" w:type="dxa"/>
          </w:tcPr>
          <w:p w14:paraId="264904ED" w14:textId="3DB61A9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2D4A3F1F" w14:textId="77777777" w:rsidTr="1756A420">
        <w:tc>
          <w:tcPr>
            <w:tcW w:w="4074" w:type="dxa"/>
          </w:tcPr>
          <w:p w14:paraId="1B8B44DD" w14:textId="77777777" w:rsidR="00EB19CA" w:rsidRPr="00D462F0" w:rsidRDefault="00EB19CA" w:rsidP="00D462F0">
            <w:pPr>
              <w:jc w:val="both"/>
              <w:rPr>
                <w:rFonts w:asciiTheme="majorHAnsi" w:hAnsiTheme="majorHAnsi" w:cstheme="majorHAnsi"/>
                <w:sz w:val="24"/>
                <w:szCs w:val="24"/>
              </w:rPr>
            </w:pPr>
          </w:p>
        </w:tc>
        <w:tc>
          <w:tcPr>
            <w:tcW w:w="4074" w:type="dxa"/>
          </w:tcPr>
          <w:p w14:paraId="48DD96FF" w14:textId="0E27C252"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XXIV - critérios utilizados para o rateio das despesas administrativas entre os planos de benefícios, se for o caso;</w:t>
            </w:r>
          </w:p>
        </w:tc>
        <w:tc>
          <w:tcPr>
            <w:tcW w:w="4074" w:type="dxa"/>
          </w:tcPr>
          <w:p w14:paraId="77F67DC3" w14:textId="265669A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 do art. 208 foi realocado para inciso XXIV do art. 208-A.</w:t>
            </w:r>
          </w:p>
        </w:tc>
        <w:tc>
          <w:tcPr>
            <w:tcW w:w="4075" w:type="dxa"/>
          </w:tcPr>
          <w:p w14:paraId="4643ACD5" w14:textId="5C1F14E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73E02477" w14:textId="77777777" w:rsidTr="1756A420">
        <w:tc>
          <w:tcPr>
            <w:tcW w:w="4074" w:type="dxa"/>
          </w:tcPr>
          <w:p w14:paraId="146456A4" w14:textId="4EC881F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685C84E7" w14:textId="2F721D2A"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XXV - descrição da constituição e reversão do fundo administrativo compartilhado;</w:t>
            </w:r>
          </w:p>
        </w:tc>
        <w:tc>
          <w:tcPr>
            <w:tcW w:w="4074" w:type="dxa"/>
          </w:tcPr>
          <w:p w14:paraId="47D5AB0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a fim de contemplar as informações do fundo administrativo compartilhado atendendo ao disposto no art. 11 da Resolução CNPC nº 62/2024.</w:t>
            </w:r>
          </w:p>
          <w:p w14:paraId="40637C04" w14:textId="77777777" w:rsidR="00EB19CA" w:rsidRPr="00D462F0" w:rsidRDefault="00EB19CA" w:rsidP="00D462F0">
            <w:pPr>
              <w:jc w:val="both"/>
              <w:rPr>
                <w:rFonts w:asciiTheme="majorHAnsi" w:hAnsiTheme="majorHAnsi" w:cstheme="majorHAnsi"/>
                <w:sz w:val="24"/>
                <w:szCs w:val="24"/>
              </w:rPr>
            </w:pPr>
          </w:p>
        </w:tc>
        <w:tc>
          <w:tcPr>
            <w:tcW w:w="4075" w:type="dxa"/>
          </w:tcPr>
          <w:p w14:paraId="43998716" w14:textId="6B0EEC0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553530BA" w14:textId="77777777" w:rsidTr="1756A420">
        <w:tc>
          <w:tcPr>
            <w:tcW w:w="4074" w:type="dxa"/>
          </w:tcPr>
          <w:p w14:paraId="78E3E263" w14:textId="7D2E3F89"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5970E53A" w14:textId="3682BDFD"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XXVI - indicação do saldo e detalhamento das despesas de fomento e de inovação referentes ao fundo administrativo compartilhado;</w:t>
            </w:r>
          </w:p>
        </w:tc>
        <w:tc>
          <w:tcPr>
            <w:tcW w:w="4074" w:type="dxa"/>
          </w:tcPr>
          <w:p w14:paraId="50BF51C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a fim de contemplar as informações de fomento e inovação atendendo ao disposto no art. 11 da Resolução CNPC nº 62/2024.</w:t>
            </w:r>
          </w:p>
          <w:p w14:paraId="5B16C640" w14:textId="77777777" w:rsidR="00EB19CA" w:rsidRPr="00D462F0" w:rsidRDefault="00EB19CA" w:rsidP="00D462F0">
            <w:pPr>
              <w:jc w:val="both"/>
              <w:rPr>
                <w:rFonts w:asciiTheme="majorHAnsi" w:hAnsiTheme="majorHAnsi" w:cstheme="majorHAnsi"/>
                <w:sz w:val="24"/>
                <w:szCs w:val="24"/>
              </w:rPr>
            </w:pPr>
          </w:p>
        </w:tc>
        <w:tc>
          <w:tcPr>
            <w:tcW w:w="4075" w:type="dxa"/>
          </w:tcPr>
          <w:p w14:paraId="13C05979" w14:textId="56B101F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106FFAC" w14:textId="77777777" w:rsidTr="1756A420">
        <w:tc>
          <w:tcPr>
            <w:tcW w:w="4074" w:type="dxa"/>
          </w:tcPr>
          <w:p w14:paraId="749B2B21" w14:textId="7248591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5FA5C6FC"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XXVII - indicação dos montantes de despesas de remuneração fixa e variável pagas no exercício a dirigentes, conselheiros, pessoal próprio e pessoal cedido, conforme política de remuneração da EFPC;</w:t>
            </w:r>
          </w:p>
          <w:p w14:paraId="7FD28FD7"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75CF925A"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Inclusão de inciso, para informar em notas explicativas os montantes pagos de remuneração fixa e variável de pessoal próprio e cedido, dirigentes e conselheiros, com a finalidade de ampliar a transparência quanto ao dispêndio realizado pelas EFPC no que tange a remuneração de pessoal, </w:t>
            </w:r>
            <w:r w:rsidRPr="00D462F0">
              <w:rPr>
                <w:rFonts w:asciiTheme="majorHAnsi" w:hAnsiTheme="majorHAnsi" w:cstheme="majorHAnsi"/>
                <w:sz w:val="24"/>
                <w:szCs w:val="24"/>
              </w:rPr>
              <w:lastRenderedPageBreak/>
              <w:t>possibilitando o acompanhamento pelos participantes, assistidos, patrocinadores, instituidores e pelo órgão fiscalizador, em consonância com a criação das contas contábeis específicas para registro da remuneração fixa e variável de dirigentes.</w:t>
            </w:r>
          </w:p>
          <w:p w14:paraId="4BE518E0" w14:textId="77777777" w:rsidR="00EB19CA" w:rsidRPr="00D462F0" w:rsidRDefault="00EB19CA" w:rsidP="00D462F0">
            <w:pPr>
              <w:jc w:val="both"/>
              <w:rPr>
                <w:rFonts w:asciiTheme="majorHAnsi" w:hAnsiTheme="majorHAnsi" w:cstheme="majorHAnsi"/>
                <w:sz w:val="24"/>
                <w:szCs w:val="24"/>
              </w:rPr>
            </w:pPr>
          </w:p>
        </w:tc>
        <w:tc>
          <w:tcPr>
            <w:tcW w:w="4075" w:type="dxa"/>
          </w:tcPr>
          <w:p w14:paraId="2EF82743" w14:textId="372E7A9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Idem art. 208-A</w:t>
            </w:r>
          </w:p>
        </w:tc>
      </w:tr>
      <w:tr w:rsidR="00EB19CA" w:rsidRPr="00C93770" w14:paraId="0CF3AE85" w14:textId="77777777" w:rsidTr="1756A420">
        <w:tc>
          <w:tcPr>
            <w:tcW w:w="4074" w:type="dxa"/>
          </w:tcPr>
          <w:p w14:paraId="3D973D7A"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p w14:paraId="048B2428" w14:textId="77777777" w:rsidR="00EB19CA" w:rsidRPr="00D462F0" w:rsidRDefault="00EB19CA" w:rsidP="00D462F0">
            <w:pPr>
              <w:jc w:val="both"/>
              <w:rPr>
                <w:rFonts w:asciiTheme="majorHAnsi" w:hAnsiTheme="majorHAnsi" w:cstheme="majorHAnsi"/>
                <w:sz w:val="24"/>
                <w:szCs w:val="24"/>
              </w:rPr>
            </w:pPr>
          </w:p>
        </w:tc>
        <w:tc>
          <w:tcPr>
            <w:tcW w:w="4074" w:type="dxa"/>
          </w:tcPr>
          <w:p w14:paraId="0D228C84"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XXVIII - descrição das receitas diretas administrativas;</w:t>
            </w:r>
          </w:p>
          <w:p w14:paraId="68F6CE9F"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01754F44"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a fim de que sejam informadas as despesas diretas administrativas previstas no art. 4º da Resolução CNPC nº 62/2024.</w:t>
            </w:r>
          </w:p>
          <w:p w14:paraId="5F61A905" w14:textId="77777777" w:rsidR="00EB19CA" w:rsidRPr="00D462F0" w:rsidRDefault="00EB19CA" w:rsidP="00D462F0">
            <w:pPr>
              <w:jc w:val="both"/>
              <w:rPr>
                <w:rFonts w:asciiTheme="majorHAnsi" w:hAnsiTheme="majorHAnsi" w:cstheme="majorHAnsi"/>
                <w:sz w:val="24"/>
                <w:szCs w:val="24"/>
              </w:rPr>
            </w:pPr>
          </w:p>
        </w:tc>
        <w:tc>
          <w:tcPr>
            <w:tcW w:w="4075" w:type="dxa"/>
          </w:tcPr>
          <w:p w14:paraId="409E1E0D" w14:textId="0C6E96B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34D11431" w14:textId="77777777" w:rsidTr="1756A420">
        <w:tc>
          <w:tcPr>
            <w:tcW w:w="4074" w:type="dxa"/>
          </w:tcPr>
          <w:p w14:paraId="15D702D4" w14:textId="77777777" w:rsidR="00EB19CA" w:rsidRPr="00D462F0" w:rsidRDefault="00EB19CA" w:rsidP="00D462F0">
            <w:pPr>
              <w:jc w:val="both"/>
              <w:rPr>
                <w:rFonts w:asciiTheme="majorHAnsi" w:hAnsiTheme="majorHAnsi" w:cstheme="majorHAnsi"/>
                <w:sz w:val="24"/>
                <w:szCs w:val="24"/>
              </w:rPr>
            </w:pPr>
          </w:p>
        </w:tc>
        <w:tc>
          <w:tcPr>
            <w:tcW w:w="4074" w:type="dxa"/>
          </w:tcPr>
          <w:p w14:paraId="74943CE7" w14:textId="0999522A"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XXIX - detalhamento dos saldos das contas que contenham a denominação "Outros", quando ultrapassarem, no total, um décimo do valor do respectivo grupo da referida conta;</w:t>
            </w:r>
          </w:p>
        </w:tc>
        <w:tc>
          <w:tcPr>
            <w:tcW w:w="4074" w:type="dxa"/>
          </w:tcPr>
          <w:p w14:paraId="75F16B77" w14:textId="59F1C62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XII do art. 208 foi realocado para inciso XXVIII do art. 208-A.</w:t>
            </w:r>
          </w:p>
        </w:tc>
        <w:tc>
          <w:tcPr>
            <w:tcW w:w="4075" w:type="dxa"/>
          </w:tcPr>
          <w:p w14:paraId="49B4B6AE" w14:textId="2B4B7A6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17929EB4" w14:textId="77777777" w:rsidTr="1756A420">
        <w:tc>
          <w:tcPr>
            <w:tcW w:w="4074" w:type="dxa"/>
          </w:tcPr>
          <w:p w14:paraId="5400739E" w14:textId="77777777" w:rsidR="00EB19CA" w:rsidRPr="00D462F0" w:rsidRDefault="00EB19CA" w:rsidP="00D462F0">
            <w:pPr>
              <w:jc w:val="both"/>
              <w:rPr>
                <w:rFonts w:asciiTheme="majorHAnsi" w:hAnsiTheme="majorHAnsi" w:cstheme="majorHAnsi"/>
                <w:sz w:val="24"/>
                <w:szCs w:val="24"/>
              </w:rPr>
            </w:pPr>
          </w:p>
        </w:tc>
        <w:tc>
          <w:tcPr>
            <w:tcW w:w="4074" w:type="dxa"/>
          </w:tcPr>
          <w:p w14:paraId="09A4AF39"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XXX - ajustes de exercícios anteriores decorrentes de mudanças de práticas contábeis ou de retificações de erros de períodos anteriores, não atribuíveis a eventos subsequentes, com descrição da natureza e dos seus respectivos efeitos, conforme normas do Conselho Federal de Contabilidade (CFC);</w:t>
            </w:r>
          </w:p>
          <w:p w14:paraId="306049BE"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0DE2C858"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VI do art. 208 foi realocado para inciso XXIX do art. 208-A.</w:t>
            </w:r>
          </w:p>
          <w:p w14:paraId="78F9D397" w14:textId="77777777" w:rsidR="00EB19CA" w:rsidRPr="00D462F0" w:rsidRDefault="00EB19CA" w:rsidP="00D462F0">
            <w:pPr>
              <w:jc w:val="both"/>
              <w:rPr>
                <w:rFonts w:asciiTheme="majorHAnsi" w:hAnsiTheme="majorHAnsi" w:cstheme="majorHAnsi"/>
                <w:sz w:val="24"/>
                <w:szCs w:val="24"/>
              </w:rPr>
            </w:pPr>
          </w:p>
        </w:tc>
        <w:tc>
          <w:tcPr>
            <w:tcW w:w="4075" w:type="dxa"/>
          </w:tcPr>
          <w:p w14:paraId="23373255" w14:textId="502C990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33BB4D38" w14:textId="77777777" w:rsidTr="1756A420">
        <w:tc>
          <w:tcPr>
            <w:tcW w:w="4074" w:type="dxa"/>
          </w:tcPr>
          <w:p w14:paraId="6EDF1F3A" w14:textId="77777777" w:rsidR="00EB19CA" w:rsidRPr="00D462F0" w:rsidRDefault="00EB19CA" w:rsidP="00D462F0">
            <w:pPr>
              <w:jc w:val="both"/>
              <w:rPr>
                <w:rFonts w:asciiTheme="majorHAnsi" w:hAnsiTheme="majorHAnsi" w:cstheme="majorHAnsi"/>
                <w:sz w:val="24"/>
                <w:szCs w:val="24"/>
              </w:rPr>
            </w:pPr>
          </w:p>
        </w:tc>
        <w:tc>
          <w:tcPr>
            <w:tcW w:w="4074" w:type="dxa"/>
          </w:tcPr>
          <w:p w14:paraId="00BDEAFC" w14:textId="59F6AEAD"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XXXI - detalhamento dos ajustes e eliminações decorrentes do processo de consolidação das Demonstrações Contábeis; e</w:t>
            </w:r>
          </w:p>
        </w:tc>
        <w:tc>
          <w:tcPr>
            <w:tcW w:w="4074" w:type="dxa"/>
          </w:tcPr>
          <w:p w14:paraId="10EC8337" w14:textId="6798119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Devido a reorganização do ordenamento do conteúdo mínimo das notas explicativas, o inciso XIII do art. 208 foi realocado para inciso XXX do art. 208-A. </w:t>
            </w:r>
          </w:p>
        </w:tc>
        <w:tc>
          <w:tcPr>
            <w:tcW w:w="4075" w:type="dxa"/>
          </w:tcPr>
          <w:p w14:paraId="5C729B43" w14:textId="4FE7B98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7CAA1C00" w14:textId="77777777" w:rsidTr="1756A420">
        <w:tc>
          <w:tcPr>
            <w:tcW w:w="4074" w:type="dxa"/>
          </w:tcPr>
          <w:p w14:paraId="338E207B" w14:textId="77777777" w:rsidR="00EB19CA" w:rsidRPr="00D462F0" w:rsidRDefault="00EB19CA" w:rsidP="00D462F0">
            <w:pPr>
              <w:jc w:val="both"/>
              <w:rPr>
                <w:rFonts w:asciiTheme="majorHAnsi" w:hAnsiTheme="majorHAnsi" w:cstheme="majorHAnsi"/>
                <w:sz w:val="24"/>
                <w:szCs w:val="24"/>
              </w:rPr>
            </w:pPr>
          </w:p>
        </w:tc>
        <w:tc>
          <w:tcPr>
            <w:tcW w:w="4074" w:type="dxa"/>
          </w:tcPr>
          <w:p w14:paraId="6E80DEEE" w14:textId="07C54A8F"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XXXII - eventos subsequentes à data de encerramento do exercício que tenham ou possam vir a ter efeitos relevantes sobre a situação financeira ou </w:t>
            </w:r>
            <w:r w:rsidRPr="00D462F0">
              <w:rPr>
                <w:rFonts w:asciiTheme="majorHAnsi" w:hAnsiTheme="majorHAnsi" w:cstheme="majorHAnsi"/>
                <w:bCs/>
                <w:color w:val="0000FF"/>
                <w:sz w:val="24"/>
                <w:szCs w:val="24"/>
              </w:rPr>
              <w:lastRenderedPageBreak/>
              <w:t>econômica dos planos de benefícios e do Plano de Gestão Administrativa.</w:t>
            </w:r>
          </w:p>
        </w:tc>
        <w:tc>
          <w:tcPr>
            <w:tcW w:w="4074" w:type="dxa"/>
          </w:tcPr>
          <w:p w14:paraId="36CA139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Devido a reorganização do ordenamento do conteúdo mínimo das notas explicativas, o inciso XV do art. 208 foi realocado para inciso XXXI do art. 208-A.</w:t>
            </w:r>
          </w:p>
          <w:p w14:paraId="60F53EE7" w14:textId="77777777" w:rsidR="00EB19CA" w:rsidRPr="00D462F0" w:rsidRDefault="00EB19CA" w:rsidP="00D462F0">
            <w:pPr>
              <w:jc w:val="both"/>
              <w:rPr>
                <w:rFonts w:asciiTheme="majorHAnsi" w:hAnsiTheme="majorHAnsi" w:cstheme="majorHAnsi"/>
                <w:sz w:val="24"/>
                <w:szCs w:val="24"/>
              </w:rPr>
            </w:pPr>
          </w:p>
        </w:tc>
        <w:tc>
          <w:tcPr>
            <w:tcW w:w="4075" w:type="dxa"/>
          </w:tcPr>
          <w:p w14:paraId="3B7B1A3B" w14:textId="015F225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Idem art. 208-A</w:t>
            </w:r>
          </w:p>
        </w:tc>
      </w:tr>
      <w:tr w:rsidR="00EB19CA" w:rsidRPr="00C93770" w14:paraId="0CE6FB17" w14:textId="77777777" w:rsidTr="1756A420">
        <w:tc>
          <w:tcPr>
            <w:tcW w:w="4074" w:type="dxa"/>
          </w:tcPr>
          <w:p w14:paraId="7074D39F"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p w14:paraId="250132A6" w14:textId="77777777" w:rsidR="00EB19CA" w:rsidRPr="00D462F0" w:rsidRDefault="00EB19CA" w:rsidP="00D462F0">
            <w:pPr>
              <w:jc w:val="both"/>
              <w:rPr>
                <w:rFonts w:asciiTheme="majorHAnsi" w:hAnsiTheme="majorHAnsi" w:cstheme="majorHAnsi"/>
                <w:sz w:val="24"/>
                <w:szCs w:val="24"/>
              </w:rPr>
            </w:pPr>
          </w:p>
        </w:tc>
        <w:tc>
          <w:tcPr>
            <w:tcW w:w="4074" w:type="dxa"/>
          </w:tcPr>
          <w:p w14:paraId="39B50ED7" w14:textId="77777777" w:rsidR="00EB19CA" w:rsidRPr="00D462F0" w:rsidRDefault="00EB19CA" w:rsidP="00D462F0">
            <w:pPr>
              <w:spacing w:after="160"/>
              <w:jc w:val="both"/>
              <w:rPr>
                <w:rFonts w:asciiTheme="majorHAnsi" w:hAnsiTheme="majorHAnsi" w:cstheme="majorHAnsi"/>
                <w:bCs/>
                <w:color w:val="0000FF"/>
                <w:sz w:val="24"/>
                <w:szCs w:val="24"/>
                <w:u w:val="single"/>
              </w:rPr>
            </w:pPr>
            <w:r w:rsidRPr="00D462F0">
              <w:rPr>
                <w:rFonts w:asciiTheme="majorHAnsi" w:hAnsiTheme="majorHAnsi" w:cstheme="majorHAnsi"/>
                <w:bCs/>
                <w:color w:val="0000FF"/>
                <w:sz w:val="24"/>
                <w:szCs w:val="24"/>
              </w:rPr>
              <w:t xml:space="preserve">Parágrafo único.  As EFPC podem complementar suas Notas Explicativas com informações adicionais às mínimas referidas no </w:t>
            </w:r>
            <w:r w:rsidRPr="00D462F0">
              <w:rPr>
                <w:rFonts w:asciiTheme="majorHAnsi" w:hAnsiTheme="majorHAnsi" w:cstheme="majorHAnsi"/>
                <w:bCs/>
                <w:i/>
                <w:iCs/>
                <w:color w:val="0000FF"/>
                <w:sz w:val="24"/>
                <w:szCs w:val="24"/>
              </w:rPr>
              <w:t>caput</w:t>
            </w:r>
            <w:r w:rsidRPr="00D462F0">
              <w:rPr>
                <w:rFonts w:asciiTheme="majorHAnsi" w:hAnsiTheme="majorHAnsi" w:cstheme="majorHAnsi"/>
                <w:bCs/>
                <w:color w:val="0000FF"/>
                <w:sz w:val="24"/>
                <w:szCs w:val="24"/>
              </w:rPr>
              <w:t>, nos próprios itens de que trata a matéria ou ao final dos itens mínimos.</w:t>
            </w:r>
          </w:p>
          <w:p w14:paraId="3A00CD84"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7207208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parágrafo pois, embora o caput estabeleça um rol mínimo de informações obrigatórias, a realidade das operações das EFPC pode demandar a divulgação de dados adicionais para refletir adequadamente a posição patrimonial e financeira da entidade. Assim, a inclusão de parágrafo único tem como finalidade possibilitar que informações complementares sejam incluídas nos próprios itens pertinentes ou ao final das divulgações mínimas, preservando-se a organização e a compreensibilidade das notas explicativas, ao mesmo tempo em que se garante flexibilidade para que cada EFPC evidencie peculiaridades relevantes à sua situação.</w:t>
            </w:r>
          </w:p>
          <w:p w14:paraId="4BD9182B" w14:textId="77777777" w:rsidR="00EB19CA" w:rsidRPr="00D462F0" w:rsidRDefault="00EB19CA" w:rsidP="00D462F0">
            <w:pPr>
              <w:jc w:val="both"/>
              <w:rPr>
                <w:rFonts w:asciiTheme="majorHAnsi" w:hAnsiTheme="majorHAnsi" w:cstheme="majorHAnsi"/>
                <w:sz w:val="24"/>
                <w:szCs w:val="24"/>
              </w:rPr>
            </w:pPr>
          </w:p>
        </w:tc>
        <w:tc>
          <w:tcPr>
            <w:tcW w:w="4075" w:type="dxa"/>
          </w:tcPr>
          <w:p w14:paraId="628113F1" w14:textId="1677B8D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375F60C0" w14:textId="77777777" w:rsidTr="1756A420">
        <w:tc>
          <w:tcPr>
            <w:tcW w:w="4074" w:type="dxa"/>
          </w:tcPr>
          <w:p w14:paraId="143B6279" w14:textId="09FB6CEC"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453D6983" w14:textId="0D8E5887"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005B136" w14:textId="77777777" w:rsidR="00EB19CA" w:rsidRPr="00D462F0" w:rsidRDefault="00EB19CA" w:rsidP="00D462F0">
            <w:pPr>
              <w:jc w:val="both"/>
              <w:rPr>
                <w:rFonts w:asciiTheme="majorHAnsi" w:hAnsiTheme="majorHAnsi" w:cstheme="majorHAnsi"/>
                <w:sz w:val="24"/>
                <w:szCs w:val="24"/>
              </w:rPr>
            </w:pPr>
          </w:p>
        </w:tc>
        <w:tc>
          <w:tcPr>
            <w:tcW w:w="4075" w:type="dxa"/>
          </w:tcPr>
          <w:p w14:paraId="556C50AA" w14:textId="77777777" w:rsidR="00EB19CA" w:rsidRPr="00D462F0" w:rsidRDefault="00EB19CA" w:rsidP="00D462F0">
            <w:pPr>
              <w:jc w:val="both"/>
              <w:rPr>
                <w:rFonts w:asciiTheme="majorHAnsi" w:hAnsiTheme="majorHAnsi" w:cstheme="majorHAnsi"/>
                <w:bCs/>
                <w:sz w:val="24"/>
                <w:szCs w:val="24"/>
              </w:rPr>
            </w:pPr>
          </w:p>
        </w:tc>
      </w:tr>
      <w:tr w:rsidR="00EB19CA" w:rsidRPr="00C93770" w14:paraId="4598BF5F" w14:textId="77777777" w:rsidTr="1756A420">
        <w:tc>
          <w:tcPr>
            <w:tcW w:w="4074" w:type="dxa"/>
          </w:tcPr>
          <w:p w14:paraId="03FC0830" w14:textId="77777777"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CAPÍTULO VI</w:t>
            </w:r>
          </w:p>
          <w:p w14:paraId="0CDE76CA" w14:textId="76D2C09F"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DAS REGRAS DE INVESTIMENTOS</w:t>
            </w:r>
          </w:p>
        </w:tc>
        <w:tc>
          <w:tcPr>
            <w:tcW w:w="4074" w:type="dxa"/>
          </w:tcPr>
          <w:p w14:paraId="0E3493E4" w14:textId="77777777"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CAPÍTULO VI</w:t>
            </w:r>
          </w:p>
          <w:p w14:paraId="4D7FE924" w14:textId="121A5CAF"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DAS REGRAS DE INVESTIMENTOS</w:t>
            </w:r>
          </w:p>
        </w:tc>
        <w:tc>
          <w:tcPr>
            <w:tcW w:w="4074" w:type="dxa"/>
          </w:tcPr>
          <w:p w14:paraId="3F1FE80A" w14:textId="77777777" w:rsidR="00EB19CA" w:rsidRPr="00D462F0" w:rsidRDefault="00EB19CA" w:rsidP="00D462F0">
            <w:pPr>
              <w:jc w:val="both"/>
              <w:rPr>
                <w:rFonts w:asciiTheme="majorHAnsi" w:hAnsiTheme="majorHAnsi" w:cstheme="majorHAnsi"/>
                <w:sz w:val="24"/>
                <w:szCs w:val="24"/>
              </w:rPr>
            </w:pPr>
          </w:p>
        </w:tc>
        <w:tc>
          <w:tcPr>
            <w:tcW w:w="4075" w:type="dxa"/>
          </w:tcPr>
          <w:p w14:paraId="461598EE" w14:textId="77777777" w:rsidR="00EB19CA" w:rsidRPr="00D462F0" w:rsidRDefault="00EB19CA" w:rsidP="00D462F0">
            <w:pPr>
              <w:jc w:val="both"/>
              <w:rPr>
                <w:rFonts w:asciiTheme="majorHAnsi" w:hAnsiTheme="majorHAnsi" w:cstheme="majorHAnsi"/>
                <w:bCs/>
                <w:sz w:val="24"/>
                <w:szCs w:val="24"/>
              </w:rPr>
            </w:pPr>
          </w:p>
        </w:tc>
      </w:tr>
      <w:tr w:rsidR="00EB19CA" w:rsidRPr="00C93770" w14:paraId="17C18B75" w14:textId="77777777" w:rsidTr="1756A420">
        <w:tc>
          <w:tcPr>
            <w:tcW w:w="4074" w:type="dxa"/>
          </w:tcPr>
          <w:p w14:paraId="0FF28258" w14:textId="18626AA9"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211.  As EFPC devem observar o disposto neste Capítulo para a operacionalização de procedimentos previstos na Resolução do Conselho Monetário Nacional sobre aplicação dos recursos dos planos administrados pelas entidades fechadas de previdência complementar.</w:t>
            </w:r>
          </w:p>
        </w:tc>
        <w:tc>
          <w:tcPr>
            <w:tcW w:w="4074" w:type="dxa"/>
          </w:tcPr>
          <w:p w14:paraId="657F33D9" w14:textId="73CF002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211.  As EFPC devem observar o disposto neste Capítulo para a operacionalização de procedimentos previstos na Resolução do Conselho Monetário Nacional sobre aplicação dos recursos dos planos </w:t>
            </w:r>
            <w:r w:rsidRPr="00D462F0">
              <w:rPr>
                <w:rFonts w:asciiTheme="majorHAnsi" w:hAnsiTheme="majorHAnsi" w:cstheme="majorHAnsi"/>
                <w:bCs/>
                <w:color w:val="0000FF"/>
                <w:sz w:val="24"/>
                <w:szCs w:val="24"/>
              </w:rPr>
              <w:t xml:space="preserve">de benefícios por elas </w:t>
            </w:r>
            <w:r w:rsidRPr="00D462F0">
              <w:rPr>
                <w:rFonts w:asciiTheme="majorHAnsi" w:hAnsiTheme="majorHAnsi" w:cstheme="majorHAnsi"/>
                <w:bCs/>
                <w:sz w:val="24"/>
                <w:szCs w:val="24"/>
              </w:rPr>
              <w:t>administrados</w:t>
            </w:r>
            <w:r w:rsidRPr="00D462F0">
              <w:rPr>
                <w:rFonts w:asciiTheme="majorHAnsi" w:hAnsiTheme="majorHAnsi" w:cstheme="majorHAnsi"/>
                <w:bCs/>
                <w:color w:val="0000FF"/>
                <w:sz w:val="24"/>
                <w:szCs w:val="24"/>
              </w:rPr>
              <w:t>,</w:t>
            </w:r>
            <w:r w:rsidRPr="00D462F0">
              <w:rPr>
                <w:rFonts w:asciiTheme="majorHAnsi" w:hAnsiTheme="majorHAnsi" w:cstheme="majorHAnsi"/>
                <w:bCs/>
                <w:sz w:val="24"/>
                <w:szCs w:val="24"/>
              </w:rPr>
              <w:t xml:space="preserve"> </w:t>
            </w:r>
            <w:r w:rsidRPr="00D462F0">
              <w:rPr>
                <w:rFonts w:asciiTheme="majorHAnsi" w:hAnsiTheme="majorHAnsi" w:cstheme="majorHAnsi"/>
                <w:bCs/>
                <w:strike/>
                <w:color w:val="EE0000"/>
                <w:sz w:val="24"/>
                <w:szCs w:val="24"/>
              </w:rPr>
              <w:t>pelas entidades fechadas de previdência complementar</w:t>
            </w:r>
            <w:r w:rsidRPr="00D462F0">
              <w:rPr>
                <w:rFonts w:asciiTheme="majorHAnsi" w:hAnsiTheme="majorHAnsi" w:cstheme="majorHAnsi"/>
                <w:bCs/>
                <w:color w:val="0000FF"/>
                <w:sz w:val="24"/>
                <w:szCs w:val="24"/>
              </w:rPr>
              <w:t xml:space="preserve"> bem como dos recursos do </w:t>
            </w:r>
            <w:r w:rsidR="00250981" w:rsidRPr="00D462F0">
              <w:rPr>
                <w:rFonts w:asciiTheme="majorHAnsi" w:hAnsiTheme="majorHAnsi" w:cstheme="majorHAnsi"/>
                <w:bCs/>
                <w:color w:val="0000FF"/>
                <w:sz w:val="24"/>
                <w:szCs w:val="24"/>
              </w:rPr>
              <w:t>Plano de Gestão Administrativa</w:t>
            </w:r>
            <w:r w:rsidRPr="00D462F0">
              <w:rPr>
                <w:rFonts w:asciiTheme="majorHAnsi" w:hAnsiTheme="majorHAnsi" w:cstheme="majorHAnsi"/>
                <w:bCs/>
                <w:color w:val="0000FF"/>
                <w:sz w:val="24"/>
                <w:szCs w:val="24"/>
              </w:rPr>
              <w:t>.</w:t>
            </w:r>
          </w:p>
        </w:tc>
        <w:tc>
          <w:tcPr>
            <w:tcW w:w="4074" w:type="dxa"/>
          </w:tcPr>
          <w:p w14:paraId="0B13940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Incluir referência ao Plano de Gestão de Administrativa – PGA em alinhamento à Resolução CMN nº 5.202, de 2025.</w:t>
            </w:r>
          </w:p>
          <w:p w14:paraId="5BF4E96B" w14:textId="4C3AE943" w:rsidR="00EB19CA" w:rsidRPr="00D462F0" w:rsidRDefault="00EB19CA" w:rsidP="00D462F0">
            <w:pPr>
              <w:jc w:val="both"/>
              <w:rPr>
                <w:rFonts w:asciiTheme="majorHAnsi" w:hAnsiTheme="majorHAnsi" w:cstheme="majorHAnsi"/>
                <w:sz w:val="24"/>
                <w:szCs w:val="24"/>
              </w:rPr>
            </w:pPr>
          </w:p>
        </w:tc>
        <w:tc>
          <w:tcPr>
            <w:tcW w:w="4075" w:type="dxa"/>
          </w:tcPr>
          <w:p w14:paraId="1038F108" w14:textId="77777777" w:rsidR="00EB19CA" w:rsidRPr="00D462F0" w:rsidRDefault="00EB19CA" w:rsidP="00D462F0">
            <w:pPr>
              <w:spacing w:after="160"/>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 A dispensa de AIR se baseia na necessidade de disciplinar direitos ou obrigações definidos em norma hierarquicamente superior, no caso a Resolução CMN nº 4.994, de 2022, que dispõe sobre as diretrizes de aplicação dos recursos garantidores das EFPC. A alteração do Art. 2º da Resolução do CMN inseriu expressamente o PGA na esfera de aplicabilidade da norma.</w:t>
            </w:r>
          </w:p>
          <w:p w14:paraId="5DAB82B0" w14:textId="77777777" w:rsidR="00EB19CA" w:rsidRPr="00D462F0" w:rsidRDefault="00EB19CA" w:rsidP="00D462F0">
            <w:pPr>
              <w:jc w:val="both"/>
              <w:rPr>
                <w:rFonts w:asciiTheme="majorHAnsi" w:hAnsiTheme="majorHAnsi" w:cstheme="majorHAnsi"/>
                <w:bCs/>
                <w:sz w:val="24"/>
                <w:szCs w:val="24"/>
              </w:rPr>
            </w:pPr>
          </w:p>
        </w:tc>
      </w:tr>
      <w:tr w:rsidR="00EB19CA" w:rsidRPr="00C93770" w14:paraId="713D488F" w14:textId="77777777" w:rsidTr="1756A420">
        <w:tc>
          <w:tcPr>
            <w:tcW w:w="4074" w:type="dxa"/>
            <w:vAlign w:val="center"/>
          </w:tcPr>
          <w:p w14:paraId="770FC218" w14:textId="7383740E"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lastRenderedPageBreak/>
              <w:t>Sem referência anterior.</w:t>
            </w:r>
          </w:p>
        </w:tc>
        <w:tc>
          <w:tcPr>
            <w:tcW w:w="4074" w:type="dxa"/>
          </w:tcPr>
          <w:p w14:paraId="32961492" w14:textId="6C488BFF"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§1º  As pessoas responsáveis pelo cumprimento das diretrizes de aplicação dos recursos garantidores dos planos de benefícios administrados pelas EFPC, devem empregar, no exercício de suas funções, o cuidado, a diligência e os padrões éticos que todo homem prudente, ativo e probo costuma empregar na administração do seu próprio plano previdenciário, observando os seguintes princípios:</w:t>
            </w:r>
          </w:p>
        </w:tc>
        <w:tc>
          <w:tcPr>
            <w:tcW w:w="4074" w:type="dxa"/>
          </w:tcPr>
          <w:p w14:paraId="74D137E8"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Inclusão das definições dos princípios elencados no art. 4º do Capítulo I da Resolução CMN nº 4.994, de 2022. </w:t>
            </w:r>
          </w:p>
          <w:p w14:paraId="429FF6A3" w14:textId="195ABE3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Redação utilizada no inciso I do art. 106 da Resolução CVM nº 175, de 2022. </w:t>
            </w:r>
          </w:p>
        </w:tc>
        <w:tc>
          <w:tcPr>
            <w:tcW w:w="4075" w:type="dxa"/>
          </w:tcPr>
          <w:p w14:paraId="493FEC11"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345028D6"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 xml:space="preserve"> </w:t>
            </w:r>
          </w:p>
          <w:p w14:paraId="023B595C"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 dispensa de AIR se baseia na necessidade preservar a higidez do mercado de previdência complementar. No contexto jurídico, "higidez" conota à qualidade do que é íntegro, saudável e válido, especialmente em relação a atos, contratos ou processos. Refere-se à ausência de vícios ou irregularidades que possam comprometer a validade e a eficácia de um ato jurídico. O dispositivo normativo em questão busca reforçar os princípios que permeiam a aplicação dos recursos garantidores das EFPC, disciplinados pelo Inciso I do art. 4º da Resolução CMN nº 4.994, de 2022, por meio do detalhamento de práticas e condutas que os materializam em contextos concretos de aplicação. Ao se reforçar as regras regulatórias aplicáveis à alocação dos recursos, a proposta busca garantir a qualidade e integridade das decisões de alocação e, por conseguinte, a higidez do mercado de previdência complementar fechada.</w:t>
            </w:r>
          </w:p>
          <w:p w14:paraId="0DC59DA4" w14:textId="77777777" w:rsidR="00EB19CA" w:rsidRPr="00D462F0" w:rsidRDefault="00EB19CA" w:rsidP="00D462F0">
            <w:pPr>
              <w:jc w:val="both"/>
              <w:rPr>
                <w:rFonts w:asciiTheme="majorHAnsi" w:hAnsiTheme="majorHAnsi" w:cstheme="majorHAnsi"/>
                <w:bCs/>
                <w:sz w:val="24"/>
                <w:szCs w:val="24"/>
              </w:rPr>
            </w:pPr>
          </w:p>
        </w:tc>
      </w:tr>
      <w:tr w:rsidR="00EB19CA" w:rsidRPr="00C93770" w14:paraId="70199777" w14:textId="77777777" w:rsidTr="1756A420">
        <w:tc>
          <w:tcPr>
            <w:tcW w:w="4074" w:type="dxa"/>
          </w:tcPr>
          <w:p w14:paraId="571587B0" w14:textId="39DFDA11"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tcPr>
          <w:p w14:paraId="700360F2" w14:textId="5BBD8822"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I - segurança: assunção de risco adequado por ativo financeiro, por carteira de investimentos, por segmento de aplicação, observados as políticas de investimentos e os estudos técnicos necessários que fundamentam a decisão negocial;</w:t>
            </w:r>
          </w:p>
        </w:tc>
        <w:tc>
          <w:tcPr>
            <w:tcW w:w="4074" w:type="dxa"/>
          </w:tcPr>
          <w:p w14:paraId="4CAB2756" w14:textId="111C558C"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Busca alinhar a gestão dos riscos à estratégia da EFPC, assegurando coerência com os objetivos de longo prazo e a prudência esperada dos responsáveis pelos investimentos.</w:t>
            </w:r>
          </w:p>
        </w:tc>
        <w:tc>
          <w:tcPr>
            <w:tcW w:w="4075" w:type="dxa"/>
          </w:tcPr>
          <w:p w14:paraId="5D10FF28" w14:textId="070AA37F"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tc>
      </w:tr>
      <w:tr w:rsidR="00EB19CA" w:rsidRPr="00C93770" w14:paraId="66374212" w14:textId="77777777" w:rsidTr="1756A420">
        <w:tc>
          <w:tcPr>
            <w:tcW w:w="4074" w:type="dxa"/>
          </w:tcPr>
          <w:p w14:paraId="20D4ACB0" w14:textId="3E2EE520"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lastRenderedPageBreak/>
              <w:t>Sem referência anterior.</w:t>
            </w:r>
          </w:p>
        </w:tc>
        <w:tc>
          <w:tcPr>
            <w:tcW w:w="4074" w:type="dxa"/>
          </w:tcPr>
          <w:p w14:paraId="19F1AA8A" w14:textId="2818D9FD"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II – rentabilidade: expectativa de retorno compatível com os objetivos fiduciários dos planos de benefícios, considerada a partir das projeções de retorno por ativo financeiro e segmento de aplicação definidos nas políticas de investimento, mediante decisões devidamente fundamentadas e registradas, com o reconhecimento de que a variabilidade dos resultados constitui característica inerente à aplicação dos recursos garantidores.</w:t>
            </w:r>
          </w:p>
        </w:tc>
        <w:tc>
          <w:tcPr>
            <w:tcW w:w="4074" w:type="dxa"/>
          </w:tcPr>
          <w:p w14:paraId="6728385D" w14:textId="5C6F7ED3"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Normatização do princípio da rentabilidade, conforme previsto na Resolução CMN nº 4.994, de 2022, com o objetivo de disciplinar que a expectativa de retorno deve ser considerada no processo de alocação dos recursos garantidores de forma motivada, fundamentada e registrada. Busca-se, assim, evidenciar que esse princípio deve ser observado em conjunto com os demais princípios aplicáveis, como segurança, solvência e liquidez.</w:t>
            </w:r>
          </w:p>
        </w:tc>
        <w:tc>
          <w:tcPr>
            <w:tcW w:w="4075" w:type="dxa"/>
          </w:tcPr>
          <w:p w14:paraId="0D072586" w14:textId="3C613C2B"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tc>
      </w:tr>
      <w:tr w:rsidR="00EB19CA" w:rsidRPr="00C93770" w14:paraId="352E590E" w14:textId="77777777" w:rsidTr="1756A420">
        <w:tc>
          <w:tcPr>
            <w:tcW w:w="4074" w:type="dxa"/>
          </w:tcPr>
          <w:p w14:paraId="70EE95D0" w14:textId="794E1D74"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tcPr>
          <w:p w14:paraId="0BF62E46" w14:textId="44CCD131"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III - solvência: capacidade financeira de honrar integralmente com os pagamentos futuros dos compromissos assumidos pelos planos de benefícios;</w:t>
            </w:r>
          </w:p>
        </w:tc>
        <w:tc>
          <w:tcPr>
            <w:tcW w:w="4074" w:type="dxa"/>
          </w:tcPr>
          <w:p w14:paraId="7E59E182" w14:textId="00822DE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Introdução necessária para reforçar o compromisso com a solvência financeira e atuarial dos planos de benefícios, alinhada às boas práticas de gestão previdenciária.</w:t>
            </w:r>
          </w:p>
        </w:tc>
        <w:tc>
          <w:tcPr>
            <w:tcW w:w="4075" w:type="dxa"/>
          </w:tcPr>
          <w:p w14:paraId="1D28B0DF"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592D2D43" w14:textId="77777777" w:rsidR="00EB19CA" w:rsidRPr="00D462F0" w:rsidRDefault="00EB19CA" w:rsidP="00D462F0">
            <w:pPr>
              <w:jc w:val="both"/>
              <w:rPr>
                <w:rFonts w:asciiTheme="majorHAnsi" w:hAnsiTheme="majorHAnsi" w:cstheme="majorHAnsi"/>
                <w:bCs/>
                <w:sz w:val="24"/>
                <w:szCs w:val="24"/>
              </w:rPr>
            </w:pPr>
          </w:p>
        </w:tc>
      </w:tr>
      <w:tr w:rsidR="00EB19CA" w:rsidRPr="00C93770" w14:paraId="05F599CA" w14:textId="77777777" w:rsidTr="1756A420">
        <w:tc>
          <w:tcPr>
            <w:tcW w:w="4074" w:type="dxa"/>
          </w:tcPr>
          <w:p w14:paraId="4E1B2F46" w14:textId="3D161156"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tcPr>
          <w:p w14:paraId="03F16B52" w14:textId="12A3E9AC"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IV – liquidez: suficiência e disponibilidade dos ativos financeiros dos planos de benefícios para o cumprimento tempestivo das obrigações assumidas, expressas nas políticas de investimento;</w:t>
            </w:r>
          </w:p>
        </w:tc>
        <w:tc>
          <w:tcPr>
            <w:tcW w:w="4074" w:type="dxa"/>
          </w:tcPr>
          <w:p w14:paraId="5FAEE8ED" w14:textId="354829F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Elemento fundamental de controle financeiro para garantir o cumprimento das obrigações com participantes e assistidos nos prazos corretos.</w:t>
            </w:r>
          </w:p>
        </w:tc>
        <w:tc>
          <w:tcPr>
            <w:tcW w:w="4075" w:type="dxa"/>
          </w:tcPr>
          <w:p w14:paraId="2C7F2208"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542AB885" w14:textId="77777777" w:rsidR="00EB19CA" w:rsidRPr="00D462F0" w:rsidRDefault="00EB19CA" w:rsidP="00D462F0">
            <w:pPr>
              <w:jc w:val="both"/>
              <w:rPr>
                <w:rFonts w:asciiTheme="majorHAnsi" w:hAnsiTheme="majorHAnsi" w:cstheme="majorHAnsi"/>
                <w:bCs/>
                <w:sz w:val="24"/>
                <w:szCs w:val="24"/>
              </w:rPr>
            </w:pPr>
          </w:p>
        </w:tc>
      </w:tr>
      <w:tr w:rsidR="00EB19CA" w:rsidRPr="00C93770" w14:paraId="3C9A62FD" w14:textId="77777777" w:rsidTr="1756A420">
        <w:tc>
          <w:tcPr>
            <w:tcW w:w="4074" w:type="dxa"/>
          </w:tcPr>
          <w:p w14:paraId="3A199B32" w14:textId="244947F4"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tcPr>
          <w:p w14:paraId="0363AB94" w14:textId="2A5A1437"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V – motivação: fundamentação clara, objetiva e consistente das decisões, capaz de assegurar a regularidade dos atos praticados, evidenciar a observância da boa-fé, diligência e lealdade, e refletir a busca pelo melhor interesse do plano de benefícios e o cumprimento do dever fiduciário em relação aos participantes e assistidos, com manutenção de registros que evidenciem as decisões e os fundamentos técnicos que as justificam;</w:t>
            </w:r>
          </w:p>
        </w:tc>
        <w:tc>
          <w:tcPr>
            <w:tcW w:w="4074" w:type="dxa"/>
          </w:tcPr>
          <w:p w14:paraId="21B9FB26" w14:textId="5CC63AC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 redação busca reforçar a importância da transparência e da motivação das decisões que envolvem recursos de terceiros, alinhando-se ao conceito de ato de gestão regular previsto no art. 230 da Resolução Previc nº 23/2023. Inspira-se na teoria da </w:t>
            </w:r>
            <w:r w:rsidRPr="00D462F0">
              <w:rPr>
                <w:rFonts w:asciiTheme="majorHAnsi" w:hAnsiTheme="majorHAnsi" w:cstheme="majorHAnsi"/>
                <w:i/>
                <w:iCs/>
                <w:sz w:val="24"/>
                <w:szCs w:val="24"/>
              </w:rPr>
              <w:t xml:space="preserve">business </w:t>
            </w:r>
            <w:proofErr w:type="spellStart"/>
            <w:r w:rsidRPr="00D462F0">
              <w:rPr>
                <w:rFonts w:asciiTheme="majorHAnsi" w:hAnsiTheme="majorHAnsi" w:cstheme="majorHAnsi"/>
                <w:i/>
                <w:iCs/>
                <w:sz w:val="24"/>
                <w:szCs w:val="24"/>
              </w:rPr>
              <w:t>judgement</w:t>
            </w:r>
            <w:proofErr w:type="spellEnd"/>
            <w:r w:rsidRPr="00D462F0">
              <w:rPr>
                <w:rFonts w:asciiTheme="majorHAnsi" w:hAnsiTheme="majorHAnsi" w:cstheme="majorHAnsi"/>
                <w:i/>
                <w:iCs/>
                <w:sz w:val="24"/>
                <w:szCs w:val="24"/>
              </w:rPr>
              <w:t xml:space="preserve"> </w:t>
            </w:r>
            <w:proofErr w:type="spellStart"/>
            <w:r w:rsidRPr="00D462F0">
              <w:rPr>
                <w:rFonts w:asciiTheme="majorHAnsi" w:hAnsiTheme="majorHAnsi" w:cstheme="majorHAnsi"/>
                <w:i/>
                <w:iCs/>
                <w:sz w:val="24"/>
                <w:szCs w:val="24"/>
              </w:rPr>
              <w:t>rule</w:t>
            </w:r>
            <w:proofErr w:type="spellEnd"/>
            <w:r w:rsidRPr="00D462F0">
              <w:rPr>
                <w:rFonts w:asciiTheme="majorHAnsi" w:hAnsiTheme="majorHAnsi" w:cstheme="majorHAnsi"/>
                <w:sz w:val="24"/>
                <w:szCs w:val="24"/>
              </w:rPr>
              <w:t>, segundo a qual decisões tomadas de forma informada, refletida e desinteressada são presumidamente legítimas, mesmo que os resultados não sejam os esperados.</w:t>
            </w:r>
          </w:p>
        </w:tc>
        <w:tc>
          <w:tcPr>
            <w:tcW w:w="4075" w:type="dxa"/>
          </w:tcPr>
          <w:p w14:paraId="3BC9B1FF"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76E4A4FD" w14:textId="77777777" w:rsidR="00EB19CA" w:rsidRPr="00D462F0" w:rsidRDefault="00EB19CA" w:rsidP="00D462F0">
            <w:pPr>
              <w:jc w:val="both"/>
              <w:rPr>
                <w:rFonts w:asciiTheme="majorHAnsi" w:hAnsiTheme="majorHAnsi" w:cstheme="majorHAnsi"/>
                <w:bCs/>
                <w:sz w:val="24"/>
                <w:szCs w:val="24"/>
              </w:rPr>
            </w:pPr>
          </w:p>
        </w:tc>
      </w:tr>
      <w:tr w:rsidR="00EB19CA" w:rsidRPr="00C93770" w14:paraId="27BC3D17" w14:textId="77777777" w:rsidTr="1756A420">
        <w:tc>
          <w:tcPr>
            <w:tcW w:w="4074" w:type="dxa"/>
          </w:tcPr>
          <w:p w14:paraId="09D45F1A" w14:textId="43BE44F9"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lastRenderedPageBreak/>
              <w:t>Sem referência anterior.</w:t>
            </w:r>
          </w:p>
        </w:tc>
        <w:tc>
          <w:tcPr>
            <w:tcW w:w="4074" w:type="dxa"/>
            <w:vAlign w:val="center"/>
          </w:tcPr>
          <w:p w14:paraId="33511E18" w14:textId="7568ED47"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VI – adequação às obrigações: compatibilidade entre as políticas de investimento, as características previdenciárias de cada plano de benefícios e a estrutura das demais obrigações assumidas;</w:t>
            </w:r>
          </w:p>
        </w:tc>
        <w:tc>
          <w:tcPr>
            <w:tcW w:w="4074" w:type="dxa"/>
          </w:tcPr>
          <w:p w14:paraId="49FC5AA8" w14:textId="5563C16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Estabelece vínculo entre o passivo atuarial e a política de investimentos, assegurando aderência entre o fluxo de ativos e as obrigações previdenciárias.</w:t>
            </w:r>
          </w:p>
        </w:tc>
        <w:tc>
          <w:tcPr>
            <w:tcW w:w="4075" w:type="dxa"/>
          </w:tcPr>
          <w:p w14:paraId="6EFFECD3"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712EB3FF" w14:textId="77777777" w:rsidR="00EB19CA" w:rsidRPr="00D462F0" w:rsidRDefault="00EB19CA" w:rsidP="00D462F0">
            <w:pPr>
              <w:jc w:val="both"/>
              <w:rPr>
                <w:rFonts w:asciiTheme="majorHAnsi" w:hAnsiTheme="majorHAnsi" w:cstheme="majorHAnsi"/>
                <w:bCs/>
                <w:sz w:val="24"/>
                <w:szCs w:val="24"/>
              </w:rPr>
            </w:pPr>
          </w:p>
        </w:tc>
      </w:tr>
      <w:tr w:rsidR="00EB19CA" w:rsidRPr="00C93770" w14:paraId="35CF535A" w14:textId="77777777" w:rsidTr="1756A420">
        <w:tc>
          <w:tcPr>
            <w:tcW w:w="4074" w:type="dxa"/>
          </w:tcPr>
          <w:p w14:paraId="7B807424" w14:textId="6B2D5B60"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vAlign w:val="center"/>
          </w:tcPr>
          <w:p w14:paraId="09F492A6" w14:textId="4617747A"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VII – transparência: disponibilização, em linguagem clara, simples e acessível, das informações relativas à política de investimento e à carteira de ativos financeiros para os participantes, assistidos, patrocinadores, instituidores e para o órgão fiscalizador das operações da EFPC;</w:t>
            </w:r>
          </w:p>
        </w:tc>
        <w:tc>
          <w:tcPr>
            <w:tcW w:w="4074" w:type="dxa"/>
          </w:tcPr>
          <w:p w14:paraId="06AAB0AB" w14:textId="0CDC36E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Visa assegurar clareza e acessibilidade das informações aos stakeholders, em consonância com princípios de governança e prestação de contas.</w:t>
            </w:r>
          </w:p>
        </w:tc>
        <w:tc>
          <w:tcPr>
            <w:tcW w:w="4075" w:type="dxa"/>
          </w:tcPr>
          <w:p w14:paraId="7731FEF2"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5D4832BD" w14:textId="77777777" w:rsidR="00EB19CA" w:rsidRPr="00D462F0" w:rsidRDefault="00EB19CA" w:rsidP="00D462F0">
            <w:pPr>
              <w:jc w:val="both"/>
              <w:rPr>
                <w:rFonts w:asciiTheme="majorHAnsi" w:hAnsiTheme="majorHAnsi" w:cstheme="majorHAnsi"/>
                <w:bCs/>
                <w:sz w:val="24"/>
                <w:szCs w:val="24"/>
              </w:rPr>
            </w:pPr>
          </w:p>
        </w:tc>
      </w:tr>
      <w:tr w:rsidR="00EB19CA" w:rsidRPr="00C93770" w14:paraId="4A547953" w14:textId="77777777" w:rsidTr="1756A420">
        <w:tc>
          <w:tcPr>
            <w:tcW w:w="4074" w:type="dxa"/>
          </w:tcPr>
          <w:p w14:paraId="6DBD839A" w14:textId="540E865E"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vAlign w:val="center"/>
          </w:tcPr>
          <w:p w14:paraId="1A6E97F8" w14:textId="4C45B91C"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 2º  Além do disposto no § 1º, a EFPC deve empregar, no exercício de suas atividades, conduta pautada em:</w:t>
            </w:r>
          </w:p>
        </w:tc>
        <w:tc>
          <w:tcPr>
            <w:tcW w:w="4074" w:type="dxa"/>
          </w:tcPr>
          <w:p w14:paraId="1FC8C3A9" w14:textId="77777777" w:rsidR="00EB19CA" w:rsidRPr="00D462F0" w:rsidRDefault="00EB19CA" w:rsidP="00D462F0">
            <w:pPr>
              <w:jc w:val="both"/>
              <w:rPr>
                <w:rFonts w:asciiTheme="majorHAnsi" w:hAnsiTheme="majorHAnsi" w:cstheme="majorHAnsi"/>
                <w:sz w:val="24"/>
                <w:szCs w:val="24"/>
              </w:rPr>
            </w:pPr>
          </w:p>
        </w:tc>
        <w:tc>
          <w:tcPr>
            <w:tcW w:w="4075" w:type="dxa"/>
          </w:tcPr>
          <w:p w14:paraId="29DB55C5"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7406F791" w14:textId="77777777" w:rsidR="00EB19CA" w:rsidRPr="00D462F0" w:rsidRDefault="00EB19CA" w:rsidP="00D462F0">
            <w:pPr>
              <w:jc w:val="both"/>
              <w:rPr>
                <w:rFonts w:asciiTheme="majorHAnsi" w:hAnsiTheme="majorHAnsi" w:cstheme="majorHAnsi"/>
                <w:bCs/>
                <w:sz w:val="24"/>
                <w:szCs w:val="24"/>
              </w:rPr>
            </w:pPr>
          </w:p>
        </w:tc>
      </w:tr>
      <w:tr w:rsidR="00EB19CA" w:rsidRPr="00C93770" w14:paraId="7D0D2F5E" w14:textId="77777777" w:rsidTr="1756A420">
        <w:tc>
          <w:tcPr>
            <w:tcW w:w="4074" w:type="dxa"/>
          </w:tcPr>
          <w:p w14:paraId="25BF448A" w14:textId="5E761DF0"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vAlign w:val="center"/>
          </w:tcPr>
          <w:p w14:paraId="35B51E60" w14:textId="746762F1"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I - boa-fé: dever de agir com lealdade, ética, honestidade e probidade, adotando um padrão de conduta compatível com as responsabilidades que foram conferidas;</w:t>
            </w:r>
          </w:p>
        </w:tc>
        <w:tc>
          <w:tcPr>
            <w:tcW w:w="4074" w:type="dxa"/>
          </w:tcPr>
          <w:p w14:paraId="3D4BA0D3"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Mantém o conceito de boa-fé em sentido amplo, conforme a Resolução CMN nº 5.202, de 2025. A inclusão da expressão “objetiva” pode restringir indevidamente o escopo da norma superior, causando conflito jurídico.</w:t>
            </w:r>
          </w:p>
          <w:p w14:paraId="005B2438" w14:textId="77777777" w:rsidR="00EB19CA" w:rsidRPr="00D462F0" w:rsidRDefault="00EB19CA" w:rsidP="00D462F0">
            <w:pPr>
              <w:jc w:val="both"/>
              <w:rPr>
                <w:rFonts w:asciiTheme="majorHAnsi" w:hAnsiTheme="majorHAnsi" w:cstheme="majorHAnsi"/>
                <w:sz w:val="24"/>
                <w:szCs w:val="24"/>
              </w:rPr>
            </w:pPr>
          </w:p>
        </w:tc>
        <w:tc>
          <w:tcPr>
            <w:tcW w:w="4075" w:type="dxa"/>
          </w:tcPr>
          <w:p w14:paraId="1965A070"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43891591" w14:textId="77777777" w:rsidR="00EB19CA" w:rsidRPr="00D462F0" w:rsidRDefault="00EB19CA" w:rsidP="00D462F0">
            <w:pPr>
              <w:jc w:val="both"/>
              <w:rPr>
                <w:rFonts w:asciiTheme="majorHAnsi" w:hAnsiTheme="majorHAnsi" w:cstheme="majorHAnsi"/>
                <w:bCs/>
                <w:sz w:val="24"/>
                <w:szCs w:val="24"/>
              </w:rPr>
            </w:pPr>
          </w:p>
        </w:tc>
      </w:tr>
      <w:tr w:rsidR="00EB19CA" w:rsidRPr="00C93770" w14:paraId="6FC4D27C" w14:textId="77777777" w:rsidTr="1756A420">
        <w:tc>
          <w:tcPr>
            <w:tcW w:w="4074" w:type="dxa"/>
          </w:tcPr>
          <w:p w14:paraId="7DDF339D" w14:textId="6AC89DBC"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vAlign w:val="center"/>
          </w:tcPr>
          <w:p w14:paraId="76CC01A6" w14:textId="2D582637"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II – lealdade: agir no interesse exclusivo dos participantes e assistidos, evitando situações de potencial conflito de interesses;</w:t>
            </w:r>
          </w:p>
        </w:tc>
        <w:tc>
          <w:tcPr>
            <w:tcW w:w="4074" w:type="dxa"/>
          </w:tcPr>
          <w:p w14:paraId="0B6821A3" w14:textId="29BEDBA2"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t>Reflete compromisso com os interesses dos participantes e assistidos, buscando evitar conflitos e privilegiar decisões imparciais.</w:t>
            </w:r>
          </w:p>
        </w:tc>
        <w:tc>
          <w:tcPr>
            <w:tcW w:w="4075" w:type="dxa"/>
          </w:tcPr>
          <w:p w14:paraId="19FC8C8D"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34DF2615" w14:textId="77777777" w:rsidR="00EB19CA" w:rsidRPr="00D462F0" w:rsidRDefault="00EB19CA" w:rsidP="00D462F0">
            <w:pPr>
              <w:jc w:val="both"/>
              <w:rPr>
                <w:rFonts w:asciiTheme="majorHAnsi" w:hAnsiTheme="majorHAnsi" w:cstheme="majorHAnsi"/>
                <w:bCs/>
                <w:sz w:val="24"/>
                <w:szCs w:val="24"/>
              </w:rPr>
            </w:pPr>
          </w:p>
        </w:tc>
      </w:tr>
      <w:tr w:rsidR="00EB19CA" w:rsidRPr="00C93770" w14:paraId="615889EC" w14:textId="77777777" w:rsidTr="1756A420">
        <w:tc>
          <w:tcPr>
            <w:tcW w:w="4074" w:type="dxa"/>
          </w:tcPr>
          <w:p w14:paraId="6CCBDD99" w14:textId="08A8C7A1"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vAlign w:val="center"/>
          </w:tcPr>
          <w:p w14:paraId="64012ED7" w14:textId="4DFF2D20"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 xml:space="preserve">III – diligência: busca de informações relevantes para fundamentar as decisões e adoção de conduta pautada em cuidado técnico, avaliando os riscos envolvidos e observando as melhores práticas, para garantir o cumprimento do dever fiduciário em relação aos participantes e assistidos dos planos de benefícios; </w:t>
            </w:r>
          </w:p>
        </w:tc>
        <w:tc>
          <w:tcPr>
            <w:tcW w:w="4074" w:type="dxa"/>
          </w:tcPr>
          <w:p w14:paraId="1C6EDC7A" w14:textId="517302F5"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t>Incentiva atuação informada, prudente e com embasamento técnico na gestão dos recursos previdenciários em estrita observância ao dever fiduciário que o gestor deve ter em relação ao plano de benefícios, seus participantes e assistidos.</w:t>
            </w:r>
          </w:p>
        </w:tc>
        <w:tc>
          <w:tcPr>
            <w:tcW w:w="4075" w:type="dxa"/>
          </w:tcPr>
          <w:p w14:paraId="640CFD26" w14:textId="44456525"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tc>
      </w:tr>
      <w:tr w:rsidR="00EB19CA" w:rsidRPr="00C93770" w14:paraId="7081572F" w14:textId="77777777" w:rsidTr="1756A420">
        <w:tc>
          <w:tcPr>
            <w:tcW w:w="4074" w:type="dxa"/>
          </w:tcPr>
          <w:p w14:paraId="1CB00AE3" w14:textId="354604C0"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lastRenderedPageBreak/>
              <w:t>Sem referência anterior.</w:t>
            </w:r>
          </w:p>
        </w:tc>
        <w:tc>
          <w:tcPr>
            <w:tcW w:w="4074" w:type="dxa"/>
            <w:vAlign w:val="center"/>
          </w:tcPr>
          <w:p w14:paraId="289E6C60" w14:textId="5A30F817"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IV - tempestividade: capacidade em se adaptar com presteza, dentro do tempo adequado, às condições de mercado, às necessidades e objetivos de longo prazo dos planos de benefícios, a partir da tomada de decisões negociais de forma ágil, prudente e eficaz; e</w:t>
            </w:r>
          </w:p>
        </w:tc>
        <w:tc>
          <w:tcPr>
            <w:tcW w:w="4074" w:type="dxa"/>
          </w:tcPr>
          <w:p w14:paraId="60B06468" w14:textId="23AA68FE"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t>Garante que as decisões acompanhem mudanças de mercado com agilidade, sem comprometer a prudência e em tempo hábil.</w:t>
            </w:r>
          </w:p>
        </w:tc>
        <w:tc>
          <w:tcPr>
            <w:tcW w:w="4075" w:type="dxa"/>
          </w:tcPr>
          <w:p w14:paraId="5B8A9B8F"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6A08D933" w14:textId="77777777" w:rsidR="00EB19CA" w:rsidRPr="00D462F0" w:rsidRDefault="00EB19CA" w:rsidP="00D462F0">
            <w:pPr>
              <w:jc w:val="both"/>
              <w:rPr>
                <w:rFonts w:asciiTheme="majorHAnsi" w:hAnsiTheme="majorHAnsi" w:cstheme="majorHAnsi"/>
                <w:bCs/>
                <w:sz w:val="24"/>
                <w:szCs w:val="24"/>
              </w:rPr>
            </w:pPr>
          </w:p>
        </w:tc>
      </w:tr>
      <w:tr w:rsidR="00EB19CA" w:rsidRPr="00C93770" w14:paraId="75DECF75" w14:textId="77777777" w:rsidTr="1756A420">
        <w:tc>
          <w:tcPr>
            <w:tcW w:w="4074" w:type="dxa"/>
          </w:tcPr>
          <w:p w14:paraId="2CFAA83A" w14:textId="6F7E9B22"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vAlign w:val="center"/>
          </w:tcPr>
          <w:p w14:paraId="2714802E" w14:textId="67124D8D"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V – prudência: adoção de conduta pautada em cautela e equilíbrio na tomada de decisões de investimentos, com julgamento refletido e análise criteriosa dos impactos sobre os planos de benefícios e seus participantes, assistidos, patrocinadores e instituidores.</w:t>
            </w:r>
          </w:p>
        </w:tc>
        <w:tc>
          <w:tcPr>
            <w:tcW w:w="4074" w:type="dxa"/>
          </w:tcPr>
          <w:p w14:paraId="588626A6" w14:textId="44361122"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t>Incorpora princípio basilar da gestão previdenciária, fundamental para preservação de reservas e sustentabilidade dos planos.</w:t>
            </w:r>
          </w:p>
        </w:tc>
        <w:tc>
          <w:tcPr>
            <w:tcW w:w="4075" w:type="dxa"/>
          </w:tcPr>
          <w:p w14:paraId="2D858227" w14:textId="693C294E"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EB19CA" w:rsidRPr="00C93770" w14:paraId="4ECDF178" w14:textId="77777777" w:rsidTr="1756A420">
        <w:tc>
          <w:tcPr>
            <w:tcW w:w="4074" w:type="dxa"/>
          </w:tcPr>
          <w:p w14:paraId="44097B04"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w:t>
            </w:r>
          </w:p>
          <w:p w14:paraId="7FC9ABAB" w14:textId="3AC10E96"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Política de Investimento</w:t>
            </w:r>
          </w:p>
        </w:tc>
        <w:tc>
          <w:tcPr>
            <w:tcW w:w="4074" w:type="dxa"/>
          </w:tcPr>
          <w:p w14:paraId="1B596AEF"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w:t>
            </w:r>
          </w:p>
          <w:p w14:paraId="76CBBC2C" w14:textId="50680F84"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Política de Investimento</w:t>
            </w:r>
          </w:p>
        </w:tc>
        <w:tc>
          <w:tcPr>
            <w:tcW w:w="4074" w:type="dxa"/>
          </w:tcPr>
          <w:p w14:paraId="00FEEA56" w14:textId="77777777" w:rsidR="00EB19CA" w:rsidRPr="00D462F0" w:rsidRDefault="00EB19CA" w:rsidP="0028717C">
            <w:pPr>
              <w:jc w:val="center"/>
              <w:rPr>
                <w:rFonts w:asciiTheme="majorHAnsi" w:hAnsiTheme="majorHAnsi" w:cstheme="majorHAnsi"/>
                <w:sz w:val="24"/>
                <w:szCs w:val="24"/>
              </w:rPr>
            </w:pPr>
          </w:p>
        </w:tc>
        <w:tc>
          <w:tcPr>
            <w:tcW w:w="4075" w:type="dxa"/>
          </w:tcPr>
          <w:p w14:paraId="4E708C94" w14:textId="77777777" w:rsidR="00EB19CA" w:rsidRPr="00D462F0" w:rsidRDefault="00EB19CA" w:rsidP="00D462F0">
            <w:pPr>
              <w:jc w:val="both"/>
              <w:rPr>
                <w:rFonts w:asciiTheme="majorHAnsi" w:hAnsiTheme="majorHAnsi" w:cstheme="majorHAnsi"/>
                <w:bCs/>
                <w:sz w:val="24"/>
                <w:szCs w:val="24"/>
              </w:rPr>
            </w:pPr>
          </w:p>
        </w:tc>
      </w:tr>
      <w:tr w:rsidR="00EB19CA" w:rsidRPr="00C93770" w14:paraId="5B7E90A6" w14:textId="77777777" w:rsidTr="1756A420">
        <w:tc>
          <w:tcPr>
            <w:tcW w:w="4074" w:type="dxa"/>
          </w:tcPr>
          <w:p w14:paraId="4DB55685" w14:textId="3B04EAD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212.  A política de investimento deve conter, no mínimo, as seguintes informações:</w:t>
            </w:r>
          </w:p>
        </w:tc>
        <w:tc>
          <w:tcPr>
            <w:tcW w:w="4074" w:type="dxa"/>
          </w:tcPr>
          <w:p w14:paraId="40C5028F" w14:textId="37851DB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212.  ...</w:t>
            </w:r>
          </w:p>
        </w:tc>
        <w:tc>
          <w:tcPr>
            <w:tcW w:w="4074" w:type="dxa"/>
          </w:tcPr>
          <w:p w14:paraId="61000469" w14:textId="46306620" w:rsidR="00EB19CA" w:rsidRPr="00D462F0" w:rsidRDefault="006414E3"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58B60F87" w14:textId="77777777" w:rsidR="00EB19CA" w:rsidRPr="00D462F0" w:rsidRDefault="00EB19CA" w:rsidP="00D462F0">
            <w:pPr>
              <w:jc w:val="both"/>
              <w:rPr>
                <w:rFonts w:asciiTheme="majorHAnsi" w:hAnsiTheme="majorHAnsi" w:cstheme="majorHAnsi"/>
                <w:bCs/>
                <w:sz w:val="24"/>
                <w:szCs w:val="24"/>
              </w:rPr>
            </w:pPr>
          </w:p>
        </w:tc>
      </w:tr>
      <w:tr w:rsidR="00297D09" w:rsidRPr="00C93770" w14:paraId="709C53DC" w14:textId="77777777" w:rsidTr="1756A420">
        <w:tc>
          <w:tcPr>
            <w:tcW w:w="4074" w:type="dxa"/>
          </w:tcPr>
          <w:p w14:paraId="6DEFF553" w14:textId="07D57B91" w:rsidR="00297D09" w:rsidRPr="00D462F0" w:rsidRDefault="00297D09"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29A37135" w14:textId="64AA1844" w:rsidR="00297D09" w:rsidRPr="00D462F0" w:rsidRDefault="00297D09"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E3AC20F" w14:textId="77777777" w:rsidR="00297D09" w:rsidRPr="00D462F0" w:rsidRDefault="00297D09" w:rsidP="00D462F0">
            <w:pPr>
              <w:jc w:val="both"/>
              <w:rPr>
                <w:rFonts w:asciiTheme="majorHAnsi" w:hAnsiTheme="majorHAnsi" w:cstheme="majorHAnsi"/>
                <w:sz w:val="24"/>
                <w:szCs w:val="24"/>
              </w:rPr>
            </w:pPr>
          </w:p>
        </w:tc>
        <w:tc>
          <w:tcPr>
            <w:tcW w:w="4075" w:type="dxa"/>
          </w:tcPr>
          <w:p w14:paraId="2F33C86A" w14:textId="77777777" w:rsidR="00297D09" w:rsidRPr="00D462F0" w:rsidRDefault="00297D09" w:rsidP="00D462F0">
            <w:pPr>
              <w:jc w:val="both"/>
              <w:rPr>
                <w:rFonts w:asciiTheme="majorHAnsi" w:hAnsiTheme="majorHAnsi" w:cstheme="majorHAnsi"/>
                <w:bCs/>
                <w:sz w:val="24"/>
                <w:szCs w:val="24"/>
              </w:rPr>
            </w:pPr>
          </w:p>
        </w:tc>
      </w:tr>
      <w:tr w:rsidR="00EB19CA" w:rsidRPr="00C93770" w14:paraId="51A24D49" w14:textId="77777777" w:rsidTr="1756A420">
        <w:tc>
          <w:tcPr>
            <w:tcW w:w="4074" w:type="dxa"/>
          </w:tcPr>
          <w:p w14:paraId="21800BA5" w14:textId="10430C0C"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III - a rentabilidade auferida por plano e segmento de aplicação nos cinco exercícios anteriores da política de investimento do exercício de referência, de forma acumulada e por exercício;</w:t>
            </w:r>
          </w:p>
        </w:tc>
        <w:tc>
          <w:tcPr>
            <w:tcW w:w="4074" w:type="dxa"/>
          </w:tcPr>
          <w:p w14:paraId="484B7C87" w14:textId="7731E90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III - a rentabilidade auferida por plano e segmento de aplicação nos cinco exercícios anteriores </w:t>
            </w:r>
            <w:r w:rsidRPr="00D462F0">
              <w:rPr>
                <w:rFonts w:asciiTheme="majorHAnsi" w:hAnsiTheme="majorHAnsi" w:cstheme="majorHAnsi"/>
                <w:bCs/>
                <w:strike/>
                <w:color w:val="EE0000"/>
                <w:sz w:val="24"/>
                <w:szCs w:val="24"/>
              </w:rPr>
              <w:t>da política de investimento</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ao </w:t>
            </w:r>
            <w:r w:rsidRPr="00D462F0">
              <w:rPr>
                <w:rFonts w:asciiTheme="majorHAnsi" w:hAnsiTheme="majorHAnsi" w:cstheme="majorHAnsi"/>
                <w:bCs/>
                <w:sz w:val="24"/>
                <w:szCs w:val="24"/>
              </w:rPr>
              <w:t>do exercício de referência, de forma acumulada e por exercício;</w:t>
            </w:r>
          </w:p>
        </w:tc>
        <w:tc>
          <w:tcPr>
            <w:tcW w:w="4074" w:type="dxa"/>
          </w:tcPr>
          <w:p w14:paraId="12F51ABE" w14:textId="50C55BA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w:t>
            </w:r>
          </w:p>
        </w:tc>
        <w:tc>
          <w:tcPr>
            <w:tcW w:w="4075" w:type="dxa"/>
          </w:tcPr>
          <w:p w14:paraId="600F9A60" w14:textId="3E59F2C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252C3A54" w14:textId="77777777" w:rsidTr="1756A420">
        <w:tc>
          <w:tcPr>
            <w:tcW w:w="4074" w:type="dxa"/>
          </w:tcPr>
          <w:p w14:paraId="5A7BBF63" w14:textId="1363FB80" w:rsidR="00EB19CA"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86A18F2" w14:textId="658F354A"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94BEFE6" w14:textId="77777777" w:rsidR="00EB19CA" w:rsidRPr="00D462F0" w:rsidRDefault="00EB19CA" w:rsidP="00D462F0">
            <w:pPr>
              <w:jc w:val="both"/>
              <w:rPr>
                <w:rFonts w:asciiTheme="majorHAnsi" w:hAnsiTheme="majorHAnsi" w:cstheme="majorHAnsi"/>
                <w:sz w:val="24"/>
                <w:szCs w:val="24"/>
              </w:rPr>
            </w:pPr>
          </w:p>
        </w:tc>
        <w:tc>
          <w:tcPr>
            <w:tcW w:w="4075" w:type="dxa"/>
          </w:tcPr>
          <w:p w14:paraId="713F51A6" w14:textId="77777777" w:rsidR="00EB19CA" w:rsidRPr="00D462F0" w:rsidRDefault="00EB19CA" w:rsidP="00D462F0">
            <w:pPr>
              <w:jc w:val="both"/>
              <w:rPr>
                <w:rFonts w:asciiTheme="majorHAnsi" w:hAnsiTheme="majorHAnsi" w:cstheme="majorHAnsi"/>
                <w:bCs/>
                <w:sz w:val="24"/>
                <w:szCs w:val="24"/>
              </w:rPr>
            </w:pPr>
          </w:p>
        </w:tc>
      </w:tr>
      <w:tr w:rsidR="00EB19CA" w:rsidRPr="00C93770" w14:paraId="21051DAE" w14:textId="77777777" w:rsidTr="1756A420">
        <w:tc>
          <w:tcPr>
            <w:tcW w:w="4074" w:type="dxa"/>
          </w:tcPr>
          <w:p w14:paraId="2CC66715" w14:textId="605CC722"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VI - as diretrizes para observância de princípios de responsabilidade ambiental, social e de governança, preferencialmente, de forma diferenciada por setores da atividade econômica; e</w:t>
            </w:r>
          </w:p>
        </w:tc>
        <w:tc>
          <w:tcPr>
            <w:tcW w:w="4074" w:type="dxa"/>
          </w:tcPr>
          <w:p w14:paraId="526D5DCE" w14:textId="31CDD59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EE0000"/>
                <w:sz w:val="24"/>
                <w:szCs w:val="24"/>
              </w:rPr>
              <w:t xml:space="preserve">Revogar </w:t>
            </w:r>
          </w:p>
        </w:tc>
        <w:tc>
          <w:tcPr>
            <w:tcW w:w="4074" w:type="dxa"/>
          </w:tcPr>
          <w:p w14:paraId="48B4851F" w14:textId="33F63E2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Revogar o inciso VI porque o conteúdo será abrangido pelo disciplinado na alínea “h” do inciso VII, do mesmo artigo.</w:t>
            </w:r>
          </w:p>
        </w:tc>
        <w:tc>
          <w:tcPr>
            <w:tcW w:w="4075" w:type="dxa"/>
          </w:tcPr>
          <w:p w14:paraId="5063D592" w14:textId="77777777" w:rsidR="00EB19CA" w:rsidRPr="00D462F0" w:rsidRDefault="00EB19CA" w:rsidP="00D462F0">
            <w:pPr>
              <w:jc w:val="both"/>
              <w:rPr>
                <w:rFonts w:asciiTheme="majorHAnsi" w:hAnsiTheme="majorHAnsi" w:cstheme="majorHAnsi"/>
                <w:bCs/>
                <w:sz w:val="24"/>
                <w:szCs w:val="24"/>
              </w:rPr>
            </w:pPr>
          </w:p>
        </w:tc>
      </w:tr>
      <w:tr w:rsidR="00EB19CA" w:rsidRPr="00C93770" w14:paraId="0D144610" w14:textId="77777777" w:rsidTr="1756A420">
        <w:tc>
          <w:tcPr>
            <w:tcW w:w="4074" w:type="dxa"/>
          </w:tcPr>
          <w:p w14:paraId="5C50554E" w14:textId="49CEF87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VII - as informações ou a indicação de documento em que constem procedimentos e critérios relativos à:</w:t>
            </w:r>
          </w:p>
        </w:tc>
        <w:tc>
          <w:tcPr>
            <w:tcW w:w="4074" w:type="dxa"/>
          </w:tcPr>
          <w:p w14:paraId="10E57AEA" w14:textId="0B0BA90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VII </w:t>
            </w:r>
            <w:r w:rsidR="006414E3"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w:t>
            </w:r>
          </w:p>
        </w:tc>
        <w:tc>
          <w:tcPr>
            <w:tcW w:w="4074" w:type="dxa"/>
          </w:tcPr>
          <w:p w14:paraId="4EA913DC" w14:textId="52F1D70B" w:rsidR="00EB19CA" w:rsidRPr="00D462F0" w:rsidRDefault="006414E3"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476BC93F" w14:textId="77777777" w:rsidR="00EB19CA" w:rsidRPr="00D462F0" w:rsidRDefault="00EB19CA" w:rsidP="00D462F0">
            <w:pPr>
              <w:jc w:val="both"/>
              <w:rPr>
                <w:rFonts w:asciiTheme="majorHAnsi" w:hAnsiTheme="majorHAnsi" w:cstheme="majorHAnsi"/>
                <w:bCs/>
                <w:sz w:val="24"/>
                <w:szCs w:val="24"/>
              </w:rPr>
            </w:pPr>
          </w:p>
        </w:tc>
      </w:tr>
      <w:tr w:rsidR="00EB19CA" w:rsidRPr="00C93770" w14:paraId="529AA545" w14:textId="77777777" w:rsidTr="1756A420">
        <w:tc>
          <w:tcPr>
            <w:tcW w:w="4074" w:type="dxa"/>
          </w:tcPr>
          <w:p w14:paraId="5DD094EC" w14:textId="31EBA9B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a) precificação dos ativos financeiros com metodologia ou as fontes de referência adotadas;</w:t>
            </w:r>
          </w:p>
        </w:tc>
        <w:tc>
          <w:tcPr>
            <w:tcW w:w="4074" w:type="dxa"/>
          </w:tcPr>
          <w:p w14:paraId="25EE1C05" w14:textId="38D9944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precificação dos ativos financeiros</w:t>
            </w:r>
            <w:r w:rsidRPr="00D462F0">
              <w:rPr>
                <w:rFonts w:asciiTheme="majorHAnsi" w:hAnsiTheme="majorHAnsi" w:cstheme="majorHAnsi"/>
                <w:bCs/>
                <w:color w:val="0000FF"/>
                <w:sz w:val="24"/>
                <w:szCs w:val="24"/>
              </w:rPr>
              <w:t>,</w:t>
            </w:r>
            <w:r w:rsidRPr="00D462F0">
              <w:rPr>
                <w:rFonts w:asciiTheme="majorHAnsi" w:hAnsiTheme="majorHAnsi" w:cstheme="majorHAnsi"/>
                <w:bCs/>
                <w:sz w:val="24"/>
                <w:szCs w:val="24"/>
              </w:rPr>
              <w:t xml:space="preserve"> com metodologia </w:t>
            </w:r>
            <w:r w:rsidRPr="00D462F0">
              <w:rPr>
                <w:rFonts w:asciiTheme="majorHAnsi" w:hAnsiTheme="majorHAnsi" w:cstheme="majorHAnsi"/>
                <w:bCs/>
                <w:strike/>
                <w:color w:val="EE0000"/>
                <w:sz w:val="24"/>
                <w:szCs w:val="24"/>
              </w:rPr>
              <w:t>ou</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e </w:t>
            </w:r>
            <w:r w:rsidRPr="00D462F0">
              <w:rPr>
                <w:rFonts w:asciiTheme="majorHAnsi" w:hAnsiTheme="majorHAnsi" w:cstheme="majorHAnsi"/>
                <w:bCs/>
                <w:sz w:val="24"/>
                <w:szCs w:val="24"/>
              </w:rPr>
              <w:t xml:space="preserve">as fontes de referência adotadas; </w:t>
            </w:r>
          </w:p>
        </w:tc>
        <w:tc>
          <w:tcPr>
            <w:tcW w:w="4074" w:type="dxa"/>
          </w:tcPr>
          <w:p w14:paraId="3AB5B014" w14:textId="77777777" w:rsidR="00EB19CA" w:rsidRPr="00D462F0" w:rsidRDefault="00EB19CA" w:rsidP="00D462F0">
            <w:pPr>
              <w:jc w:val="both"/>
              <w:rPr>
                <w:rFonts w:asciiTheme="majorHAnsi" w:hAnsiTheme="majorHAnsi" w:cstheme="majorHAnsi"/>
                <w:sz w:val="24"/>
                <w:szCs w:val="24"/>
              </w:rPr>
            </w:pPr>
          </w:p>
        </w:tc>
        <w:tc>
          <w:tcPr>
            <w:tcW w:w="4075" w:type="dxa"/>
          </w:tcPr>
          <w:p w14:paraId="6730B4F2" w14:textId="0E1AB31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0D35B256" w14:textId="77777777" w:rsidTr="1756A420">
        <w:tc>
          <w:tcPr>
            <w:tcW w:w="4074" w:type="dxa"/>
          </w:tcPr>
          <w:p w14:paraId="11C31D7D" w14:textId="52A4E4A7" w:rsidR="00EB19CA" w:rsidRPr="00D462F0" w:rsidRDefault="006414E3"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054EFA96" w14:textId="6687E092"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41F00C7B" w14:textId="77777777" w:rsidR="00EB19CA" w:rsidRPr="00D462F0" w:rsidRDefault="00EB19CA" w:rsidP="00D462F0">
            <w:pPr>
              <w:jc w:val="both"/>
              <w:rPr>
                <w:rFonts w:asciiTheme="majorHAnsi" w:hAnsiTheme="majorHAnsi" w:cstheme="majorHAnsi"/>
                <w:sz w:val="24"/>
                <w:szCs w:val="24"/>
              </w:rPr>
            </w:pPr>
          </w:p>
        </w:tc>
        <w:tc>
          <w:tcPr>
            <w:tcW w:w="4075" w:type="dxa"/>
          </w:tcPr>
          <w:p w14:paraId="311BA92B" w14:textId="77777777" w:rsidR="00EB19CA" w:rsidRPr="00D462F0" w:rsidRDefault="00EB19CA" w:rsidP="00D462F0">
            <w:pPr>
              <w:jc w:val="both"/>
              <w:rPr>
                <w:rFonts w:asciiTheme="majorHAnsi" w:hAnsiTheme="majorHAnsi" w:cstheme="majorHAnsi"/>
                <w:bCs/>
                <w:sz w:val="24"/>
                <w:szCs w:val="24"/>
              </w:rPr>
            </w:pPr>
          </w:p>
        </w:tc>
      </w:tr>
      <w:tr w:rsidR="00EB19CA" w:rsidRPr="00C93770" w14:paraId="7DD782E8" w14:textId="77777777" w:rsidTr="1756A420">
        <w:tc>
          <w:tcPr>
            <w:tcW w:w="4074" w:type="dxa"/>
          </w:tcPr>
          <w:p w14:paraId="60074D4E" w14:textId="1932ED89"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g) mitigação de potenciais conflitos de interesse de seus prestadores de serviços e das pessoas que participam do processo decisório.</w:t>
            </w:r>
          </w:p>
        </w:tc>
        <w:tc>
          <w:tcPr>
            <w:tcW w:w="4074" w:type="dxa"/>
          </w:tcPr>
          <w:p w14:paraId="132D8ECB" w14:textId="51CF66C0"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g) mitigação de potenciais conflitos de interesses de seus prestadores de serviços e das pessoas que participam do processo decisório</w:t>
            </w:r>
            <w:r w:rsidRPr="00D462F0">
              <w:rPr>
                <w:rFonts w:asciiTheme="majorHAnsi" w:hAnsiTheme="majorHAnsi" w:cstheme="majorHAnsi"/>
                <w:bCs/>
                <w:color w:val="0000FF"/>
                <w:sz w:val="24"/>
                <w:szCs w:val="24"/>
              </w:rPr>
              <w:t>; e</w:t>
            </w:r>
          </w:p>
        </w:tc>
        <w:tc>
          <w:tcPr>
            <w:tcW w:w="4074" w:type="dxa"/>
          </w:tcPr>
          <w:p w14:paraId="55CBB2F9" w14:textId="77777777" w:rsidR="00EB19CA" w:rsidRPr="00D462F0" w:rsidRDefault="00EB19CA" w:rsidP="00D462F0">
            <w:pPr>
              <w:jc w:val="both"/>
              <w:rPr>
                <w:rFonts w:asciiTheme="majorHAnsi" w:hAnsiTheme="majorHAnsi" w:cstheme="majorHAnsi"/>
                <w:sz w:val="24"/>
                <w:szCs w:val="24"/>
              </w:rPr>
            </w:pPr>
          </w:p>
        </w:tc>
        <w:tc>
          <w:tcPr>
            <w:tcW w:w="4075" w:type="dxa"/>
          </w:tcPr>
          <w:p w14:paraId="029DE143" w14:textId="77777777" w:rsidR="00EB19CA" w:rsidRPr="00D462F0" w:rsidRDefault="00EB19CA" w:rsidP="00D462F0">
            <w:pPr>
              <w:jc w:val="both"/>
              <w:rPr>
                <w:rFonts w:asciiTheme="majorHAnsi" w:hAnsiTheme="majorHAnsi" w:cstheme="majorHAnsi"/>
                <w:bCs/>
                <w:sz w:val="24"/>
                <w:szCs w:val="24"/>
              </w:rPr>
            </w:pPr>
          </w:p>
        </w:tc>
      </w:tr>
      <w:tr w:rsidR="00EB19CA" w:rsidRPr="00C93770" w14:paraId="2A0CDCD8" w14:textId="77777777" w:rsidTr="1756A420">
        <w:tc>
          <w:tcPr>
            <w:tcW w:w="4074" w:type="dxa"/>
          </w:tcPr>
          <w:p w14:paraId="4FC5E7A2" w14:textId="21C173FA"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76540B3D" w14:textId="05BF2DE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h) descrição da metodologia para a análise da materialidade e relevância dos fatores de sustentabilidade econômica, ambiental e social, nos termos do § 1º do art. 368-B.</w:t>
            </w:r>
          </w:p>
        </w:tc>
        <w:tc>
          <w:tcPr>
            <w:tcW w:w="4074" w:type="dxa"/>
          </w:tcPr>
          <w:p w14:paraId="1EC1605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Estabelecer que a política de investimentos descreva sobre os filtros e supra a necessidade de registro dos documentos.</w:t>
            </w:r>
          </w:p>
          <w:p w14:paraId="7B997AE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O novo regramento relativo à integração de critérios Ambientais, Sociais e de Governança (ASG) fundamenta-se na elaboração, pela própria Entidade Fechada de Previdência Complementar (EFPC), de um documento normativo interno. Nesse documento, a EFPC estabelecerá os critérios e procedimentos para a condução da análise de materialidade e relevância aplicáveis aos investimentos quanto a aspectos ASG. Tal instrumento funcionará como um filtro orientador: somente os investimentos que atenderem aos parâmetros definidos nesse documento deverão ser submetidos à análise ASG, em consonância com o previsto na regulamentação vigente.</w:t>
            </w:r>
          </w:p>
          <w:p w14:paraId="114017C0" w14:textId="77777777" w:rsidR="00EB19CA" w:rsidRPr="00D462F0" w:rsidRDefault="00EB19CA" w:rsidP="00D462F0">
            <w:pPr>
              <w:jc w:val="both"/>
              <w:rPr>
                <w:rFonts w:asciiTheme="majorHAnsi" w:hAnsiTheme="majorHAnsi" w:cstheme="majorHAnsi"/>
                <w:sz w:val="24"/>
                <w:szCs w:val="24"/>
              </w:rPr>
            </w:pPr>
          </w:p>
        </w:tc>
        <w:tc>
          <w:tcPr>
            <w:tcW w:w="4075" w:type="dxa"/>
          </w:tcPr>
          <w:p w14:paraId="43D7A422"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p w14:paraId="574B984A" w14:textId="645FA20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regulamentação dos §§ 4º e 5º do art. 2º da Resolução CMN nº 4.994, de 2022, configura disciplinamento de obrigações expressamente delegadas à Previc pelo Conselho Monetário Nacional. O § 5º estabelece que as EFPC devem avaliar e dar transparência aos impactos ambientais, sociais ou de governança, observando segmentação e critérios definidos pela Previc.</w:t>
            </w:r>
          </w:p>
          <w:p w14:paraId="62DBEC80" w14:textId="0A1E338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O cumprimento dessa delegação é tecnicamente indissociável da regulamentação dos critérios de materialidade e relevância do § 4º. A expressão 'quando julgar material e relevante' constitui pressuposto essencial para implementar adequadamente a avaliação e transparência determinadas pelo CMN, pois a ausência de parâmetros normativos tornaria inexequível o comando superior.</w:t>
            </w:r>
          </w:p>
        </w:tc>
      </w:tr>
      <w:tr w:rsidR="00EB19CA" w:rsidRPr="00C93770" w14:paraId="301F13F4" w14:textId="77777777" w:rsidTr="1756A420">
        <w:tc>
          <w:tcPr>
            <w:tcW w:w="4074" w:type="dxa"/>
          </w:tcPr>
          <w:p w14:paraId="4A8104FD" w14:textId="6DA3BC85" w:rsidR="00EB19CA" w:rsidRPr="00D462F0" w:rsidRDefault="00EB19CA" w:rsidP="004E06F1">
            <w:pPr>
              <w:jc w:val="both"/>
              <w:rPr>
                <w:rFonts w:asciiTheme="majorHAnsi" w:hAnsiTheme="majorHAnsi" w:cstheme="majorHAnsi"/>
                <w:sz w:val="24"/>
                <w:szCs w:val="24"/>
              </w:rPr>
            </w:pPr>
            <w:r w:rsidRPr="00D462F0">
              <w:rPr>
                <w:rFonts w:asciiTheme="majorHAnsi" w:hAnsiTheme="majorHAnsi" w:cstheme="majorHAnsi"/>
                <w:sz w:val="24"/>
                <w:szCs w:val="24"/>
              </w:rPr>
              <w:t>Art. 213.  A EFPC que oferecer perfil de investimento nos planos de benefícios deve:</w:t>
            </w:r>
          </w:p>
        </w:tc>
        <w:tc>
          <w:tcPr>
            <w:tcW w:w="4074" w:type="dxa"/>
          </w:tcPr>
          <w:p w14:paraId="52A9326E" w14:textId="4C74D4C3" w:rsidR="00EB19CA" w:rsidRPr="00D462F0" w:rsidRDefault="00EB19CA" w:rsidP="004E06F1">
            <w:pPr>
              <w:jc w:val="both"/>
              <w:rPr>
                <w:rFonts w:asciiTheme="majorHAnsi" w:hAnsiTheme="majorHAnsi" w:cstheme="majorHAnsi"/>
                <w:bCs/>
                <w:sz w:val="24"/>
                <w:szCs w:val="24"/>
              </w:rPr>
            </w:pPr>
            <w:r w:rsidRPr="00D462F0">
              <w:rPr>
                <w:rFonts w:asciiTheme="majorHAnsi" w:hAnsiTheme="majorHAnsi" w:cstheme="majorHAnsi"/>
                <w:bCs/>
                <w:sz w:val="24"/>
                <w:szCs w:val="24"/>
              </w:rPr>
              <w:t>Art. 213.  ...</w:t>
            </w:r>
          </w:p>
        </w:tc>
        <w:tc>
          <w:tcPr>
            <w:tcW w:w="4074" w:type="dxa"/>
          </w:tcPr>
          <w:p w14:paraId="40007B9B" w14:textId="0DF9BBA3" w:rsidR="00EB19CA" w:rsidRPr="00D462F0" w:rsidRDefault="006414E3"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6D92B462" w14:textId="77777777" w:rsidR="00EB19CA" w:rsidRPr="00D462F0" w:rsidRDefault="00EB19CA" w:rsidP="00D462F0">
            <w:pPr>
              <w:jc w:val="both"/>
              <w:rPr>
                <w:rFonts w:asciiTheme="majorHAnsi" w:hAnsiTheme="majorHAnsi" w:cstheme="majorHAnsi"/>
                <w:bCs/>
                <w:sz w:val="24"/>
                <w:szCs w:val="24"/>
              </w:rPr>
            </w:pPr>
          </w:p>
        </w:tc>
      </w:tr>
      <w:tr w:rsidR="00297D09" w:rsidRPr="00C93770" w14:paraId="346C2764" w14:textId="77777777" w:rsidTr="1756A420">
        <w:tc>
          <w:tcPr>
            <w:tcW w:w="4074" w:type="dxa"/>
          </w:tcPr>
          <w:p w14:paraId="6F351894" w14:textId="5B37D39B" w:rsidR="00297D09" w:rsidRPr="00D462F0" w:rsidRDefault="00297D09"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62FCE777" w14:textId="41254546" w:rsidR="00297D09" w:rsidRPr="00D462F0" w:rsidRDefault="00297D09"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1B48AA42" w14:textId="77777777" w:rsidR="00297D09" w:rsidRPr="00D462F0" w:rsidRDefault="00297D09" w:rsidP="00D462F0">
            <w:pPr>
              <w:jc w:val="both"/>
              <w:rPr>
                <w:rFonts w:asciiTheme="majorHAnsi" w:hAnsiTheme="majorHAnsi" w:cstheme="majorHAnsi"/>
                <w:sz w:val="24"/>
                <w:szCs w:val="24"/>
              </w:rPr>
            </w:pPr>
          </w:p>
        </w:tc>
        <w:tc>
          <w:tcPr>
            <w:tcW w:w="4075" w:type="dxa"/>
          </w:tcPr>
          <w:p w14:paraId="4DB85A47" w14:textId="77777777" w:rsidR="00297D09" w:rsidRPr="00D462F0" w:rsidRDefault="00297D09" w:rsidP="00D462F0">
            <w:pPr>
              <w:jc w:val="both"/>
              <w:rPr>
                <w:rFonts w:asciiTheme="majorHAnsi" w:hAnsiTheme="majorHAnsi" w:cstheme="majorHAnsi"/>
                <w:bCs/>
                <w:sz w:val="24"/>
                <w:szCs w:val="24"/>
              </w:rPr>
            </w:pPr>
          </w:p>
        </w:tc>
      </w:tr>
      <w:tr w:rsidR="00EB19CA" w:rsidRPr="00C93770" w14:paraId="181DF00D" w14:textId="77777777" w:rsidTr="1756A420">
        <w:tc>
          <w:tcPr>
            <w:tcW w:w="4074" w:type="dxa"/>
          </w:tcPr>
          <w:p w14:paraId="334D5753" w14:textId="2FFCAC6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V - manter cópia, por meio digital, de todos os documentos utilizados pela EFPC para atender os procedimentos de que trata esta Seção.</w:t>
            </w:r>
          </w:p>
        </w:tc>
        <w:tc>
          <w:tcPr>
            <w:tcW w:w="4074" w:type="dxa"/>
          </w:tcPr>
          <w:p w14:paraId="391BE345" w14:textId="0B6F21D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V - manter cópia, por meio digital, de todos os documentos utilizados pela EFPC para atender </w:t>
            </w:r>
            <w:r w:rsidRPr="00D462F0">
              <w:rPr>
                <w:rFonts w:asciiTheme="majorHAnsi" w:hAnsiTheme="majorHAnsi" w:cstheme="majorHAnsi"/>
                <w:bCs/>
                <w:strike/>
                <w:color w:val="EE0000"/>
                <w:sz w:val="24"/>
                <w:szCs w:val="24"/>
              </w:rPr>
              <w:t>os procedimentos de que trata esta</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ao disposto</w:t>
            </w:r>
            <w:r w:rsidRPr="00D462F0">
              <w:rPr>
                <w:rFonts w:asciiTheme="majorHAnsi" w:hAnsiTheme="majorHAnsi" w:cstheme="majorHAnsi"/>
                <w:bCs/>
                <w:strike/>
                <w:color w:val="0000FF"/>
                <w:sz w:val="24"/>
                <w:szCs w:val="24"/>
              </w:rPr>
              <w:t xml:space="preserve"> </w:t>
            </w:r>
            <w:r w:rsidRPr="00D462F0">
              <w:rPr>
                <w:rFonts w:asciiTheme="majorHAnsi" w:hAnsiTheme="majorHAnsi" w:cstheme="majorHAnsi"/>
                <w:bCs/>
                <w:color w:val="0000FF"/>
                <w:sz w:val="24"/>
                <w:szCs w:val="24"/>
              </w:rPr>
              <w:t>nesta</w:t>
            </w:r>
            <w:r w:rsidRPr="00D462F0">
              <w:rPr>
                <w:rFonts w:asciiTheme="majorHAnsi" w:hAnsiTheme="majorHAnsi" w:cstheme="majorHAnsi"/>
                <w:bCs/>
                <w:sz w:val="24"/>
                <w:szCs w:val="24"/>
              </w:rPr>
              <w:t xml:space="preserve"> Seção.</w:t>
            </w:r>
          </w:p>
        </w:tc>
        <w:tc>
          <w:tcPr>
            <w:tcW w:w="4074" w:type="dxa"/>
          </w:tcPr>
          <w:p w14:paraId="7DEA98EB" w14:textId="417326CD"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Ajuste redacional para aprimorar a compreensão, reduzindo possíveis ambiguidades.  </w:t>
            </w:r>
          </w:p>
        </w:tc>
        <w:tc>
          <w:tcPr>
            <w:tcW w:w="4075" w:type="dxa"/>
          </w:tcPr>
          <w:p w14:paraId="2BF95AD2" w14:textId="79A4688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297D09" w:rsidRPr="00C93770" w14:paraId="169795BC" w14:textId="77777777" w:rsidTr="1756A420">
        <w:tc>
          <w:tcPr>
            <w:tcW w:w="4074" w:type="dxa"/>
          </w:tcPr>
          <w:p w14:paraId="66A4EA02" w14:textId="467F0030" w:rsidR="00297D09" w:rsidRPr="00D462F0" w:rsidRDefault="00297D09"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FB22B43" w14:textId="20D2BD78" w:rsidR="00297D09" w:rsidRPr="00D462F0" w:rsidRDefault="00297D09"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51328FB1" w14:textId="77777777" w:rsidR="00297D09" w:rsidRPr="00D462F0" w:rsidRDefault="00297D09" w:rsidP="00D462F0">
            <w:pPr>
              <w:jc w:val="both"/>
              <w:rPr>
                <w:rFonts w:asciiTheme="majorHAnsi" w:hAnsiTheme="majorHAnsi" w:cstheme="majorHAnsi"/>
                <w:sz w:val="24"/>
                <w:szCs w:val="24"/>
              </w:rPr>
            </w:pPr>
          </w:p>
        </w:tc>
        <w:tc>
          <w:tcPr>
            <w:tcW w:w="4075" w:type="dxa"/>
          </w:tcPr>
          <w:p w14:paraId="1BBF57CA" w14:textId="77777777" w:rsidR="00297D09" w:rsidRPr="00D462F0" w:rsidRDefault="00297D09" w:rsidP="00D462F0">
            <w:pPr>
              <w:jc w:val="both"/>
              <w:rPr>
                <w:rFonts w:asciiTheme="majorHAnsi" w:hAnsiTheme="majorHAnsi" w:cstheme="majorHAnsi"/>
                <w:bCs/>
                <w:sz w:val="24"/>
                <w:szCs w:val="24"/>
              </w:rPr>
            </w:pPr>
          </w:p>
        </w:tc>
      </w:tr>
      <w:tr w:rsidR="00EB19CA" w:rsidRPr="00C93770" w14:paraId="208DF8A2" w14:textId="77777777" w:rsidTr="1756A420">
        <w:tc>
          <w:tcPr>
            <w:tcW w:w="4074" w:type="dxa"/>
          </w:tcPr>
          <w:p w14:paraId="4F8EDA52" w14:textId="5984E41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214.  A opção do participante ou assistido por perfil de investimento ou a sua alteração deve ser formalizada em termo específico.</w:t>
            </w:r>
          </w:p>
        </w:tc>
        <w:tc>
          <w:tcPr>
            <w:tcW w:w="4074" w:type="dxa"/>
          </w:tcPr>
          <w:p w14:paraId="365A4D16" w14:textId="2D5F771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214.  ...</w:t>
            </w:r>
          </w:p>
        </w:tc>
        <w:tc>
          <w:tcPr>
            <w:tcW w:w="4074" w:type="dxa"/>
          </w:tcPr>
          <w:p w14:paraId="414C21E7" w14:textId="2FD351BA" w:rsidR="00EB19CA" w:rsidRPr="00D462F0" w:rsidRDefault="006414E3"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20BD7DC0" w14:textId="77777777" w:rsidR="00EB19CA" w:rsidRPr="00D462F0" w:rsidRDefault="00EB19CA" w:rsidP="00D462F0">
            <w:pPr>
              <w:jc w:val="both"/>
              <w:rPr>
                <w:rFonts w:asciiTheme="majorHAnsi" w:hAnsiTheme="majorHAnsi" w:cstheme="majorHAnsi"/>
                <w:bCs/>
                <w:sz w:val="24"/>
                <w:szCs w:val="24"/>
              </w:rPr>
            </w:pPr>
          </w:p>
        </w:tc>
      </w:tr>
      <w:tr w:rsidR="00EB19CA" w:rsidRPr="00C93770" w14:paraId="416CEDF0" w14:textId="77777777" w:rsidTr="1756A420">
        <w:tc>
          <w:tcPr>
            <w:tcW w:w="4074" w:type="dxa"/>
          </w:tcPr>
          <w:p w14:paraId="01881614" w14:textId="2E5C137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§1º  Caso a EFPC identifique que o perfil de investimento escolhido pelo participante ou assistido não é adequado ao seu perfil, deverá alertá-lo, para que o participante, a seu critério, confirme a alteração de perfil de investimento.</w:t>
            </w:r>
          </w:p>
        </w:tc>
        <w:tc>
          <w:tcPr>
            <w:tcW w:w="4074" w:type="dxa"/>
          </w:tcPr>
          <w:p w14:paraId="5CC3ABB8" w14:textId="1D63AA9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§1º  Caso a EFPC identifique que o perfil de investimento escolhido pelo participante ou assistido não é adequado ao seu perfil, deverá alertá-lo, para que o participante, a seu critério, confirme a </w:t>
            </w:r>
            <w:r w:rsidRPr="00D462F0">
              <w:rPr>
                <w:rFonts w:asciiTheme="majorHAnsi" w:hAnsiTheme="majorHAnsi" w:cstheme="majorHAnsi"/>
                <w:bCs/>
                <w:strike/>
                <w:color w:val="EE0000"/>
                <w:sz w:val="24"/>
                <w:szCs w:val="24"/>
              </w:rPr>
              <w:t>alteração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 xml:space="preserve">seleção </w:t>
            </w:r>
            <w:r w:rsidRPr="00D462F0">
              <w:rPr>
                <w:rFonts w:asciiTheme="majorHAnsi" w:hAnsiTheme="majorHAnsi" w:cstheme="majorHAnsi"/>
                <w:bCs/>
                <w:strike/>
                <w:color w:val="EE0000"/>
                <w:sz w:val="24"/>
                <w:szCs w:val="24"/>
              </w:rPr>
              <w:t>de</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 xml:space="preserve">do </w:t>
            </w:r>
            <w:r w:rsidRPr="00D462F0">
              <w:rPr>
                <w:rFonts w:asciiTheme="majorHAnsi" w:hAnsiTheme="majorHAnsi" w:cstheme="majorHAnsi"/>
                <w:bCs/>
                <w:sz w:val="24"/>
                <w:szCs w:val="24"/>
              </w:rPr>
              <w:t>perfil de investimento.</w:t>
            </w:r>
          </w:p>
        </w:tc>
        <w:tc>
          <w:tcPr>
            <w:tcW w:w="4074" w:type="dxa"/>
          </w:tcPr>
          <w:p w14:paraId="599FA35C" w14:textId="1394AA4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Ajuste redacional para aprimorar a redação, reduzindo possíveis ambiguidades. </w:t>
            </w:r>
          </w:p>
        </w:tc>
        <w:tc>
          <w:tcPr>
            <w:tcW w:w="4075" w:type="dxa"/>
          </w:tcPr>
          <w:p w14:paraId="5C4AECD7" w14:textId="49553D3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780821" w:rsidRPr="00C93770" w14:paraId="36C85FB4" w14:textId="77777777" w:rsidTr="1756A420">
        <w:tc>
          <w:tcPr>
            <w:tcW w:w="4074" w:type="dxa"/>
          </w:tcPr>
          <w:p w14:paraId="603383C3" w14:textId="7DD4A910" w:rsidR="00780821" w:rsidRPr="00D462F0" w:rsidRDefault="00780821"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3352BCC9" w14:textId="53102AE8" w:rsidR="00780821" w:rsidRPr="00D462F0" w:rsidRDefault="00780821"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082148E9" w14:textId="77777777" w:rsidR="00780821" w:rsidRPr="00D462F0" w:rsidRDefault="00780821" w:rsidP="00D462F0">
            <w:pPr>
              <w:jc w:val="both"/>
              <w:rPr>
                <w:rFonts w:asciiTheme="majorHAnsi" w:hAnsiTheme="majorHAnsi" w:cstheme="majorHAnsi"/>
                <w:sz w:val="24"/>
                <w:szCs w:val="24"/>
              </w:rPr>
            </w:pPr>
          </w:p>
        </w:tc>
        <w:tc>
          <w:tcPr>
            <w:tcW w:w="4075" w:type="dxa"/>
          </w:tcPr>
          <w:p w14:paraId="7FF6B69B" w14:textId="77777777" w:rsidR="00780821" w:rsidRPr="00D462F0" w:rsidRDefault="00780821" w:rsidP="00D462F0">
            <w:pPr>
              <w:jc w:val="both"/>
              <w:rPr>
                <w:rFonts w:asciiTheme="majorHAnsi" w:hAnsiTheme="majorHAnsi" w:cstheme="majorHAnsi"/>
                <w:bCs/>
                <w:sz w:val="24"/>
                <w:szCs w:val="24"/>
              </w:rPr>
            </w:pPr>
          </w:p>
        </w:tc>
      </w:tr>
      <w:tr w:rsidR="00EB19CA" w:rsidRPr="00C93770" w14:paraId="0561EF19" w14:textId="77777777" w:rsidTr="1756A420">
        <w:tc>
          <w:tcPr>
            <w:tcW w:w="4074" w:type="dxa"/>
          </w:tcPr>
          <w:p w14:paraId="0AF0F75E" w14:textId="557EAC7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215.  A EFPC deve diligenciar para atualizar as informações relativas ao perfil de investimento dos seus participantes e assistidos em intervalos não superiores a trinta e seis meses, a contar da data de realização da opção pelo perfil de investimento ou da sua implementação por parte da EFPC. </w:t>
            </w:r>
          </w:p>
        </w:tc>
        <w:tc>
          <w:tcPr>
            <w:tcW w:w="4074" w:type="dxa"/>
          </w:tcPr>
          <w:p w14:paraId="594E8932" w14:textId="62CF1F7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215.  ...</w:t>
            </w:r>
          </w:p>
        </w:tc>
        <w:tc>
          <w:tcPr>
            <w:tcW w:w="4074" w:type="dxa"/>
          </w:tcPr>
          <w:p w14:paraId="34F217E9" w14:textId="4FCC12B4" w:rsidR="00EB19CA" w:rsidRPr="00D462F0" w:rsidRDefault="006414E3"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468C09D4" w14:textId="77777777" w:rsidR="00EB19CA" w:rsidRPr="00D462F0" w:rsidRDefault="00EB19CA" w:rsidP="00D462F0">
            <w:pPr>
              <w:jc w:val="both"/>
              <w:rPr>
                <w:rFonts w:asciiTheme="majorHAnsi" w:hAnsiTheme="majorHAnsi" w:cstheme="majorHAnsi"/>
                <w:bCs/>
                <w:sz w:val="24"/>
                <w:szCs w:val="24"/>
              </w:rPr>
            </w:pPr>
          </w:p>
        </w:tc>
      </w:tr>
      <w:tr w:rsidR="00EB19CA" w:rsidRPr="00C93770" w14:paraId="2215EECB" w14:textId="77777777" w:rsidTr="1756A420">
        <w:tc>
          <w:tcPr>
            <w:tcW w:w="4074" w:type="dxa"/>
          </w:tcPr>
          <w:p w14:paraId="191E46D6" w14:textId="3DE26B3D"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Parágrafo único. A EFPC deve prever a forma de cálculo de cota de cada perfil de investimentos em documento aprovado pelo Conselho Deliberativo.</w:t>
            </w:r>
          </w:p>
        </w:tc>
        <w:tc>
          <w:tcPr>
            <w:tcW w:w="4074" w:type="dxa"/>
          </w:tcPr>
          <w:p w14:paraId="39902E6C" w14:textId="3238E39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Parágrafo único. </w:t>
            </w:r>
            <w:r w:rsidRPr="00D462F0">
              <w:rPr>
                <w:rFonts w:asciiTheme="majorHAnsi" w:hAnsiTheme="majorHAnsi" w:cstheme="majorHAnsi"/>
                <w:bCs/>
                <w:strike/>
                <w:color w:val="EE0000"/>
                <w:sz w:val="24"/>
                <w:szCs w:val="24"/>
              </w:rPr>
              <w:t>A EFPC deve prever a</w:t>
            </w:r>
            <w:r w:rsidRPr="00D462F0">
              <w:rPr>
                <w:rFonts w:asciiTheme="majorHAnsi" w:hAnsiTheme="majorHAnsi" w:cstheme="majorHAnsi"/>
                <w:bCs/>
                <w:color w:val="EE0000"/>
                <w:sz w:val="24"/>
                <w:szCs w:val="24"/>
              </w:rPr>
              <w:t xml:space="preserve"> </w:t>
            </w:r>
            <w:proofErr w:type="spellStart"/>
            <w:r w:rsidRPr="00D462F0">
              <w:rPr>
                <w:rFonts w:asciiTheme="majorHAnsi" w:hAnsiTheme="majorHAnsi" w:cstheme="majorHAnsi"/>
                <w:bCs/>
                <w:color w:val="0000FF"/>
                <w:sz w:val="24"/>
                <w:szCs w:val="24"/>
              </w:rPr>
              <w:t>A</w:t>
            </w:r>
            <w:proofErr w:type="spellEnd"/>
            <w:r w:rsidRPr="00D462F0">
              <w:rPr>
                <w:rFonts w:asciiTheme="majorHAnsi" w:hAnsiTheme="majorHAnsi" w:cstheme="majorHAnsi"/>
                <w:bCs/>
                <w:color w:val="0000FF"/>
                <w:sz w:val="24"/>
                <w:szCs w:val="24"/>
              </w:rPr>
              <w:t xml:space="preserve"> </w:t>
            </w:r>
            <w:r w:rsidRPr="00D462F0">
              <w:rPr>
                <w:rFonts w:asciiTheme="majorHAnsi" w:hAnsiTheme="majorHAnsi" w:cstheme="majorHAnsi"/>
                <w:bCs/>
                <w:sz w:val="24"/>
                <w:szCs w:val="24"/>
              </w:rPr>
              <w:t>forma de cálculo de cota de cada perfil de investimento</w:t>
            </w:r>
            <w:r w:rsidRPr="00D462F0">
              <w:rPr>
                <w:rFonts w:asciiTheme="majorHAnsi" w:hAnsiTheme="majorHAnsi" w:cstheme="majorHAnsi"/>
                <w:bCs/>
                <w:strike/>
                <w:color w:val="EE0000"/>
                <w:sz w:val="24"/>
                <w:szCs w:val="24"/>
              </w:rPr>
              <w:t>s</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deve estar prevista </w:t>
            </w:r>
            <w:r w:rsidRPr="00D462F0">
              <w:rPr>
                <w:rFonts w:asciiTheme="majorHAnsi" w:hAnsiTheme="majorHAnsi" w:cstheme="majorHAnsi"/>
                <w:bCs/>
                <w:sz w:val="24"/>
                <w:szCs w:val="24"/>
              </w:rPr>
              <w:t>em documento aprovado pelo Conselho Deliberativo.</w:t>
            </w:r>
          </w:p>
        </w:tc>
        <w:tc>
          <w:tcPr>
            <w:tcW w:w="4074" w:type="dxa"/>
          </w:tcPr>
          <w:p w14:paraId="6B51C54A" w14:textId="4B800F4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deixar claro que a previsão em documento da forma de cálculo de cada perfil não é facultativa.</w:t>
            </w:r>
          </w:p>
        </w:tc>
        <w:tc>
          <w:tcPr>
            <w:tcW w:w="4075" w:type="dxa"/>
          </w:tcPr>
          <w:p w14:paraId="3B0AA2D7" w14:textId="0AD77841"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Inciso IV do art. 4º do Decreto nº 10.411, de 2020.</w:t>
            </w:r>
          </w:p>
        </w:tc>
      </w:tr>
      <w:tr w:rsidR="00EB19CA" w:rsidRPr="00C93770" w14:paraId="14970A91" w14:textId="77777777" w:rsidTr="1756A420">
        <w:tc>
          <w:tcPr>
            <w:tcW w:w="4074" w:type="dxa"/>
          </w:tcPr>
          <w:p w14:paraId="072D1E73"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III</w:t>
            </w:r>
          </w:p>
          <w:p w14:paraId="3E76AFAC" w14:textId="68F5C42B"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Ativo Final</w:t>
            </w:r>
          </w:p>
        </w:tc>
        <w:tc>
          <w:tcPr>
            <w:tcW w:w="4074" w:type="dxa"/>
          </w:tcPr>
          <w:p w14:paraId="37738DC6"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III</w:t>
            </w:r>
          </w:p>
          <w:p w14:paraId="6A3E2FB9" w14:textId="6712AAD6"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Ativo Final</w:t>
            </w:r>
          </w:p>
        </w:tc>
        <w:tc>
          <w:tcPr>
            <w:tcW w:w="4074" w:type="dxa"/>
          </w:tcPr>
          <w:p w14:paraId="6EB9CF08" w14:textId="77777777" w:rsidR="00EB19CA" w:rsidRPr="00D462F0" w:rsidRDefault="00EB19CA" w:rsidP="00D462F0">
            <w:pPr>
              <w:jc w:val="both"/>
              <w:rPr>
                <w:rFonts w:asciiTheme="majorHAnsi" w:hAnsiTheme="majorHAnsi" w:cstheme="majorHAnsi"/>
                <w:sz w:val="24"/>
                <w:szCs w:val="24"/>
              </w:rPr>
            </w:pPr>
          </w:p>
        </w:tc>
        <w:tc>
          <w:tcPr>
            <w:tcW w:w="4075" w:type="dxa"/>
          </w:tcPr>
          <w:p w14:paraId="6948454A" w14:textId="77777777" w:rsidR="00EB19CA" w:rsidRPr="00D462F0" w:rsidRDefault="00EB19CA" w:rsidP="00D462F0">
            <w:pPr>
              <w:jc w:val="both"/>
              <w:rPr>
                <w:rFonts w:asciiTheme="majorHAnsi" w:hAnsiTheme="majorHAnsi" w:cstheme="majorHAnsi"/>
                <w:bCs/>
                <w:sz w:val="24"/>
                <w:szCs w:val="24"/>
              </w:rPr>
            </w:pPr>
          </w:p>
        </w:tc>
      </w:tr>
      <w:tr w:rsidR="00EB19CA" w:rsidRPr="00C93770" w14:paraId="58050C72" w14:textId="77777777" w:rsidTr="1756A420">
        <w:tc>
          <w:tcPr>
            <w:tcW w:w="4074" w:type="dxa"/>
          </w:tcPr>
          <w:p w14:paraId="017D189F" w14:textId="5230BFA3"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216.  Considera-se ativo final os ativos financeiros individuais e as cotas de fundos de investimentos de que trata o parágrafo único do art. 32 da Resolução CMN nº 4.994, de 2022.</w:t>
            </w:r>
          </w:p>
        </w:tc>
        <w:tc>
          <w:tcPr>
            <w:tcW w:w="4074" w:type="dxa"/>
          </w:tcPr>
          <w:p w14:paraId="37264B3A" w14:textId="3334BFA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216.  Consideram-se </w:t>
            </w:r>
            <w:r w:rsidRPr="00D462F0">
              <w:rPr>
                <w:rFonts w:asciiTheme="majorHAnsi" w:hAnsiTheme="majorHAnsi" w:cstheme="majorHAnsi"/>
                <w:bCs/>
                <w:strike/>
                <w:color w:val="EE0000"/>
                <w:sz w:val="24"/>
                <w:szCs w:val="24"/>
              </w:rPr>
              <w:t>ativo final</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ativos finais </w:t>
            </w:r>
            <w:r w:rsidRPr="00D462F0">
              <w:rPr>
                <w:rFonts w:asciiTheme="majorHAnsi" w:hAnsiTheme="majorHAnsi" w:cstheme="majorHAnsi"/>
                <w:bCs/>
                <w:sz w:val="24"/>
                <w:szCs w:val="24"/>
              </w:rPr>
              <w:t xml:space="preserve">os ativos financeiros individuais e as </w:t>
            </w:r>
            <w:r w:rsidRPr="00D462F0">
              <w:rPr>
                <w:rFonts w:asciiTheme="majorHAnsi" w:hAnsiTheme="majorHAnsi" w:cstheme="majorHAnsi"/>
                <w:bCs/>
                <w:color w:val="0000FF"/>
                <w:sz w:val="24"/>
                <w:szCs w:val="24"/>
              </w:rPr>
              <w:t xml:space="preserve">classes de </w:t>
            </w:r>
            <w:r w:rsidRPr="00D462F0">
              <w:rPr>
                <w:rFonts w:asciiTheme="majorHAnsi" w:hAnsiTheme="majorHAnsi" w:cstheme="majorHAnsi"/>
                <w:bCs/>
                <w:sz w:val="24"/>
                <w:szCs w:val="24"/>
              </w:rPr>
              <w:t xml:space="preserve">cotas de fundos de investimentos de que trata </w:t>
            </w:r>
            <w:r w:rsidRPr="00D462F0">
              <w:rPr>
                <w:rFonts w:asciiTheme="majorHAnsi" w:hAnsiTheme="majorHAnsi" w:cstheme="majorHAnsi"/>
                <w:bCs/>
                <w:strike/>
                <w:color w:val="EE0000"/>
                <w:sz w:val="24"/>
                <w:szCs w:val="24"/>
              </w:rPr>
              <w:t xml:space="preserve">o parágrafo único do art. 32 da Resolução </w:t>
            </w:r>
            <w:r w:rsidRPr="00D462F0">
              <w:rPr>
                <w:rFonts w:asciiTheme="majorHAnsi" w:hAnsiTheme="majorHAnsi" w:cstheme="majorHAnsi"/>
                <w:bCs/>
                <w:strike/>
                <w:color w:val="EE0000"/>
                <w:sz w:val="24"/>
                <w:szCs w:val="24"/>
              </w:rPr>
              <w:lastRenderedPageBreak/>
              <w:t>CMN nº 4.994, de 2022</w:t>
            </w:r>
            <w:r w:rsidRPr="00D462F0">
              <w:rPr>
                <w:rFonts w:asciiTheme="majorHAnsi" w:hAnsiTheme="majorHAnsi" w:cstheme="majorHAnsi"/>
                <w:bCs/>
                <w:color w:val="0000FF"/>
                <w:sz w:val="24"/>
                <w:szCs w:val="24"/>
              </w:rPr>
              <w:t xml:space="preserve"> a</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Resolução do Conselho Monetário Nacional sobre aplicação dos recursos dos planos administrados pelas EFPC.</w:t>
            </w:r>
          </w:p>
        </w:tc>
        <w:tc>
          <w:tcPr>
            <w:tcW w:w="4074" w:type="dxa"/>
          </w:tcPr>
          <w:p w14:paraId="5320C424" w14:textId="09A8878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Adaptação à Resolução CMN nº 5.202, de 2025, e Resolução CVM nº175, de 2022, assim como retirada expressa da Resolução CMN nº 4.994, de 2022.</w:t>
            </w:r>
          </w:p>
        </w:tc>
        <w:tc>
          <w:tcPr>
            <w:tcW w:w="4075" w:type="dxa"/>
          </w:tcPr>
          <w:p w14:paraId="2B1176BD" w14:textId="2163886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0B1F7927" w14:textId="77777777" w:rsidTr="1756A420">
        <w:tc>
          <w:tcPr>
            <w:tcW w:w="4074" w:type="dxa"/>
          </w:tcPr>
          <w:p w14:paraId="54BB5ECF" w14:textId="0273B84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Parágrafo único.  O ativo final de que trata o caput pode ser desconsiderado, para fins de supervisão, aplicando-se os limites, requisitos e vedações diretamente aos seus ativos subjacentes, caso seja verificada sua utilização como meio para execução de operações em desacordo com as diretrizes de investimentos ou caso seja verificado desvio de finalidade em relação à estratégia usual do ativo.</w:t>
            </w:r>
          </w:p>
        </w:tc>
        <w:tc>
          <w:tcPr>
            <w:tcW w:w="4074" w:type="dxa"/>
          </w:tcPr>
          <w:p w14:paraId="33310C88" w14:textId="2C71106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Parágrafo único.  O ativo final de que trata o caput pode ser desconsiderado, para fins de supervisão, aplicando-se os limites, requisitos e vedações diretamente aos seus ativos subjacentes, caso </w:t>
            </w:r>
            <w:r w:rsidRPr="00D462F0">
              <w:rPr>
                <w:rFonts w:asciiTheme="majorHAnsi" w:hAnsiTheme="majorHAnsi" w:cstheme="majorHAnsi"/>
                <w:bCs/>
                <w:strike/>
                <w:color w:val="EE0000"/>
                <w:sz w:val="24"/>
                <w:szCs w:val="24"/>
              </w:rPr>
              <w:t>seja verificada</w:t>
            </w:r>
            <w:r w:rsidRPr="00D462F0">
              <w:rPr>
                <w:rFonts w:asciiTheme="majorHAnsi" w:hAnsiTheme="majorHAnsi" w:cstheme="majorHAnsi"/>
                <w:bCs/>
                <w:sz w:val="24"/>
                <w:szCs w:val="24"/>
              </w:rPr>
              <w:t xml:space="preserve"> sua utilização como meio para execução de operações em desacordo com as diretrizes de investimentos ou </w:t>
            </w:r>
            <w:r w:rsidRPr="00D462F0">
              <w:rPr>
                <w:rFonts w:asciiTheme="majorHAnsi" w:hAnsiTheme="majorHAnsi" w:cstheme="majorHAnsi"/>
                <w:bCs/>
                <w:strike/>
                <w:color w:val="EE0000"/>
                <w:sz w:val="24"/>
                <w:szCs w:val="24"/>
              </w:rPr>
              <w:t>caso seja verificado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a</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 xml:space="preserve">verificação de </w:t>
            </w:r>
            <w:r w:rsidRPr="00D462F0">
              <w:rPr>
                <w:rFonts w:asciiTheme="majorHAnsi" w:hAnsiTheme="majorHAnsi" w:cstheme="majorHAnsi"/>
                <w:bCs/>
                <w:sz w:val="24"/>
                <w:szCs w:val="24"/>
              </w:rPr>
              <w:t xml:space="preserve">desvio de finalidade em relação à estratégia usual do ativo </w:t>
            </w:r>
            <w:r w:rsidRPr="00D462F0">
              <w:rPr>
                <w:rFonts w:asciiTheme="majorHAnsi" w:hAnsiTheme="majorHAnsi" w:cstheme="majorHAnsi"/>
                <w:bCs/>
                <w:color w:val="0000FF"/>
                <w:sz w:val="24"/>
                <w:szCs w:val="24"/>
              </w:rPr>
              <w:t>sejam constatadas</w:t>
            </w:r>
            <w:r w:rsidRPr="00D462F0">
              <w:rPr>
                <w:rFonts w:asciiTheme="majorHAnsi" w:hAnsiTheme="majorHAnsi" w:cstheme="majorHAnsi"/>
                <w:bCs/>
                <w:sz w:val="24"/>
                <w:szCs w:val="24"/>
              </w:rPr>
              <w:t>.</w:t>
            </w:r>
          </w:p>
        </w:tc>
        <w:tc>
          <w:tcPr>
            <w:tcW w:w="4074" w:type="dxa"/>
          </w:tcPr>
          <w:p w14:paraId="7BBA955E" w14:textId="088EF10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melhorar fluidez do texto normativo e para conferir maior clareza na causa e consequência.</w:t>
            </w:r>
          </w:p>
        </w:tc>
        <w:tc>
          <w:tcPr>
            <w:tcW w:w="4075" w:type="dxa"/>
          </w:tcPr>
          <w:p w14:paraId="400140CB" w14:textId="6EC1471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3F4F2625" w14:textId="77777777" w:rsidTr="1756A420">
        <w:tc>
          <w:tcPr>
            <w:tcW w:w="4074" w:type="dxa"/>
          </w:tcPr>
          <w:p w14:paraId="07D174B5"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IV</w:t>
            </w:r>
          </w:p>
          <w:p w14:paraId="517772A2" w14:textId="09770984"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Segregação da Gestão de Risco</w:t>
            </w:r>
          </w:p>
        </w:tc>
        <w:tc>
          <w:tcPr>
            <w:tcW w:w="4074" w:type="dxa"/>
          </w:tcPr>
          <w:p w14:paraId="36B4C48D"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IV</w:t>
            </w:r>
          </w:p>
          <w:p w14:paraId="6E7583CB" w14:textId="4FE52685"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Segregação da Gestão de Risco</w:t>
            </w:r>
          </w:p>
        </w:tc>
        <w:tc>
          <w:tcPr>
            <w:tcW w:w="4074" w:type="dxa"/>
          </w:tcPr>
          <w:p w14:paraId="2D4E05DF" w14:textId="77777777" w:rsidR="00EB19CA" w:rsidRPr="00D462F0" w:rsidRDefault="00EB19CA" w:rsidP="00D462F0">
            <w:pPr>
              <w:jc w:val="both"/>
              <w:rPr>
                <w:rFonts w:asciiTheme="majorHAnsi" w:hAnsiTheme="majorHAnsi" w:cstheme="majorHAnsi"/>
                <w:sz w:val="24"/>
                <w:szCs w:val="24"/>
              </w:rPr>
            </w:pPr>
          </w:p>
        </w:tc>
        <w:tc>
          <w:tcPr>
            <w:tcW w:w="4075" w:type="dxa"/>
          </w:tcPr>
          <w:p w14:paraId="2544110F" w14:textId="77777777" w:rsidR="00EB19CA" w:rsidRPr="00D462F0" w:rsidRDefault="00EB19CA" w:rsidP="00D462F0">
            <w:pPr>
              <w:jc w:val="both"/>
              <w:rPr>
                <w:rFonts w:asciiTheme="majorHAnsi" w:hAnsiTheme="majorHAnsi" w:cstheme="majorHAnsi"/>
                <w:bCs/>
                <w:sz w:val="24"/>
                <w:szCs w:val="24"/>
              </w:rPr>
            </w:pPr>
          </w:p>
        </w:tc>
      </w:tr>
      <w:tr w:rsidR="00EB19CA" w:rsidRPr="00C93770" w14:paraId="6E4C40A6" w14:textId="77777777" w:rsidTr="1756A420">
        <w:tc>
          <w:tcPr>
            <w:tcW w:w="4074" w:type="dxa"/>
          </w:tcPr>
          <w:p w14:paraId="5A772E09" w14:textId="2503993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217.  A EFPC enquadrada no segmento S1 deve, nos termos dos </w:t>
            </w:r>
            <w:proofErr w:type="spellStart"/>
            <w:r w:rsidRPr="00D462F0">
              <w:rPr>
                <w:rFonts w:asciiTheme="majorHAnsi" w:hAnsiTheme="majorHAnsi" w:cstheme="majorHAnsi"/>
                <w:sz w:val="24"/>
                <w:szCs w:val="24"/>
              </w:rPr>
              <w:t>arts</w:t>
            </w:r>
            <w:proofErr w:type="spellEnd"/>
            <w:r w:rsidRPr="00D462F0">
              <w:rPr>
                <w:rFonts w:asciiTheme="majorHAnsi" w:hAnsiTheme="majorHAnsi" w:cstheme="majorHAnsi"/>
                <w:sz w:val="24"/>
                <w:szCs w:val="24"/>
              </w:rPr>
              <w:t>. 8º e 9º da Resolução CMN nº 4.994, de 2022, segregar a gestão de recursos da gestão de risco e designar:</w:t>
            </w:r>
          </w:p>
        </w:tc>
        <w:tc>
          <w:tcPr>
            <w:tcW w:w="4074" w:type="dxa"/>
          </w:tcPr>
          <w:p w14:paraId="292DEBE2" w14:textId="161A28E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217.  A EFPC enquadrada no segmento S1 </w:t>
            </w:r>
            <w:proofErr w:type="spellStart"/>
            <w:r w:rsidRPr="00D462F0">
              <w:rPr>
                <w:rFonts w:asciiTheme="majorHAnsi" w:hAnsiTheme="majorHAnsi" w:cstheme="majorHAnsi"/>
                <w:bCs/>
                <w:sz w:val="24"/>
                <w:szCs w:val="24"/>
              </w:rPr>
              <w:t>deve</w:t>
            </w:r>
            <w:r w:rsidRPr="00D462F0">
              <w:rPr>
                <w:rFonts w:asciiTheme="majorHAnsi" w:hAnsiTheme="majorHAnsi" w:cstheme="majorHAnsi"/>
                <w:bCs/>
                <w:strike/>
                <w:color w:val="EE0000"/>
                <w:sz w:val="24"/>
                <w:szCs w:val="24"/>
              </w:rPr>
              <w:t>nos</w:t>
            </w:r>
            <w:proofErr w:type="spellEnd"/>
            <w:r w:rsidRPr="00D462F0">
              <w:rPr>
                <w:rFonts w:asciiTheme="majorHAnsi" w:hAnsiTheme="majorHAnsi" w:cstheme="majorHAnsi"/>
                <w:bCs/>
                <w:strike/>
                <w:color w:val="EE0000"/>
                <w:sz w:val="24"/>
                <w:szCs w:val="24"/>
              </w:rPr>
              <w:t xml:space="preserve"> termos dos </w:t>
            </w:r>
            <w:proofErr w:type="spellStart"/>
            <w:r w:rsidRPr="00D462F0">
              <w:rPr>
                <w:rFonts w:asciiTheme="majorHAnsi" w:hAnsiTheme="majorHAnsi" w:cstheme="majorHAnsi"/>
                <w:bCs/>
                <w:strike/>
                <w:color w:val="EE0000"/>
                <w:sz w:val="24"/>
                <w:szCs w:val="24"/>
              </w:rPr>
              <w:t>arts</w:t>
            </w:r>
            <w:proofErr w:type="spellEnd"/>
            <w:r w:rsidRPr="00D462F0">
              <w:rPr>
                <w:rFonts w:asciiTheme="majorHAnsi" w:hAnsiTheme="majorHAnsi" w:cstheme="majorHAnsi"/>
                <w:bCs/>
                <w:strike/>
                <w:color w:val="EE0000"/>
                <w:sz w:val="24"/>
                <w:szCs w:val="24"/>
              </w:rPr>
              <w:t>. 8º e 9º da Resolução CMN nº 4.994, de 2022</w:t>
            </w:r>
            <w:r w:rsidRPr="00D462F0">
              <w:rPr>
                <w:rFonts w:asciiTheme="majorHAnsi" w:hAnsiTheme="majorHAnsi" w:cstheme="majorHAnsi"/>
                <w:bCs/>
                <w:sz w:val="24"/>
                <w:szCs w:val="24"/>
              </w:rPr>
              <w:t xml:space="preserve"> segregar a gestão de recursos da gestão de risco e designar:</w:t>
            </w:r>
          </w:p>
        </w:tc>
        <w:tc>
          <w:tcPr>
            <w:tcW w:w="4074" w:type="dxa"/>
          </w:tcPr>
          <w:p w14:paraId="61BF040F" w14:textId="049FEFCD"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Rever menção expressa à Resolução CMN nº 4.994. Proposta de alteração para retirada da menção expressa aos </w:t>
            </w:r>
            <w:proofErr w:type="spellStart"/>
            <w:r w:rsidRPr="00D462F0">
              <w:rPr>
                <w:rFonts w:asciiTheme="majorHAnsi" w:hAnsiTheme="majorHAnsi" w:cstheme="majorHAnsi"/>
                <w:sz w:val="24"/>
                <w:szCs w:val="24"/>
              </w:rPr>
              <w:t>arts</w:t>
            </w:r>
            <w:proofErr w:type="spellEnd"/>
            <w:r w:rsidRPr="00D462F0">
              <w:rPr>
                <w:rFonts w:asciiTheme="majorHAnsi" w:hAnsiTheme="majorHAnsi" w:cstheme="majorHAnsi"/>
                <w:sz w:val="24"/>
                <w:szCs w:val="24"/>
              </w:rPr>
              <w:t>. 8º e 9º da Resolução CMN nº 4.994, de 2022, em atendimento às disposições legais que tratam sobre a redação de normas.</w:t>
            </w:r>
          </w:p>
        </w:tc>
        <w:tc>
          <w:tcPr>
            <w:tcW w:w="4075" w:type="dxa"/>
          </w:tcPr>
          <w:p w14:paraId="780B8DCF" w14:textId="06BF42B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7E73F1" w:rsidRPr="00C93770" w14:paraId="082C0B45" w14:textId="77777777" w:rsidTr="1756A420">
        <w:tc>
          <w:tcPr>
            <w:tcW w:w="4074" w:type="dxa"/>
          </w:tcPr>
          <w:p w14:paraId="5D13FF18" w14:textId="4EC670EA" w:rsidR="007E73F1" w:rsidRPr="00D462F0" w:rsidRDefault="007E73F1"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32E25BE" w14:textId="4B0F8676" w:rsidR="007E73F1" w:rsidRPr="00D462F0" w:rsidRDefault="007E73F1"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C6AC4AF" w14:textId="77777777" w:rsidR="007E73F1" w:rsidRPr="00D462F0" w:rsidRDefault="007E73F1" w:rsidP="00D462F0">
            <w:pPr>
              <w:jc w:val="both"/>
              <w:rPr>
                <w:rFonts w:asciiTheme="majorHAnsi" w:hAnsiTheme="majorHAnsi" w:cstheme="majorHAnsi"/>
                <w:sz w:val="24"/>
                <w:szCs w:val="24"/>
              </w:rPr>
            </w:pPr>
          </w:p>
        </w:tc>
        <w:tc>
          <w:tcPr>
            <w:tcW w:w="4075" w:type="dxa"/>
          </w:tcPr>
          <w:p w14:paraId="27086589" w14:textId="77777777" w:rsidR="007E73F1" w:rsidRPr="00D462F0" w:rsidRDefault="007E73F1" w:rsidP="00D462F0">
            <w:pPr>
              <w:jc w:val="both"/>
              <w:rPr>
                <w:rFonts w:asciiTheme="majorHAnsi" w:hAnsiTheme="majorHAnsi" w:cstheme="majorHAnsi"/>
                <w:bCs/>
                <w:sz w:val="24"/>
                <w:szCs w:val="24"/>
              </w:rPr>
            </w:pPr>
          </w:p>
        </w:tc>
      </w:tr>
      <w:tr w:rsidR="00EB19CA" w:rsidRPr="00C93770" w14:paraId="7CF6C703" w14:textId="77777777" w:rsidTr="1756A420">
        <w:tc>
          <w:tcPr>
            <w:tcW w:w="4074" w:type="dxa"/>
          </w:tcPr>
          <w:p w14:paraId="726E7B7B"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V</w:t>
            </w:r>
          </w:p>
          <w:p w14:paraId="7E590348" w14:textId="13840F34"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Negociação Privada</w:t>
            </w:r>
          </w:p>
        </w:tc>
        <w:tc>
          <w:tcPr>
            <w:tcW w:w="4074" w:type="dxa"/>
          </w:tcPr>
          <w:p w14:paraId="4C47F88F"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V</w:t>
            </w:r>
          </w:p>
          <w:p w14:paraId="37DFDF69" w14:textId="00176869"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Negociação Privada</w:t>
            </w:r>
          </w:p>
        </w:tc>
        <w:tc>
          <w:tcPr>
            <w:tcW w:w="4074" w:type="dxa"/>
          </w:tcPr>
          <w:p w14:paraId="228A9B89" w14:textId="77777777" w:rsidR="00EB19CA" w:rsidRPr="00D462F0" w:rsidRDefault="00EB19CA" w:rsidP="00D462F0">
            <w:pPr>
              <w:jc w:val="both"/>
              <w:rPr>
                <w:rFonts w:asciiTheme="majorHAnsi" w:hAnsiTheme="majorHAnsi" w:cstheme="majorHAnsi"/>
                <w:sz w:val="24"/>
                <w:szCs w:val="24"/>
              </w:rPr>
            </w:pPr>
          </w:p>
        </w:tc>
        <w:tc>
          <w:tcPr>
            <w:tcW w:w="4075" w:type="dxa"/>
          </w:tcPr>
          <w:p w14:paraId="3A7D88D3" w14:textId="77777777" w:rsidR="00EB19CA" w:rsidRPr="00D462F0" w:rsidRDefault="00EB19CA" w:rsidP="00D462F0">
            <w:pPr>
              <w:jc w:val="both"/>
              <w:rPr>
                <w:rFonts w:asciiTheme="majorHAnsi" w:hAnsiTheme="majorHAnsi" w:cstheme="majorHAnsi"/>
                <w:bCs/>
                <w:sz w:val="24"/>
                <w:szCs w:val="24"/>
              </w:rPr>
            </w:pPr>
          </w:p>
        </w:tc>
      </w:tr>
      <w:tr w:rsidR="00EB19CA" w:rsidRPr="00C93770" w14:paraId="4D3215DE" w14:textId="77777777" w:rsidTr="1756A420">
        <w:tc>
          <w:tcPr>
            <w:tcW w:w="4074" w:type="dxa"/>
          </w:tcPr>
          <w:p w14:paraId="223DBF6B" w14:textId="228FFB5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218.  O processo decisório das operações realizadas pelas EFPC por meio de negociações privadas com ações de emissão de companhias abertas negociadas em bolsa de valores ou admitidas à negociação em mercado de balcão organizado por entidade autorizada pela Comissão de Valores Mobiliários, deve contemplar, no mínimo, as seguintes etapas:</w:t>
            </w:r>
          </w:p>
        </w:tc>
        <w:tc>
          <w:tcPr>
            <w:tcW w:w="4074" w:type="dxa"/>
          </w:tcPr>
          <w:p w14:paraId="35E53321" w14:textId="1A639FD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218.  ...</w:t>
            </w:r>
          </w:p>
        </w:tc>
        <w:tc>
          <w:tcPr>
            <w:tcW w:w="4074" w:type="dxa"/>
          </w:tcPr>
          <w:p w14:paraId="34E748DD" w14:textId="16C6EE0A" w:rsidR="00EB19CA" w:rsidRPr="00D462F0" w:rsidRDefault="006414E3"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27E311E4" w14:textId="77777777" w:rsidR="00EB19CA" w:rsidRPr="00D462F0" w:rsidRDefault="00EB19CA" w:rsidP="00D462F0">
            <w:pPr>
              <w:jc w:val="both"/>
              <w:rPr>
                <w:rFonts w:asciiTheme="majorHAnsi" w:hAnsiTheme="majorHAnsi" w:cstheme="majorHAnsi"/>
                <w:bCs/>
                <w:sz w:val="24"/>
                <w:szCs w:val="24"/>
              </w:rPr>
            </w:pPr>
          </w:p>
        </w:tc>
      </w:tr>
      <w:tr w:rsidR="00963D6D" w:rsidRPr="00C93770" w14:paraId="527D3160" w14:textId="77777777" w:rsidTr="1756A420">
        <w:tc>
          <w:tcPr>
            <w:tcW w:w="4074" w:type="dxa"/>
          </w:tcPr>
          <w:p w14:paraId="2517F648" w14:textId="4AEE3040" w:rsidR="00963D6D" w:rsidRPr="00D462F0" w:rsidRDefault="00963D6D" w:rsidP="0028717C">
            <w:pPr>
              <w:jc w:val="center"/>
              <w:rPr>
                <w:rFonts w:asciiTheme="majorHAnsi" w:hAnsiTheme="majorHAnsi" w:cstheme="majorHAnsi"/>
                <w:sz w:val="24"/>
                <w:szCs w:val="24"/>
              </w:rPr>
            </w:pPr>
            <w:r w:rsidRPr="00D462F0">
              <w:rPr>
                <w:rFonts w:asciiTheme="majorHAnsi" w:hAnsiTheme="majorHAnsi" w:cstheme="majorHAnsi"/>
                <w:sz w:val="24"/>
                <w:szCs w:val="24"/>
              </w:rPr>
              <w:lastRenderedPageBreak/>
              <w:t>...</w:t>
            </w:r>
          </w:p>
        </w:tc>
        <w:tc>
          <w:tcPr>
            <w:tcW w:w="4074" w:type="dxa"/>
          </w:tcPr>
          <w:p w14:paraId="234FF1AA" w14:textId="4C592F60" w:rsidR="00963D6D" w:rsidRPr="00D462F0" w:rsidRDefault="00963D6D"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4CF6C180" w14:textId="77777777" w:rsidR="00963D6D" w:rsidRPr="00D462F0" w:rsidRDefault="00963D6D" w:rsidP="00D462F0">
            <w:pPr>
              <w:jc w:val="both"/>
              <w:rPr>
                <w:rFonts w:asciiTheme="majorHAnsi" w:hAnsiTheme="majorHAnsi" w:cstheme="majorHAnsi"/>
                <w:sz w:val="24"/>
                <w:szCs w:val="24"/>
              </w:rPr>
            </w:pPr>
          </w:p>
        </w:tc>
        <w:tc>
          <w:tcPr>
            <w:tcW w:w="4075" w:type="dxa"/>
          </w:tcPr>
          <w:p w14:paraId="316A34ED" w14:textId="77777777" w:rsidR="00963D6D" w:rsidRPr="00D462F0" w:rsidRDefault="00963D6D" w:rsidP="00D462F0">
            <w:pPr>
              <w:jc w:val="both"/>
              <w:rPr>
                <w:rFonts w:asciiTheme="majorHAnsi" w:hAnsiTheme="majorHAnsi" w:cstheme="majorHAnsi"/>
                <w:bCs/>
                <w:sz w:val="24"/>
                <w:szCs w:val="24"/>
              </w:rPr>
            </w:pPr>
          </w:p>
        </w:tc>
      </w:tr>
      <w:tr w:rsidR="00EB19CA" w:rsidRPr="00C93770" w14:paraId="72548E05" w14:textId="77777777" w:rsidTr="1756A420">
        <w:tc>
          <w:tcPr>
            <w:tcW w:w="4074" w:type="dxa"/>
          </w:tcPr>
          <w:p w14:paraId="157DCEC7" w14:textId="003DFF8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§2º  Para efeito desta Resolução, equiparam-se às operações de negociação privada com ações de que trata o caput, as operações de negociação privada com bônus de subscrição de ações, recibos de subscrição de ações ou certificados de depósito de ações de companhia aberta negociados em bolsa de valores ou admitidos à negociação em mercado de balcão organizado por entidade autorizada pela Comissão de Valores Mobiliários.</w:t>
            </w:r>
          </w:p>
        </w:tc>
        <w:tc>
          <w:tcPr>
            <w:tcW w:w="4074" w:type="dxa"/>
          </w:tcPr>
          <w:p w14:paraId="167255B4" w14:textId="657FB08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§2º  Para </w:t>
            </w:r>
            <w:r w:rsidRPr="00D462F0">
              <w:rPr>
                <w:rFonts w:asciiTheme="majorHAnsi" w:hAnsiTheme="majorHAnsi" w:cstheme="majorHAnsi"/>
                <w:bCs/>
                <w:strike/>
                <w:color w:val="EE0000"/>
                <w:sz w:val="24"/>
                <w:szCs w:val="24"/>
              </w:rPr>
              <w:t>efeito</w:t>
            </w:r>
            <w:r w:rsidRPr="00D462F0">
              <w:rPr>
                <w:rFonts w:asciiTheme="majorHAnsi" w:hAnsiTheme="majorHAnsi" w:cstheme="majorHAnsi"/>
                <w:bCs/>
                <w:color w:val="0000FF"/>
                <w:sz w:val="24"/>
                <w:szCs w:val="24"/>
              </w:rPr>
              <w:t xml:space="preserve"> os fins </w:t>
            </w:r>
            <w:r w:rsidRPr="00D462F0">
              <w:rPr>
                <w:rFonts w:asciiTheme="majorHAnsi" w:hAnsiTheme="majorHAnsi" w:cstheme="majorHAnsi"/>
                <w:bCs/>
                <w:sz w:val="24"/>
                <w:szCs w:val="24"/>
              </w:rPr>
              <w:t>desta Resolução, equiparam-se às operações de negociação privada com ações de que trata o caput, as operações de negociação privada com bônus de subscrição de ações, recibos de subscrição de ações ou certificados de depósito de ações de companhia aberta negociados em bolsa de valores ou admitidos à negociação em mercado de balcão organizado por entidade autorizada pela Comissão de Valores Mobiliários.</w:t>
            </w:r>
          </w:p>
        </w:tc>
        <w:tc>
          <w:tcPr>
            <w:tcW w:w="4074" w:type="dxa"/>
          </w:tcPr>
          <w:p w14:paraId="3B4E90B7" w14:textId="6EA3515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a compreensão, reduzindo possíveis ambiguidades</w:t>
            </w:r>
          </w:p>
        </w:tc>
        <w:tc>
          <w:tcPr>
            <w:tcW w:w="4075" w:type="dxa"/>
          </w:tcPr>
          <w:p w14:paraId="50128A68" w14:textId="0A74E80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963D6D" w:rsidRPr="00C93770" w14:paraId="29EBDA1B" w14:textId="77777777" w:rsidTr="1756A420">
        <w:tc>
          <w:tcPr>
            <w:tcW w:w="4074" w:type="dxa"/>
          </w:tcPr>
          <w:p w14:paraId="1D2F18DB" w14:textId="6005D3BF" w:rsidR="00963D6D" w:rsidRPr="00D462F0" w:rsidRDefault="00963D6D"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32D950BE" w14:textId="3F6F5E0A" w:rsidR="00963D6D" w:rsidRPr="00D462F0" w:rsidRDefault="00963D6D"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55FB51ED" w14:textId="77777777" w:rsidR="00963D6D" w:rsidRPr="00D462F0" w:rsidRDefault="00963D6D" w:rsidP="00D462F0">
            <w:pPr>
              <w:jc w:val="both"/>
              <w:rPr>
                <w:rFonts w:asciiTheme="majorHAnsi" w:hAnsiTheme="majorHAnsi" w:cstheme="majorHAnsi"/>
                <w:sz w:val="24"/>
                <w:szCs w:val="24"/>
              </w:rPr>
            </w:pPr>
          </w:p>
        </w:tc>
        <w:tc>
          <w:tcPr>
            <w:tcW w:w="4075" w:type="dxa"/>
          </w:tcPr>
          <w:p w14:paraId="2582E730" w14:textId="77777777" w:rsidR="00963D6D" w:rsidRPr="00D462F0" w:rsidRDefault="00963D6D" w:rsidP="00D462F0">
            <w:pPr>
              <w:jc w:val="both"/>
              <w:rPr>
                <w:rFonts w:asciiTheme="majorHAnsi" w:hAnsiTheme="majorHAnsi" w:cstheme="majorHAnsi"/>
                <w:bCs/>
                <w:sz w:val="24"/>
                <w:szCs w:val="24"/>
              </w:rPr>
            </w:pPr>
          </w:p>
        </w:tc>
      </w:tr>
      <w:tr w:rsidR="00EB19CA" w:rsidRPr="00C93770" w14:paraId="1D159E2D" w14:textId="77777777" w:rsidTr="1756A420">
        <w:tc>
          <w:tcPr>
            <w:tcW w:w="4074" w:type="dxa"/>
          </w:tcPr>
          <w:p w14:paraId="41F6119C"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VI</w:t>
            </w:r>
          </w:p>
          <w:p w14:paraId="30D958A4" w14:textId="180E68F0"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e Monitoramento de Prestadores de Serviço de Administração de Carteiras de Valores Mobiliários e de Fundos de Investimento</w:t>
            </w:r>
          </w:p>
        </w:tc>
        <w:tc>
          <w:tcPr>
            <w:tcW w:w="4074" w:type="dxa"/>
          </w:tcPr>
          <w:p w14:paraId="7BDC7BCD"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VI</w:t>
            </w:r>
          </w:p>
          <w:p w14:paraId="1D2A6B1D" w14:textId="548665A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e Monitoramento de Prestadores de Serviços de Administração de Carteiras de Valores Mobiliários e de Fundos de Investimento</w:t>
            </w:r>
          </w:p>
        </w:tc>
        <w:tc>
          <w:tcPr>
            <w:tcW w:w="4074" w:type="dxa"/>
          </w:tcPr>
          <w:p w14:paraId="7F5C01B6" w14:textId="77777777" w:rsidR="00EB19CA" w:rsidRPr="00D462F0" w:rsidRDefault="00EB19CA" w:rsidP="00D462F0">
            <w:pPr>
              <w:jc w:val="both"/>
              <w:rPr>
                <w:rFonts w:asciiTheme="majorHAnsi" w:hAnsiTheme="majorHAnsi" w:cstheme="majorHAnsi"/>
                <w:sz w:val="24"/>
                <w:szCs w:val="24"/>
              </w:rPr>
            </w:pPr>
          </w:p>
        </w:tc>
        <w:tc>
          <w:tcPr>
            <w:tcW w:w="4075" w:type="dxa"/>
          </w:tcPr>
          <w:p w14:paraId="07BA9C94" w14:textId="77777777" w:rsidR="00EB19CA" w:rsidRPr="00D462F0" w:rsidRDefault="00EB19CA" w:rsidP="00D462F0">
            <w:pPr>
              <w:jc w:val="both"/>
              <w:rPr>
                <w:rFonts w:asciiTheme="majorHAnsi" w:hAnsiTheme="majorHAnsi" w:cstheme="majorHAnsi"/>
                <w:bCs/>
                <w:sz w:val="24"/>
                <w:szCs w:val="24"/>
              </w:rPr>
            </w:pPr>
          </w:p>
        </w:tc>
      </w:tr>
      <w:tr w:rsidR="00EB19CA" w:rsidRPr="00C93770" w14:paraId="46745055" w14:textId="77777777" w:rsidTr="1756A420">
        <w:tc>
          <w:tcPr>
            <w:tcW w:w="4074" w:type="dxa"/>
          </w:tcPr>
          <w:p w14:paraId="6161F7F7" w14:textId="4331D8E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219.  A EFPC deve observar o disposto nesta Seção para seleção e monitoramento de prestadores de serviço de administração de carteiras de valores mobiliários e de fundo de investimento. </w:t>
            </w:r>
          </w:p>
        </w:tc>
        <w:tc>
          <w:tcPr>
            <w:tcW w:w="4074" w:type="dxa"/>
          </w:tcPr>
          <w:p w14:paraId="0672B3D9" w14:textId="062BB2C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219.  ...</w:t>
            </w:r>
          </w:p>
        </w:tc>
        <w:tc>
          <w:tcPr>
            <w:tcW w:w="4074" w:type="dxa"/>
          </w:tcPr>
          <w:p w14:paraId="796A3BA2" w14:textId="77777777" w:rsidR="00EB19CA" w:rsidRPr="00D462F0" w:rsidRDefault="00EB19CA" w:rsidP="00D462F0">
            <w:pPr>
              <w:jc w:val="both"/>
              <w:rPr>
                <w:rFonts w:asciiTheme="majorHAnsi" w:hAnsiTheme="majorHAnsi" w:cstheme="majorHAnsi"/>
                <w:sz w:val="24"/>
                <w:szCs w:val="24"/>
              </w:rPr>
            </w:pPr>
          </w:p>
        </w:tc>
        <w:tc>
          <w:tcPr>
            <w:tcW w:w="4075" w:type="dxa"/>
          </w:tcPr>
          <w:p w14:paraId="7B7EB1B4" w14:textId="77777777" w:rsidR="00EB19CA" w:rsidRPr="00D462F0" w:rsidRDefault="00EB19CA" w:rsidP="00D462F0">
            <w:pPr>
              <w:jc w:val="both"/>
              <w:rPr>
                <w:rFonts w:asciiTheme="majorHAnsi" w:hAnsiTheme="majorHAnsi" w:cstheme="majorHAnsi"/>
                <w:bCs/>
                <w:sz w:val="24"/>
                <w:szCs w:val="24"/>
              </w:rPr>
            </w:pPr>
          </w:p>
        </w:tc>
      </w:tr>
      <w:tr w:rsidR="00EB19CA" w:rsidRPr="00C93770" w14:paraId="58B7C114" w14:textId="77777777" w:rsidTr="1756A420">
        <w:tc>
          <w:tcPr>
            <w:tcW w:w="4074" w:type="dxa"/>
          </w:tcPr>
          <w:p w14:paraId="773AB626" w14:textId="3456F48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Parágrafo único.  Para fins do disposto nesta Seção, considera-se administração de carteiras de valores mobiliários, nas categorias de administrador fiduciário e gestor de recursos, a estabelecida pela Comissão de Valores Mobiliários.</w:t>
            </w:r>
          </w:p>
        </w:tc>
        <w:tc>
          <w:tcPr>
            <w:tcW w:w="4074" w:type="dxa"/>
          </w:tcPr>
          <w:p w14:paraId="63CDD4AC" w14:textId="140A947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trike/>
                <w:color w:val="EE0000"/>
                <w:sz w:val="24"/>
                <w:szCs w:val="24"/>
              </w:rPr>
              <w:t>Parágrafo único.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 xml:space="preserve">§1º.  </w:t>
            </w:r>
            <w:r w:rsidRPr="00D462F0">
              <w:rPr>
                <w:rFonts w:asciiTheme="majorHAnsi" w:hAnsiTheme="majorHAnsi" w:cstheme="majorHAnsi"/>
                <w:bCs/>
                <w:sz w:val="24"/>
                <w:szCs w:val="24"/>
              </w:rPr>
              <w:t xml:space="preserve">Para fins do disposto nesta Seção, considera-se administração de carteiras de valores mobiliários, nas categorias de administrador fiduciário e gestor de recursos, </w:t>
            </w:r>
            <w:r w:rsidRPr="00D462F0">
              <w:rPr>
                <w:rFonts w:asciiTheme="majorHAnsi" w:hAnsiTheme="majorHAnsi" w:cstheme="majorHAnsi"/>
                <w:bCs/>
                <w:color w:val="0000FF"/>
                <w:sz w:val="24"/>
                <w:szCs w:val="24"/>
              </w:rPr>
              <w:t xml:space="preserve">aquela estabelecida </w:t>
            </w:r>
            <w:r w:rsidRPr="00D462F0">
              <w:rPr>
                <w:rFonts w:asciiTheme="majorHAnsi" w:hAnsiTheme="majorHAnsi" w:cstheme="majorHAnsi"/>
                <w:bCs/>
                <w:strike/>
                <w:color w:val="EE0000"/>
                <w:sz w:val="24"/>
                <w:szCs w:val="24"/>
              </w:rPr>
              <w:t xml:space="preserve">a </w:t>
            </w:r>
            <w:r w:rsidRPr="00D462F0">
              <w:rPr>
                <w:rFonts w:asciiTheme="majorHAnsi" w:hAnsiTheme="majorHAnsi" w:cstheme="majorHAnsi"/>
                <w:bCs/>
                <w:sz w:val="24"/>
                <w:szCs w:val="24"/>
              </w:rPr>
              <w:t>estabelecida pela Comissão de Valores Mobiliários.</w:t>
            </w:r>
          </w:p>
          <w:p w14:paraId="226AD7E0" w14:textId="77777777" w:rsidR="00EB19CA" w:rsidRPr="00D462F0" w:rsidRDefault="00EB19CA" w:rsidP="00D462F0">
            <w:pPr>
              <w:jc w:val="both"/>
              <w:rPr>
                <w:rFonts w:asciiTheme="majorHAnsi" w:hAnsiTheme="majorHAnsi" w:cstheme="majorHAnsi"/>
                <w:bCs/>
                <w:sz w:val="24"/>
                <w:szCs w:val="24"/>
              </w:rPr>
            </w:pPr>
          </w:p>
        </w:tc>
        <w:tc>
          <w:tcPr>
            <w:tcW w:w="4074" w:type="dxa"/>
          </w:tcPr>
          <w:p w14:paraId="35260680"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Renumeração do parágrafo único para inserção do §2º no artigo. </w:t>
            </w:r>
          </w:p>
          <w:p w14:paraId="77E880D1" w14:textId="61A2947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w:t>
            </w:r>
          </w:p>
        </w:tc>
        <w:tc>
          <w:tcPr>
            <w:tcW w:w="4075" w:type="dxa"/>
          </w:tcPr>
          <w:p w14:paraId="2DA2C6F7" w14:textId="4548521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50520C57" w14:textId="77777777" w:rsidTr="1756A420">
        <w:tc>
          <w:tcPr>
            <w:tcW w:w="4074" w:type="dxa"/>
          </w:tcPr>
          <w:p w14:paraId="4C1E113F"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p w14:paraId="1C7703D2" w14:textId="77777777" w:rsidR="00EB19CA" w:rsidRPr="00D462F0" w:rsidRDefault="00EB19CA" w:rsidP="00D462F0">
            <w:pPr>
              <w:jc w:val="both"/>
              <w:rPr>
                <w:rFonts w:asciiTheme="majorHAnsi" w:hAnsiTheme="majorHAnsi" w:cstheme="majorHAnsi"/>
                <w:sz w:val="24"/>
                <w:szCs w:val="24"/>
              </w:rPr>
            </w:pPr>
          </w:p>
        </w:tc>
        <w:tc>
          <w:tcPr>
            <w:tcW w:w="4074" w:type="dxa"/>
          </w:tcPr>
          <w:p w14:paraId="1CDA43D1" w14:textId="02829DA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2º  Para fins do correto entendimento desta Seção:</w:t>
            </w:r>
          </w:p>
        </w:tc>
        <w:tc>
          <w:tcPr>
            <w:tcW w:w="4074" w:type="dxa"/>
          </w:tcPr>
          <w:p w14:paraId="7C686910" w14:textId="67E77B0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Para garantir a correta abrangência e aplicabilidade aos dispositivos normativos desta seção, houve a inserção deste parágrafo, que teve como referência o contido no parágrafo único do Art. 3º da Resolução CVM nº 175, de 2022.</w:t>
            </w:r>
          </w:p>
        </w:tc>
        <w:tc>
          <w:tcPr>
            <w:tcW w:w="4075" w:type="dxa"/>
          </w:tcPr>
          <w:p w14:paraId="366736C0"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30AC3C9E"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 xml:space="preserve"> </w:t>
            </w:r>
          </w:p>
          <w:p w14:paraId="5A9E3D35"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 dispensa de AIR se baseia na necessidade preservar a higidez do mercado de previdência complementar. No contexto jurídico, "higidez" conota à qualidade do que é íntegro, saudável e válido, especialmente em relação a atos, contratos ou processos. Refere-se à ausência de vícios ou irregularidades que possam comprometer a validade e a eficácia de um ato jurídico. O dispositivo normativo em questão busca reforçar os princípios que permeiam a aplicação dos recursos garantidores das EFPC, disciplinados pelo Inciso I do art. 4º da Resolução CMN nº 4.994, de 2022, por meio do detalhamento de práticas e condutas que os materializam em contextos concretos de aplicação. Ao se reforçar as regras regulatórias aplicáveis à alocação dos recursos, a proposta busca garantir a qualidade e integridade das decisões de alocação e, por conseguinte, a higidez do mercado de previdência complementar fechada.</w:t>
            </w:r>
          </w:p>
          <w:p w14:paraId="4C93773C" w14:textId="77777777" w:rsidR="00EB19CA" w:rsidRPr="00D462F0" w:rsidRDefault="00EB19CA" w:rsidP="00D462F0">
            <w:pPr>
              <w:jc w:val="both"/>
              <w:rPr>
                <w:rFonts w:asciiTheme="majorHAnsi" w:hAnsiTheme="majorHAnsi" w:cstheme="majorHAnsi"/>
                <w:bCs/>
                <w:sz w:val="24"/>
                <w:szCs w:val="24"/>
              </w:rPr>
            </w:pPr>
          </w:p>
        </w:tc>
      </w:tr>
      <w:tr w:rsidR="00EB19CA" w:rsidRPr="00C93770" w14:paraId="39895FA8" w14:textId="77777777" w:rsidTr="1756A420">
        <w:tc>
          <w:tcPr>
            <w:tcW w:w="4074" w:type="dxa"/>
          </w:tcPr>
          <w:p w14:paraId="76B053BF" w14:textId="0BE3E50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6589C709" w14:textId="039F02D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I – as referências a “fundo” ou a “fundo de investimento” aplicam-se a todas as suas classes de cotas ou subclasses; </w:t>
            </w:r>
          </w:p>
        </w:tc>
        <w:tc>
          <w:tcPr>
            <w:tcW w:w="4074" w:type="dxa"/>
          </w:tcPr>
          <w:p w14:paraId="71A59FD3" w14:textId="77777777" w:rsidR="00EB19CA" w:rsidRPr="00D462F0" w:rsidRDefault="00EB19CA" w:rsidP="00D462F0">
            <w:pPr>
              <w:jc w:val="both"/>
              <w:rPr>
                <w:rFonts w:asciiTheme="majorHAnsi" w:hAnsiTheme="majorHAnsi" w:cstheme="majorHAnsi"/>
                <w:sz w:val="24"/>
                <w:szCs w:val="24"/>
              </w:rPr>
            </w:pPr>
          </w:p>
        </w:tc>
        <w:tc>
          <w:tcPr>
            <w:tcW w:w="4075" w:type="dxa"/>
          </w:tcPr>
          <w:p w14:paraId="063D54EB"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79F14FA5" w14:textId="77777777" w:rsidR="00EB19CA" w:rsidRPr="00D462F0" w:rsidRDefault="00EB19CA" w:rsidP="00D462F0">
            <w:pPr>
              <w:jc w:val="both"/>
              <w:rPr>
                <w:rFonts w:asciiTheme="majorHAnsi" w:hAnsiTheme="majorHAnsi" w:cstheme="majorHAnsi"/>
                <w:bCs/>
                <w:sz w:val="24"/>
                <w:szCs w:val="24"/>
              </w:rPr>
            </w:pPr>
          </w:p>
        </w:tc>
      </w:tr>
      <w:tr w:rsidR="00EB19CA" w:rsidRPr="00C93770" w14:paraId="409CF878" w14:textId="77777777" w:rsidTr="1756A420">
        <w:tc>
          <w:tcPr>
            <w:tcW w:w="4074" w:type="dxa"/>
          </w:tcPr>
          <w:p w14:paraId="66278D77" w14:textId="40D7187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166AFB7B" w14:textId="79EF682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II – as referências a “classe” e a “classe de cotas” aplicam-se aos fundos de </w:t>
            </w:r>
            <w:r w:rsidRPr="00D462F0">
              <w:rPr>
                <w:rFonts w:asciiTheme="majorHAnsi" w:hAnsiTheme="majorHAnsi" w:cstheme="majorHAnsi"/>
                <w:bCs/>
                <w:color w:val="0000FF"/>
                <w:sz w:val="24"/>
                <w:szCs w:val="24"/>
              </w:rPr>
              <w:lastRenderedPageBreak/>
              <w:t xml:space="preserve">investimento que emitem cotas em classe única; e  </w:t>
            </w:r>
          </w:p>
        </w:tc>
        <w:tc>
          <w:tcPr>
            <w:tcW w:w="4074" w:type="dxa"/>
          </w:tcPr>
          <w:p w14:paraId="213E4AB8" w14:textId="77777777" w:rsidR="00EB19CA" w:rsidRPr="00D462F0" w:rsidRDefault="00EB19CA" w:rsidP="00D462F0">
            <w:pPr>
              <w:jc w:val="both"/>
              <w:rPr>
                <w:rFonts w:asciiTheme="majorHAnsi" w:hAnsiTheme="majorHAnsi" w:cstheme="majorHAnsi"/>
                <w:sz w:val="24"/>
                <w:szCs w:val="24"/>
              </w:rPr>
            </w:pPr>
          </w:p>
        </w:tc>
        <w:tc>
          <w:tcPr>
            <w:tcW w:w="4075" w:type="dxa"/>
          </w:tcPr>
          <w:p w14:paraId="707C7803"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6DC52EB0" w14:textId="77777777" w:rsidR="00EB19CA" w:rsidRPr="00D462F0" w:rsidRDefault="00EB19CA" w:rsidP="00D462F0">
            <w:pPr>
              <w:jc w:val="both"/>
              <w:rPr>
                <w:rFonts w:asciiTheme="majorHAnsi" w:hAnsiTheme="majorHAnsi" w:cstheme="majorHAnsi"/>
                <w:bCs/>
                <w:sz w:val="24"/>
                <w:szCs w:val="24"/>
              </w:rPr>
            </w:pPr>
          </w:p>
        </w:tc>
      </w:tr>
      <w:tr w:rsidR="00EB19CA" w:rsidRPr="00C93770" w14:paraId="43F53CC0" w14:textId="77777777" w:rsidTr="1756A420">
        <w:tc>
          <w:tcPr>
            <w:tcW w:w="4074" w:type="dxa"/>
          </w:tcPr>
          <w:p w14:paraId="60F4E809" w14:textId="16D2408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2E76964F" w14:textId="7214FA0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III – as referências a “regulamento” e a “regulamento do fundo” aplicam-se aos anexos descritivos das classes de cotas e os apêndices das subclasses.</w:t>
            </w:r>
          </w:p>
        </w:tc>
        <w:tc>
          <w:tcPr>
            <w:tcW w:w="4074" w:type="dxa"/>
          </w:tcPr>
          <w:p w14:paraId="167123E7" w14:textId="77777777" w:rsidR="00EB19CA" w:rsidRPr="00D462F0" w:rsidRDefault="00EB19CA" w:rsidP="00D462F0">
            <w:pPr>
              <w:jc w:val="both"/>
              <w:rPr>
                <w:rFonts w:asciiTheme="majorHAnsi" w:hAnsiTheme="majorHAnsi" w:cstheme="majorHAnsi"/>
                <w:sz w:val="24"/>
                <w:szCs w:val="24"/>
              </w:rPr>
            </w:pPr>
          </w:p>
        </w:tc>
        <w:tc>
          <w:tcPr>
            <w:tcW w:w="4075" w:type="dxa"/>
          </w:tcPr>
          <w:p w14:paraId="29C9EBBD"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0D7B082C" w14:textId="77777777" w:rsidR="00EB19CA" w:rsidRPr="00D462F0" w:rsidRDefault="00EB19CA" w:rsidP="00D462F0">
            <w:pPr>
              <w:jc w:val="both"/>
              <w:rPr>
                <w:rFonts w:asciiTheme="majorHAnsi" w:hAnsiTheme="majorHAnsi" w:cstheme="majorHAnsi"/>
                <w:bCs/>
                <w:sz w:val="24"/>
                <w:szCs w:val="24"/>
              </w:rPr>
            </w:pPr>
          </w:p>
        </w:tc>
      </w:tr>
      <w:tr w:rsidR="00EB19CA" w:rsidRPr="00C93770" w14:paraId="5AE3A9A5" w14:textId="77777777" w:rsidTr="1756A420">
        <w:tc>
          <w:tcPr>
            <w:tcW w:w="4074" w:type="dxa"/>
          </w:tcPr>
          <w:p w14:paraId="426586DB"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w:t>
            </w:r>
          </w:p>
          <w:p w14:paraId="32287781" w14:textId="4BF34731"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Prestador de Serviço de Administração de Carteiras de Valores Mobiliários</w:t>
            </w:r>
          </w:p>
        </w:tc>
        <w:tc>
          <w:tcPr>
            <w:tcW w:w="4074" w:type="dxa"/>
          </w:tcPr>
          <w:p w14:paraId="4EFEEF27"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w:t>
            </w:r>
          </w:p>
          <w:p w14:paraId="557D5CF7" w14:textId="25298888"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 xml:space="preserve">Seleção de Prestadores de Serviços </w:t>
            </w:r>
            <w:r w:rsidRPr="00D462F0">
              <w:rPr>
                <w:rFonts w:asciiTheme="majorHAnsi" w:hAnsiTheme="majorHAnsi" w:cstheme="majorHAnsi"/>
                <w:b/>
                <w:bCs/>
                <w:strike/>
                <w:color w:val="EE0000"/>
                <w:sz w:val="24"/>
                <w:szCs w:val="24"/>
              </w:rPr>
              <w:t>de Administração de Carteiras de Valores Mobiliários</w:t>
            </w:r>
          </w:p>
        </w:tc>
        <w:tc>
          <w:tcPr>
            <w:tcW w:w="4074" w:type="dxa"/>
          </w:tcPr>
          <w:p w14:paraId="4564460C" w14:textId="0DA05DFF" w:rsidR="00EB19CA" w:rsidRPr="00D462F0" w:rsidRDefault="0028717C"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alinhar às nomenclaturas adotadas pela Resolução CMN nº 5.202, de 2025, e Resolução CVM nº 175, de 2022.</w:t>
            </w:r>
          </w:p>
        </w:tc>
        <w:tc>
          <w:tcPr>
            <w:tcW w:w="4075" w:type="dxa"/>
          </w:tcPr>
          <w:p w14:paraId="32E01DCA" w14:textId="77777777" w:rsidR="00EB19CA" w:rsidRPr="00D462F0" w:rsidRDefault="00EB19CA" w:rsidP="00D462F0">
            <w:pPr>
              <w:jc w:val="both"/>
              <w:rPr>
                <w:rFonts w:asciiTheme="majorHAnsi" w:hAnsiTheme="majorHAnsi" w:cstheme="majorHAnsi"/>
                <w:bCs/>
                <w:sz w:val="24"/>
                <w:szCs w:val="24"/>
              </w:rPr>
            </w:pPr>
          </w:p>
        </w:tc>
      </w:tr>
      <w:tr w:rsidR="00EB19CA" w:rsidRPr="00C93770" w14:paraId="60FD84FF" w14:textId="77777777" w:rsidTr="1756A420">
        <w:tc>
          <w:tcPr>
            <w:tcW w:w="4074" w:type="dxa"/>
          </w:tcPr>
          <w:p w14:paraId="6AF001EB" w14:textId="45678952"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220.  A EFPC na seleção de prestadores de serviço de administração de carteiras de valores mobiliários e de gestão de fundo de investimento exclusivo deve, no mínimo:</w:t>
            </w:r>
          </w:p>
        </w:tc>
        <w:tc>
          <w:tcPr>
            <w:tcW w:w="4074" w:type="dxa"/>
          </w:tcPr>
          <w:p w14:paraId="1486928E" w14:textId="300BE64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220.  A EFPC na seleção de prestadores de serviços </w:t>
            </w:r>
            <w:r w:rsidRPr="00D462F0">
              <w:rPr>
                <w:rFonts w:asciiTheme="majorHAnsi" w:hAnsiTheme="majorHAnsi" w:cstheme="majorHAnsi"/>
                <w:bCs/>
                <w:strike/>
                <w:color w:val="EE0000"/>
                <w:sz w:val="24"/>
                <w:szCs w:val="24"/>
              </w:rPr>
              <w:t>de administração de carteiras de valores mobiliários e de gestão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de fundo de investimento exclusivo deve, no mínimo:</w:t>
            </w:r>
          </w:p>
        </w:tc>
        <w:tc>
          <w:tcPr>
            <w:tcW w:w="4074" w:type="dxa"/>
          </w:tcPr>
          <w:p w14:paraId="09B10092" w14:textId="538F1E2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alinhar às nomenclaturas adotadas pela Resolução CMN nº 5.202, de 2025, e Resolução CVM nº 175, de 2022.</w:t>
            </w:r>
          </w:p>
        </w:tc>
        <w:tc>
          <w:tcPr>
            <w:tcW w:w="4075" w:type="dxa"/>
          </w:tcPr>
          <w:p w14:paraId="666F903E" w14:textId="34853DA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w:t>
            </w:r>
            <w:r w:rsidRPr="00D462F0">
              <w:rPr>
                <w:rFonts w:asciiTheme="majorHAnsi" w:eastAsia="Times New Roman" w:hAnsiTheme="majorHAnsi" w:cstheme="majorHAnsi"/>
                <w:bCs/>
                <w:sz w:val="24"/>
                <w:szCs w:val="24"/>
              </w:rPr>
              <w:t xml:space="preserve"> - </w:t>
            </w:r>
            <w:r w:rsidRPr="00D462F0">
              <w:rPr>
                <w:rFonts w:asciiTheme="majorHAnsi" w:hAnsiTheme="majorHAnsi" w:cstheme="majorHAnsi"/>
                <w:bCs/>
                <w:sz w:val="24"/>
                <w:szCs w:val="24"/>
              </w:rPr>
              <w:t>Mero aprimoramento redacional, sem alteração de mérito para eliminação de possíveis ambiguidades.</w:t>
            </w:r>
          </w:p>
        </w:tc>
      </w:tr>
      <w:tr w:rsidR="00EB19CA" w:rsidRPr="00C93770" w14:paraId="349F6A39" w14:textId="77777777" w:rsidTr="1756A420">
        <w:tc>
          <w:tcPr>
            <w:tcW w:w="4074" w:type="dxa"/>
          </w:tcPr>
          <w:p w14:paraId="78E408BE" w14:textId="769BD87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 - estabelecer critérios de seleção que visem à impessoalidade, à concorrência e à transparência;</w:t>
            </w:r>
          </w:p>
        </w:tc>
        <w:tc>
          <w:tcPr>
            <w:tcW w:w="4074" w:type="dxa"/>
          </w:tcPr>
          <w:p w14:paraId="5F30669E" w14:textId="53CBECB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 - estabelecer critérios de seleção que visem à impessoalidade, à concorrência e à transparência, </w:t>
            </w:r>
            <w:r w:rsidRPr="00D462F0">
              <w:rPr>
                <w:rFonts w:asciiTheme="majorHAnsi" w:hAnsiTheme="majorHAnsi" w:cstheme="majorHAnsi"/>
                <w:bCs/>
                <w:color w:val="0000FF"/>
                <w:sz w:val="24"/>
                <w:szCs w:val="24"/>
              </w:rPr>
              <w:t>atuando para evitar práticas que possam ferir a relação fiduciária</w:t>
            </w:r>
            <w:r w:rsidRPr="00D462F0">
              <w:rPr>
                <w:rFonts w:asciiTheme="majorHAnsi" w:hAnsiTheme="majorHAnsi" w:cstheme="majorHAnsi"/>
                <w:bCs/>
                <w:sz w:val="24"/>
                <w:szCs w:val="24"/>
              </w:rPr>
              <w:t>;</w:t>
            </w:r>
          </w:p>
        </w:tc>
        <w:tc>
          <w:tcPr>
            <w:tcW w:w="4074" w:type="dxa"/>
          </w:tcPr>
          <w:p w14:paraId="5EDDB681" w14:textId="514473F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Acréscimo da parte final do inciso para reforçar que os critérios de seleção têm como objetivo mitigar o risco de práticas que possam de alguma ferir a relação fiduciária entre o plano de benefícios e o prestador de serviços.</w:t>
            </w:r>
          </w:p>
        </w:tc>
        <w:tc>
          <w:tcPr>
            <w:tcW w:w="4075" w:type="dxa"/>
          </w:tcPr>
          <w:p w14:paraId="7AAF5D68" w14:textId="4A214B2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1C7BFFA4" w14:textId="77777777" w:rsidTr="1756A420">
        <w:tc>
          <w:tcPr>
            <w:tcW w:w="4074" w:type="dxa"/>
          </w:tcPr>
          <w:p w14:paraId="62BAE7E5" w14:textId="7A4E00F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II - avaliar se o administrador de carteira de valores mobiliários é devidamente autorizado pela Comissão de Valores Mobiliários e tem reputação ilibada;</w:t>
            </w:r>
          </w:p>
        </w:tc>
        <w:tc>
          <w:tcPr>
            <w:tcW w:w="4074" w:type="dxa"/>
          </w:tcPr>
          <w:p w14:paraId="375F1834" w14:textId="1D8915F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II - avaliar se o </w:t>
            </w:r>
            <w:r w:rsidRPr="00D462F0">
              <w:rPr>
                <w:rFonts w:asciiTheme="majorHAnsi" w:hAnsiTheme="majorHAnsi" w:cstheme="majorHAnsi"/>
                <w:bCs/>
                <w:strike/>
                <w:color w:val="EE0000"/>
                <w:sz w:val="24"/>
                <w:szCs w:val="24"/>
              </w:rPr>
              <w:t>administrador de carteira de valores mobiliários</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prestador de serviços </w:t>
            </w:r>
            <w:r w:rsidRPr="00D462F0">
              <w:rPr>
                <w:rFonts w:asciiTheme="majorHAnsi" w:hAnsiTheme="majorHAnsi" w:cstheme="majorHAnsi"/>
                <w:bCs/>
                <w:sz w:val="24"/>
                <w:szCs w:val="24"/>
              </w:rPr>
              <w:t>é devidamente autorizado pela Comissão de Valores Mobiliários e tem reputação ilibada;</w:t>
            </w:r>
          </w:p>
        </w:tc>
        <w:tc>
          <w:tcPr>
            <w:tcW w:w="4074" w:type="dxa"/>
          </w:tcPr>
          <w:p w14:paraId="384E3ED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Ajuste redacional para alinhar às nomenclaturas adotadas pela Resolução CMN nº 5.202, de 2025, e pela Resolução CVM nº 175, de 2022.</w:t>
            </w:r>
          </w:p>
          <w:p w14:paraId="56305ED4" w14:textId="4C998348" w:rsidR="00EB19CA" w:rsidRPr="00D462F0" w:rsidRDefault="00EB19CA" w:rsidP="00D462F0">
            <w:pPr>
              <w:jc w:val="both"/>
              <w:rPr>
                <w:rFonts w:asciiTheme="majorHAnsi" w:hAnsiTheme="majorHAnsi" w:cstheme="majorHAnsi"/>
                <w:sz w:val="24"/>
                <w:szCs w:val="24"/>
              </w:rPr>
            </w:pPr>
          </w:p>
        </w:tc>
        <w:tc>
          <w:tcPr>
            <w:tcW w:w="4075" w:type="dxa"/>
          </w:tcPr>
          <w:p w14:paraId="18B2BFFD" w14:textId="3C0ABCC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5EBC6797" w14:textId="77777777" w:rsidTr="1756A420">
        <w:tc>
          <w:tcPr>
            <w:tcW w:w="4074" w:type="dxa"/>
          </w:tcPr>
          <w:p w14:paraId="5C0AE8EE" w14:textId="02F9423D"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III - analisar a estrutura existente para a prestação do serviço, a qualificação técnica e a experiência dos profissionais para o exercício de administração de carteira de valores mobiliários, incluindo o histórico de atuação do gestor de recursos;</w:t>
            </w:r>
          </w:p>
        </w:tc>
        <w:tc>
          <w:tcPr>
            <w:tcW w:w="4074" w:type="dxa"/>
          </w:tcPr>
          <w:p w14:paraId="2F6EE21F"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sz w:val="24"/>
                <w:szCs w:val="24"/>
              </w:rPr>
              <w:t xml:space="preserve">III – </w:t>
            </w:r>
            <w:r w:rsidRPr="00D462F0">
              <w:rPr>
                <w:rFonts w:asciiTheme="majorHAnsi" w:hAnsiTheme="majorHAnsi" w:cstheme="majorHAnsi"/>
                <w:bCs/>
                <w:strike/>
                <w:color w:val="EE0000"/>
                <w:sz w:val="24"/>
                <w:szCs w:val="24"/>
              </w:rPr>
              <w:t>analisar</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verificar se</w:t>
            </w:r>
            <w:r w:rsidRPr="00D462F0">
              <w:rPr>
                <w:rFonts w:asciiTheme="majorHAnsi" w:hAnsiTheme="majorHAnsi" w:cstheme="majorHAnsi"/>
                <w:bCs/>
                <w:sz w:val="24"/>
                <w:szCs w:val="24"/>
              </w:rPr>
              <w:t xml:space="preserve"> a estrutura existente </w:t>
            </w:r>
            <w:r w:rsidRPr="00D462F0">
              <w:rPr>
                <w:rFonts w:asciiTheme="majorHAnsi" w:hAnsiTheme="majorHAnsi" w:cstheme="majorHAnsi"/>
                <w:bCs/>
                <w:strike/>
                <w:color w:val="EE0000"/>
                <w:sz w:val="24"/>
                <w:szCs w:val="24"/>
              </w:rPr>
              <w:t>para a prestação do serviço</w:t>
            </w:r>
            <w:r w:rsidRPr="00D462F0">
              <w:rPr>
                <w:rFonts w:asciiTheme="majorHAnsi" w:hAnsiTheme="majorHAnsi" w:cstheme="majorHAnsi"/>
                <w:bCs/>
                <w:sz w:val="24"/>
                <w:szCs w:val="24"/>
              </w:rPr>
              <w:t xml:space="preserve">, </w:t>
            </w:r>
            <w:r w:rsidRPr="00D462F0">
              <w:rPr>
                <w:rFonts w:asciiTheme="majorHAnsi" w:hAnsiTheme="majorHAnsi" w:cstheme="majorHAnsi"/>
                <w:bCs/>
                <w:strike/>
                <w:color w:val="EE0000"/>
                <w:sz w:val="24"/>
                <w:szCs w:val="24"/>
              </w:rPr>
              <w:t xml:space="preserve">a qualificação técnica e a experiência dos profissionais para o exercício de administração de carteira de valores mobiliários, </w:t>
            </w:r>
            <w:r w:rsidRPr="00D462F0">
              <w:rPr>
                <w:rFonts w:asciiTheme="majorHAnsi" w:hAnsiTheme="majorHAnsi" w:cstheme="majorHAnsi"/>
                <w:bCs/>
                <w:color w:val="0000FF"/>
                <w:sz w:val="24"/>
                <w:szCs w:val="24"/>
              </w:rPr>
              <w:t xml:space="preserve">a experiência dos profissionais, a capacidade operacional e técnica, </w:t>
            </w:r>
            <w:r w:rsidRPr="00D462F0">
              <w:rPr>
                <w:rFonts w:asciiTheme="majorHAnsi" w:hAnsiTheme="majorHAnsi" w:cstheme="majorHAnsi"/>
                <w:bCs/>
                <w:color w:val="000000" w:themeColor="text1"/>
                <w:sz w:val="24"/>
                <w:szCs w:val="24"/>
              </w:rPr>
              <w:t xml:space="preserve">incluindo o histórico de atuação </w:t>
            </w:r>
            <w:r w:rsidRPr="00D462F0">
              <w:rPr>
                <w:rFonts w:asciiTheme="majorHAnsi" w:hAnsiTheme="majorHAnsi" w:cstheme="majorHAnsi"/>
                <w:bCs/>
                <w:strike/>
                <w:color w:val="EE0000"/>
                <w:sz w:val="24"/>
                <w:szCs w:val="24"/>
              </w:rPr>
              <w:t>do gestor de recursos</w:t>
            </w:r>
            <w:r w:rsidRPr="00D462F0">
              <w:rPr>
                <w:rFonts w:asciiTheme="majorHAnsi" w:hAnsiTheme="majorHAnsi" w:cstheme="majorHAnsi"/>
                <w:bCs/>
                <w:color w:val="0000FF"/>
                <w:sz w:val="24"/>
                <w:szCs w:val="24"/>
              </w:rPr>
              <w:t xml:space="preserve"> dos prestadores de serviços, são </w:t>
            </w:r>
            <w:r w:rsidRPr="00D462F0">
              <w:rPr>
                <w:rFonts w:asciiTheme="majorHAnsi" w:hAnsiTheme="majorHAnsi" w:cstheme="majorHAnsi"/>
                <w:bCs/>
                <w:color w:val="0000FF"/>
                <w:sz w:val="24"/>
                <w:szCs w:val="24"/>
              </w:rPr>
              <w:lastRenderedPageBreak/>
              <w:t>compatíveis com o serviço a ser prestado.</w:t>
            </w:r>
          </w:p>
          <w:p w14:paraId="2996CEB3" w14:textId="77777777" w:rsidR="00EB19CA" w:rsidRPr="00D462F0" w:rsidRDefault="00EB19CA" w:rsidP="00D462F0">
            <w:pPr>
              <w:jc w:val="both"/>
              <w:rPr>
                <w:rFonts w:asciiTheme="majorHAnsi" w:hAnsiTheme="majorHAnsi" w:cstheme="majorHAnsi"/>
                <w:bCs/>
                <w:sz w:val="24"/>
                <w:szCs w:val="24"/>
              </w:rPr>
            </w:pPr>
          </w:p>
        </w:tc>
        <w:tc>
          <w:tcPr>
            <w:tcW w:w="4074" w:type="dxa"/>
          </w:tcPr>
          <w:p w14:paraId="4BE58F70" w14:textId="77777777" w:rsidR="00EB19CA" w:rsidRPr="00D462F0" w:rsidRDefault="00EB19CA" w:rsidP="00D462F0">
            <w:pPr>
              <w:jc w:val="both"/>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lastRenderedPageBreak/>
              <w:t xml:space="preserve">O aprimoramento redacional propõe substituir o termo "analisar" por "verificar se" para evidenciar que o objetivo dessa verificação é avaliar se a estrutura existente, a experiência dos profissionais, a capacidade operacional e técnica, incluindo seu histórico de atuação, são compatíveis com o serviço a ser prestado. Além disso, o texto foi ajustado para reforçar a importância da proporcionalidade, destacando que a </w:t>
            </w:r>
            <w:r w:rsidRPr="00D462F0">
              <w:rPr>
                <w:rFonts w:asciiTheme="majorHAnsi" w:eastAsia="Times New Roman" w:hAnsiTheme="majorHAnsi" w:cstheme="majorHAnsi"/>
                <w:sz w:val="24"/>
                <w:szCs w:val="24"/>
              </w:rPr>
              <w:lastRenderedPageBreak/>
              <w:t>estrutura do prestador deve estar adequada ao mandato a que se refere, e para utilizar o termo "prestador de serviços como forma de direcionar a responsabilidade normativa conforme a legislação aplicável da CVM.</w:t>
            </w:r>
          </w:p>
          <w:p w14:paraId="19847382" w14:textId="77777777" w:rsidR="00EB19CA" w:rsidRPr="00D462F0" w:rsidRDefault="00EB19CA" w:rsidP="00D462F0">
            <w:pPr>
              <w:jc w:val="both"/>
              <w:rPr>
                <w:rFonts w:asciiTheme="majorHAnsi" w:hAnsiTheme="majorHAnsi" w:cstheme="majorHAnsi"/>
                <w:sz w:val="24"/>
                <w:szCs w:val="24"/>
              </w:rPr>
            </w:pPr>
          </w:p>
        </w:tc>
        <w:tc>
          <w:tcPr>
            <w:tcW w:w="4075" w:type="dxa"/>
          </w:tcPr>
          <w:p w14:paraId="09500AD6" w14:textId="40BC93CE"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lastRenderedPageBreak/>
              <w:t>Alínea “a” do inciso V, do art. 4º.</w:t>
            </w:r>
          </w:p>
        </w:tc>
      </w:tr>
      <w:tr w:rsidR="00EB19CA" w:rsidRPr="00C93770" w14:paraId="1430C62A" w14:textId="77777777" w:rsidTr="1756A420">
        <w:tc>
          <w:tcPr>
            <w:tcW w:w="4074" w:type="dxa"/>
          </w:tcPr>
          <w:p w14:paraId="7CDF005E" w14:textId="1D7F10B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IV - estabelecer o escopo do serviço a ser prestado inclusive contemplando objetivos passíveis de verificação de acordo com as características do mandato;</w:t>
            </w:r>
          </w:p>
        </w:tc>
        <w:tc>
          <w:tcPr>
            <w:tcW w:w="4074" w:type="dxa"/>
          </w:tcPr>
          <w:p w14:paraId="121E014D" w14:textId="2EB01B6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IV - estabelecer </w:t>
            </w:r>
            <w:r w:rsidRPr="00D462F0">
              <w:rPr>
                <w:rFonts w:asciiTheme="majorHAnsi" w:hAnsiTheme="majorHAnsi" w:cstheme="majorHAnsi"/>
                <w:bCs/>
                <w:color w:val="0000FF"/>
                <w:sz w:val="24"/>
                <w:szCs w:val="24"/>
              </w:rPr>
              <w:t>com clareza e objetividade no regulamento e no contrato de prestação de serviços</w:t>
            </w:r>
            <w:r w:rsidRPr="00D462F0">
              <w:rPr>
                <w:rFonts w:asciiTheme="majorHAnsi" w:hAnsiTheme="majorHAnsi" w:cstheme="majorHAnsi"/>
                <w:bCs/>
                <w:sz w:val="24"/>
                <w:szCs w:val="24"/>
              </w:rPr>
              <w:t xml:space="preserve"> o escopo </w:t>
            </w:r>
            <w:r w:rsidRPr="00D462F0">
              <w:rPr>
                <w:rFonts w:asciiTheme="majorHAnsi" w:hAnsiTheme="majorHAnsi" w:cstheme="majorHAnsi"/>
                <w:bCs/>
                <w:strike/>
                <w:color w:val="EE0000"/>
                <w:sz w:val="24"/>
                <w:szCs w:val="24"/>
              </w:rPr>
              <w:t xml:space="preserve">do serviço a ser prestado </w:t>
            </w:r>
            <w:r w:rsidRPr="00D462F0">
              <w:rPr>
                <w:rFonts w:asciiTheme="majorHAnsi" w:hAnsiTheme="majorHAnsi" w:cstheme="majorHAnsi"/>
                <w:bCs/>
                <w:color w:val="00B0F0"/>
                <w:sz w:val="24"/>
                <w:szCs w:val="24"/>
              </w:rPr>
              <w:t>da atividade contratada</w:t>
            </w:r>
            <w:r w:rsidRPr="00D462F0">
              <w:rPr>
                <w:rFonts w:asciiTheme="majorHAnsi" w:hAnsiTheme="majorHAnsi" w:cstheme="majorHAnsi"/>
                <w:bCs/>
                <w:color w:val="0000FF"/>
                <w:sz w:val="24"/>
                <w:szCs w:val="24"/>
              </w:rPr>
              <w:t>,</w:t>
            </w:r>
            <w:r w:rsidRPr="00D462F0">
              <w:rPr>
                <w:rFonts w:asciiTheme="majorHAnsi" w:hAnsiTheme="majorHAnsi" w:cstheme="majorHAnsi"/>
                <w:bCs/>
                <w:sz w:val="24"/>
                <w:szCs w:val="24"/>
              </w:rPr>
              <w:t xml:space="preserve"> contemplando </w:t>
            </w:r>
            <w:r w:rsidRPr="00D462F0">
              <w:rPr>
                <w:rFonts w:asciiTheme="majorHAnsi" w:hAnsiTheme="majorHAnsi" w:cstheme="majorHAnsi"/>
                <w:bCs/>
                <w:strike/>
                <w:color w:val="EE0000"/>
                <w:sz w:val="24"/>
                <w:szCs w:val="24"/>
              </w:rPr>
              <w:t>inclusive</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 xml:space="preserve">objetivos passíveis de verificação de acordo com as características do mandato, </w:t>
            </w:r>
            <w:r w:rsidRPr="00D462F0">
              <w:rPr>
                <w:rFonts w:asciiTheme="majorHAnsi" w:hAnsiTheme="majorHAnsi" w:cstheme="majorHAnsi"/>
                <w:bCs/>
                <w:color w:val="0000FF"/>
                <w:sz w:val="24"/>
                <w:szCs w:val="24"/>
              </w:rPr>
              <w:t>firmando, sempre que possível, acordos quanto ao nível de serviço a ser prestado</w:t>
            </w:r>
            <w:r w:rsidRPr="00D462F0">
              <w:rPr>
                <w:rFonts w:asciiTheme="majorHAnsi" w:hAnsiTheme="majorHAnsi" w:cstheme="majorHAnsi"/>
                <w:bCs/>
                <w:sz w:val="24"/>
                <w:szCs w:val="24"/>
              </w:rPr>
              <w:t xml:space="preserve">; </w:t>
            </w:r>
          </w:p>
        </w:tc>
        <w:tc>
          <w:tcPr>
            <w:tcW w:w="4074" w:type="dxa"/>
          </w:tcPr>
          <w:p w14:paraId="242490DC" w14:textId="35176A93"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t>A redação proposta visa garantir maior precisão normativa ao exigir que o regulamento e o contrato contenham, de forma clara e objetiva, a definição do escopo dos serviços a serem prestados. A exclusão do termo “inclusive” elimina redundância, sem prejuízo da exigência de metas verificáveis. A opção por abordagem mais genérica evita a adoção automática do modelo de SLA previsto no Ofício-Circular nº 3/2020-CVM/SMI, o qual não se coaduna com a natureza contínua e institucional dos serviços prestados no âmbito das EFPC, respeitando a diversidade de estruturas organizacionais do setor.</w:t>
            </w:r>
          </w:p>
        </w:tc>
        <w:tc>
          <w:tcPr>
            <w:tcW w:w="4075" w:type="dxa"/>
          </w:tcPr>
          <w:p w14:paraId="29D61001" w14:textId="5E60596D"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Alínea “a” do inciso V, do art. 4º.</w:t>
            </w:r>
          </w:p>
        </w:tc>
      </w:tr>
      <w:tr w:rsidR="00EB19CA" w:rsidRPr="00C93770" w14:paraId="3943DFAF" w14:textId="77777777" w:rsidTr="1756A420">
        <w:tc>
          <w:tcPr>
            <w:tcW w:w="4074" w:type="dxa"/>
          </w:tcPr>
          <w:p w14:paraId="2E2EFDE5" w14:textId="71379B7C"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BCEFC5A" w14:textId="392D6662"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2EB3F172" w14:textId="77777777" w:rsidR="00EB19CA" w:rsidRPr="00D462F0" w:rsidRDefault="00EB19CA" w:rsidP="00D462F0">
            <w:pPr>
              <w:jc w:val="both"/>
              <w:rPr>
                <w:rFonts w:asciiTheme="majorHAnsi" w:hAnsiTheme="majorHAnsi" w:cstheme="majorHAnsi"/>
                <w:sz w:val="24"/>
                <w:szCs w:val="24"/>
              </w:rPr>
            </w:pPr>
          </w:p>
        </w:tc>
        <w:tc>
          <w:tcPr>
            <w:tcW w:w="4075" w:type="dxa"/>
          </w:tcPr>
          <w:p w14:paraId="484279B5" w14:textId="77777777" w:rsidR="00EB19CA" w:rsidRPr="00D462F0" w:rsidRDefault="00EB19CA" w:rsidP="00D462F0">
            <w:pPr>
              <w:jc w:val="both"/>
              <w:rPr>
                <w:rFonts w:asciiTheme="majorHAnsi" w:hAnsiTheme="majorHAnsi" w:cstheme="majorHAnsi"/>
                <w:bCs/>
                <w:sz w:val="24"/>
                <w:szCs w:val="24"/>
              </w:rPr>
            </w:pPr>
          </w:p>
        </w:tc>
      </w:tr>
      <w:tr w:rsidR="00EB19CA" w:rsidRPr="00C93770" w14:paraId="1CD64920" w14:textId="77777777" w:rsidTr="1756A420">
        <w:tc>
          <w:tcPr>
            <w:tcW w:w="4074" w:type="dxa"/>
          </w:tcPr>
          <w:p w14:paraId="7BE908A0" w14:textId="7FA4913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VII - analisar se a política de gestão de riscos da carteira administrada ou do fundo de investimento está alinhada às diretrizes da política de investimento dos planos de benefícios da EFPC; e</w:t>
            </w:r>
          </w:p>
        </w:tc>
        <w:tc>
          <w:tcPr>
            <w:tcW w:w="4074" w:type="dxa"/>
          </w:tcPr>
          <w:p w14:paraId="35FCC9FA" w14:textId="6765110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VII - analisar se a política de gestão de riscos da carteira administrada ou </w:t>
            </w:r>
            <w:r w:rsidRPr="00D462F0">
              <w:rPr>
                <w:rFonts w:asciiTheme="majorHAnsi" w:hAnsiTheme="majorHAnsi" w:cstheme="majorHAnsi"/>
                <w:bCs/>
                <w:color w:val="0000FF"/>
                <w:sz w:val="24"/>
                <w:szCs w:val="24"/>
              </w:rPr>
              <w:t xml:space="preserve">da classe de cotas </w:t>
            </w:r>
            <w:r w:rsidRPr="00D462F0">
              <w:rPr>
                <w:rFonts w:asciiTheme="majorHAnsi" w:hAnsiTheme="majorHAnsi" w:cstheme="majorHAnsi"/>
                <w:bCs/>
                <w:sz w:val="24"/>
                <w:szCs w:val="24"/>
              </w:rPr>
              <w:t>do fundo de investimento está alinhada às diretrizes da política de investimento dos planos de benefícios da EFPC; e</w:t>
            </w:r>
          </w:p>
        </w:tc>
        <w:tc>
          <w:tcPr>
            <w:tcW w:w="4074" w:type="dxa"/>
          </w:tcPr>
          <w:p w14:paraId="2B4C009B"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Ajuste redacional para alinhar à Resolução CMN Nº 5.202, de 2025, e a Resolução CVM nº 175, de 2022.</w:t>
            </w:r>
          </w:p>
          <w:p w14:paraId="3DDD4C5E" w14:textId="77777777" w:rsidR="00EB19CA" w:rsidRPr="00D462F0" w:rsidRDefault="00EB19CA" w:rsidP="00D462F0">
            <w:pPr>
              <w:jc w:val="both"/>
              <w:rPr>
                <w:rFonts w:asciiTheme="majorHAnsi" w:hAnsiTheme="majorHAnsi" w:cstheme="majorHAnsi"/>
                <w:sz w:val="24"/>
                <w:szCs w:val="24"/>
              </w:rPr>
            </w:pPr>
          </w:p>
        </w:tc>
        <w:tc>
          <w:tcPr>
            <w:tcW w:w="4075" w:type="dxa"/>
          </w:tcPr>
          <w:p w14:paraId="6DC7961A" w14:textId="1DC00ED5"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Incisos IV do art. 4º do Decreto nº 10.411, de 2020</w:t>
            </w:r>
            <w:r w:rsidRPr="00D462F0">
              <w:rPr>
                <w:rFonts w:asciiTheme="majorHAnsi" w:eastAsia="Times New Roman" w:hAnsiTheme="majorHAnsi" w:cstheme="majorHAnsi"/>
                <w:bCs/>
                <w:sz w:val="24"/>
                <w:szCs w:val="24"/>
              </w:rPr>
              <w:t xml:space="preserve"> - </w:t>
            </w:r>
            <w:r w:rsidRPr="00D462F0">
              <w:rPr>
                <w:rFonts w:asciiTheme="majorHAnsi" w:hAnsiTheme="majorHAnsi" w:cstheme="majorHAnsi"/>
                <w:bCs/>
                <w:sz w:val="24"/>
                <w:szCs w:val="24"/>
              </w:rPr>
              <w:t>Aprimoramento redacional, sem alteração de mérito, para atender à melhor técnica normativa e a</w:t>
            </w:r>
            <w:r w:rsidRPr="00D462F0">
              <w:rPr>
                <w:rFonts w:asciiTheme="majorHAnsi" w:eastAsia="Times New Roman" w:hAnsiTheme="majorHAnsi" w:cstheme="majorHAnsi"/>
                <w:bCs/>
                <w:sz w:val="24"/>
                <w:szCs w:val="24"/>
              </w:rPr>
              <w:t>daptação à Resolução CMN nº 5.202, de 2025, e Resolução CVM nº175, de 2022, assim como retirada expressa da Resolução CMN nº 4.994, de 2022.</w:t>
            </w:r>
          </w:p>
        </w:tc>
      </w:tr>
      <w:tr w:rsidR="00EB19CA" w:rsidRPr="00C93770" w14:paraId="4B10702C" w14:textId="77777777" w:rsidTr="1756A420">
        <w:tc>
          <w:tcPr>
            <w:tcW w:w="4074" w:type="dxa"/>
          </w:tcPr>
          <w:p w14:paraId="63C016D5" w14:textId="0932D43A"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B38CAC9" w14:textId="0B67C64F"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2CC85FF5" w14:textId="77777777" w:rsidR="00EB19CA" w:rsidRPr="00D462F0" w:rsidRDefault="00EB19CA" w:rsidP="00D462F0">
            <w:pPr>
              <w:jc w:val="both"/>
              <w:rPr>
                <w:rFonts w:asciiTheme="majorHAnsi" w:hAnsiTheme="majorHAnsi" w:cstheme="majorHAnsi"/>
                <w:sz w:val="24"/>
                <w:szCs w:val="24"/>
              </w:rPr>
            </w:pPr>
          </w:p>
        </w:tc>
        <w:tc>
          <w:tcPr>
            <w:tcW w:w="4075" w:type="dxa"/>
          </w:tcPr>
          <w:p w14:paraId="1E15F2CD" w14:textId="77777777" w:rsidR="00EB19CA" w:rsidRPr="00D462F0" w:rsidRDefault="00EB19CA" w:rsidP="00D462F0">
            <w:pPr>
              <w:jc w:val="both"/>
              <w:rPr>
                <w:rFonts w:asciiTheme="majorHAnsi" w:hAnsiTheme="majorHAnsi" w:cstheme="majorHAnsi"/>
                <w:bCs/>
                <w:sz w:val="24"/>
                <w:szCs w:val="24"/>
              </w:rPr>
            </w:pPr>
          </w:p>
        </w:tc>
      </w:tr>
      <w:tr w:rsidR="00EB19CA" w:rsidRPr="00C93770" w14:paraId="749933F6" w14:textId="77777777" w:rsidTr="1756A420">
        <w:tc>
          <w:tcPr>
            <w:tcW w:w="4074" w:type="dxa"/>
          </w:tcPr>
          <w:p w14:paraId="50AC2FAF" w14:textId="73D3121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§2º  O membro de diretoria ou conselho deliberativo da EFPC deve formalizar ao conselho deliberativo a existência de qualquer potencial conflito de interesse </w:t>
            </w:r>
            <w:r w:rsidRPr="00D462F0">
              <w:rPr>
                <w:rFonts w:asciiTheme="majorHAnsi" w:hAnsiTheme="majorHAnsi" w:cstheme="majorHAnsi"/>
                <w:sz w:val="24"/>
                <w:szCs w:val="24"/>
              </w:rPr>
              <w:lastRenderedPageBreak/>
              <w:t>quando da seleção do prestador de serviço de administração de carteiras de valores mobiliários.</w:t>
            </w:r>
          </w:p>
        </w:tc>
        <w:tc>
          <w:tcPr>
            <w:tcW w:w="4074" w:type="dxa"/>
          </w:tcPr>
          <w:p w14:paraId="78AE3565" w14:textId="036A104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 xml:space="preserve">§2º  O membro de diretoria </w:t>
            </w:r>
            <w:r w:rsidRPr="00D462F0">
              <w:rPr>
                <w:rFonts w:asciiTheme="majorHAnsi" w:hAnsiTheme="majorHAnsi" w:cstheme="majorHAnsi"/>
                <w:bCs/>
                <w:strike/>
                <w:color w:val="EE0000"/>
                <w:sz w:val="24"/>
                <w:szCs w:val="24"/>
              </w:rPr>
              <w:t>ou</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e do </w:t>
            </w:r>
            <w:r w:rsidRPr="00D462F0">
              <w:rPr>
                <w:rFonts w:asciiTheme="majorHAnsi" w:hAnsiTheme="majorHAnsi" w:cstheme="majorHAnsi"/>
                <w:bCs/>
                <w:sz w:val="24"/>
                <w:szCs w:val="24"/>
              </w:rPr>
              <w:t xml:space="preserve">conselho deliberativo da EFPC deve formalizar ao conselho deliberativo a existência de qualquer potencial </w:t>
            </w:r>
            <w:r w:rsidRPr="00D462F0">
              <w:rPr>
                <w:rFonts w:asciiTheme="majorHAnsi" w:hAnsiTheme="majorHAnsi" w:cstheme="majorHAnsi"/>
                <w:bCs/>
                <w:sz w:val="24"/>
                <w:szCs w:val="24"/>
              </w:rPr>
              <w:lastRenderedPageBreak/>
              <w:t xml:space="preserve">conflito de </w:t>
            </w:r>
            <w:r w:rsidRPr="00D462F0">
              <w:rPr>
                <w:rFonts w:asciiTheme="majorHAnsi" w:hAnsiTheme="majorHAnsi" w:cstheme="majorHAnsi"/>
                <w:bCs/>
                <w:strike/>
                <w:color w:val="EE0000"/>
                <w:sz w:val="24"/>
                <w:szCs w:val="24"/>
              </w:rPr>
              <w:t>interesse</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 xml:space="preserve">interesses </w:t>
            </w:r>
            <w:r w:rsidRPr="00D462F0">
              <w:rPr>
                <w:rFonts w:asciiTheme="majorHAnsi" w:hAnsiTheme="majorHAnsi" w:cstheme="majorHAnsi"/>
                <w:bCs/>
                <w:sz w:val="24"/>
                <w:szCs w:val="24"/>
              </w:rPr>
              <w:t>quando da seleção do prestador de serviço de administração de carteiras de valores mobiliários.</w:t>
            </w:r>
          </w:p>
        </w:tc>
        <w:tc>
          <w:tcPr>
            <w:tcW w:w="4074" w:type="dxa"/>
          </w:tcPr>
          <w:p w14:paraId="4E436850" w14:textId="16FEC9C3"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Aprimoramento redacional para afirmar que tanto o membro da diretoria quanto o conselheiro deliberativo precisam formalizar a </w:t>
            </w:r>
            <w:r w:rsidRPr="00D462F0">
              <w:rPr>
                <w:rFonts w:asciiTheme="majorHAnsi" w:hAnsiTheme="majorHAnsi" w:cstheme="majorHAnsi"/>
                <w:sz w:val="24"/>
                <w:szCs w:val="24"/>
              </w:rPr>
              <w:lastRenderedPageBreak/>
              <w:t>existência de qualquer potencial conflito de interesses.</w:t>
            </w:r>
            <w:r w:rsidRPr="00D462F0" w:rsidDel="00486BF6">
              <w:rPr>
                <w:rFonts w:asciiTheme="majorHAnsi" w:hAnsiTheme="majorHAnsi" w:cstheme="majorHAnsi"/>
                <w:sz w:val="24"/>
                <w:szCs w:val="24"/>
              </w:rPr>
              <w:t xml:space="preserve"> </w:t>
            </w:r>
            <w:r w:rsidRPr="00D462F0">
              <w:rPr>
                <w:rFonts w:asciiTheme="majorHAnsi" w:hAnsiTheme="majorHAnsi" w:cstheme="majorHAnsi"/>
                <w:sz w:val="24"/>
                <w:szCs w:val="24"/>
              </w:rPr>
              <w:t xml:space="preserve">s. </w:t>
            </w:r>
          </w:p>
        </w:tc>
        <w:tc>
          <w:tcPr>
            <w:tcW w:w="4075" w:type="dxa"/>
          </w:tcPr>
          <w:p w14:paraId="478EF523"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lastRenderedPageBreak/>
              <w:t xml:space="preserve">Inciso IV do art. 4º do Decreto nº 10.411, de 2020 do Decreto nº 10.411, de 2020 - Ajuste redacional para retirada de menção expressa à </w:t>
            </w:r>
            <w:r w:rsidRPr="00D462F0">
              <w:rPr>
                <w:rFonts w:asciiTheme="majorHAnsi" w:eastAsia="Calibri" w:hAnsiTheme="majorHAnsi" w:cstheme="majorHAnsi"/>
                <w:bCs/>
                <w:sz w:val="24"/>
                <w:szCs w:val="24"/>
              </w:rPr>
              <w:lastRenderedPageBreak/>
              <w:t>Resolução CMN nº 4.994, de 2022, configurando para mais perenidade ao dispositivo.</w:t>
            </w:r>
            <w:r w:rsidRPr="00D462F0">
              <w:rPr>
                <w:rFonts w:asciiTheme="majorHAnsi" w:eastAsia="Times New Roman" w:hAnsiTheme="majorHAnsi" w:cstheme="majorHAnsi"/>
                <w:bCs/>
                <w:sz w:val="24"/>
                <w:szCs w:val="24"/>
              </w:rPr>
              <w:t xml:space="preserve"> </w:t>
            </w:r>
            <w:r w:rsidRPr="00D462F0">
              <w:rPr>
                <w:rFonts w:asciiTheme="majorHAnsi" w:hAnsiTheme="majorHAnsi" w:cstheme="majorHAnsi"/>
                <w:bCs/>
                <w:sz w:val="24"/>
                <w:szCs w:val="24"/>
              </w:rPr>
              <w:t>Aprimoramento redacional, sem alteração de mérito, para atender à melhor técnica normativa.</w:t>
            </w:r>
          </w:p>
          <w:p w14:paraId="0B05B263" w14:textId="77777777" w:rsidR="00EB19CA" w:rsidRPr="00D462F0" w:rsidRDefault="00EB19CA" w:rsidP="00D462F0">
            <w:pPr>
              <w:jc w:val="both"/>
              <w:rPr>
                <w:rFonts w:asciiTheme="majorHAnsi" w:hAnsiTheme="majorHAnsi" w:cstheme="majorHAnsi"/>
                <w:bCs/>
                <w:sz w:val="24"/>
                <w:szCs w:val="24"/>
              </w:rPr>
            </w:pPr>
          </w:p>
        </w:tc>
      </w:tr>
      <w:tr w:rsidR="00EB19CA" w:rsidRPr="00C93770" w14:paraId="76DDB52A" w14:textId="77777777" w:rsidTr="1756A420">
        <w:tc>
          <w:tcPr>
            <w:tcW w:w="4074" w:type="dxa"/>
          </w:tcPr>
          <w:p w14:paraId="346B66D2" w14:textId="525F1B8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§3º  A EFPC deve revisar periodicamente os critérios de seleção de prestadores de serviço de administração de carteiras de valores mobiliários e de gestão de fundo de investimento exclusivo.</w:t>
            </w:r>
          </w:p>
        </w:tc>
        <w:tc>
          <w:tcPr>
            <w:tcW w:w="4074" w:type="dxa"/>
          </w:tcPr>
          <w:p w14:paraId="175442E9" w14:textId="25AEEAE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§3º  A EFPC deve revisar periodicamente os critérios de seleção de prestadores de </w:t>
            </w:r>
            <w:r w:rsidRPr="00D462F0">
              <w:rPr>
                <w:rFonts w:asciiTheme="majorHAnsi" w:hAnsiTheme="majorHAnsi" w:cstheme="majorHAnsi"/>
                <w:bCs/>
                <w:strike/>
                <w:color w:val="EE0000"/>
                <w:sz w:val="24"/>
                <w:szCs w:val="24"/>
              </w:rPr>
              <w:t>serviço</w:t>
            </w:r>
            <w:r w:rsidRPr="00D462F0">
              <w:rPr>
                <w:rFonts w:asciiTheme="majorHAnsi" w:hAnsiTheme="majorHAnsi" w:cstheme="majorHAnsi"/>
                <w:bCs/>
                <w:sz w:val="24"/>
                <w:szCs w:val="24"/>
              </w:rPr>
              <w:t xml:space="preserve"> serviços </w:t>
            </w:r>
            <w:r w:rsidRPr="00D462F0">
              <w:rPr>
                <w:rFonts w:asciiTheme="majorHAnsi" w:hAnsiTheme="majorHAnsi" w:cstheme="majorHAnsi"/>
                <w:bCs/>
                <w:strike/>
                <w:color w:val="EE0000"/>
                <w:sz w:val="24"/>
                <w:szCs w:val="24"/>
              </w:rPr>
              <w:t>de administração de carteiras de valores mobiliários e</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trike/>
                <w:color w:val="EE0000"/>
                <w:sz w:val="24"/>
                <w:szCs w:val="24"/>
              </w:rPr>
              <w:t>gestão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de fundo de investimento exclusivo.</w:t>
            </w:r>
          </w:p>
        </w:tc>
        <w:tc>
          <w:tcPr>
            <w:tcW w:w="4074" w:type="dxa"/>
          </w:tcPr>
          <w:p w14:paraId="4276348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alinhar às nomenclaturas adotadas pela Resolução CMN nº 5.202, de 2025, e pela Resolução CVM nº 175, de 2022.</w:t>
            </w:r>
          </w:p>
          <w:p w14:paraId="1697961A" w14:textId="77777777" w:rsidR="00EB19CA" w:rsidRPr="00D462F0" w:rsidRDefault="00EB19CA" w:rsidP="00D462F0">
            <w:pPr>
              <w:jc w:val="both"/>
              <w:rPr>
                <w:rFonts w:asciiTheme="majorHAnsi" w:hAnsiTheme="majorHAnsi" w:cstheme="majorHAnsi"/>
                <w:sz w:val="24"/>
                <w:szCs w:val="24"/>
              </w:rPr>
            </w:pPr>
          </w:p>
        </w:tc>
        <w:tc>
          <w:tcPr>
            <w:tcW w:w="4075" w:type="dxa"/>
          </w:tcPr>
          <w:p w14:paraId="5066126D" w14:textId="4BC9D0A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1B764C3B" w14:textId="77777777" w:rsidTr="1756A420">
        <w:tc>
          <w:tcPr>
            <w:tcW w:w="4074" w:type="dxa"/>
          </w:tcPr>
          <w:p w14:paraId="18562D39"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II</w:t>
            </w:r>
          </w:p>
          <w:p w14:paraId="327BF6BB" w14:textId="3D11B109"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Fundo de Investimento</w:t>
            </w:r>
          </w:p>
        </w:tc>
        <w:tc>
          <w:tcPr>
            <w:tcW w:w="4074" w:type="dxa"/>
          </w:tcPr>
          <w:p w14:paraId="6AC16B20"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II</w:t>
            </w:r>
          </w:p>
          <w:p w14:paraId="58B5421E" w14:textId="1937A80F"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Fundo de Investimento</w:t>
            </w:r>
          </w:p>
        </w:tc>
        <w:tc>
          <w:tcPr>
            <w:tcW w:w="4074" w:type="dxa"/>
          </w:tcPr>
          <w:p w14:paraId="3CB65F1A" w14:textId="77777777" w:rsidR="00EB19CA" w:rsidRPr="00D462F0" w:rsidRDefault="00EB19CA" w:rsidP="00D462F0">
            <w:pPr>
              <w:jc w:val="both"/>
              <w:rPr>
                <w:rFonts w:asciiTheme="majorHAnsi" w:hAnsiTheme="majorHAnsi" w:cstheme="majorHAnsi"/>
                <w:sz w:val="24"/>
                <w:szCs w:val="24"/>
              </w:rPr>
            </w:pPr>
          </w:p>
        </w:tc>
        <w:tc>
          <w:tcPr>
            <w:tcW w:w="4075" w:type="dxa"/>
          </w:tcPr>
          <w:p w14:paraId="3B6B38FE" w14:textId="77777777" w:rsidR="00EB19CA" w:rsidRPr="00D462F0" w:rsidRDefault="00EB19CA" w:rsidP="00D462F0">
            <w:pPr>
              <w:jc w:val="both"/>
              <w:rPr>
                <w:rFonts w:asciiTheme="majorHAnsi" w:hAnsiTheme="majorHAnsi" w:cstheme="majorHAnsi"/>
                <w:bCs/>
                <w:sz w:val="24"/>
                <w:szCs w:val="24"/>
              </w:rPr>
            </w:pPr>
          </w:p>
        </w:tc>
      </w:tr>
      <w:tr w:rsidR="00EB19CA" w:rsidRPr="00C93770" w14:paraId="1D07BE39" w14:textId="77777777" w:rsidTr="1756A420">
        <w:tc>
          <w:tcPr>
            <w:tcW w:w="4074" w:type="dxa"/>
          </w:tcPr>
          <w:p w14:paraId="245732C0" w14:textId="228C27FD"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221.  Na seleção e contratação de fundo de investimento, observados aspectos de concorrência e transparência, a EFPC deve, no mínimo, analisar:</w:t>
            </w:r>
          </w:p>
        </w:tc>
        <w:tc>
          <w:tcPr>
            <w:tcW w:w="4074" w:type="dxa"/>
          </w:tcPr>
          <w:p w14:paraId="4042B5E2" w14:textId="68578A4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221.  ...</w:t>
            </w:r>
          </w:p>
        </w:tc>
        <w:tc>
          <w:tcPr>
            <w:tcW w:w="4074" w:type="dxa"/>
          </w:tcPr>
          <w:p w14:paraId="5A48798A" w14:textId="77777777" w:rsidR="00EB19CA" w:rsidRPr="00D462F0" w:rsidRDefault="00EB19CA" w:rsidP="00D462F0">
            <w:pPr>
              <w:jc w:val="both"/>
              <w:rPr>
                <w:rFonts w:asciiTheme="majorHAnsi" w:hAnsiTheme="majorHAnsi" w:cstheme="majorHAnsi"/>
                <w:sz w:val="24"/>
                <w:szCs w:val="24"/>
              </w:rPr>
            </w:pPr>
          </w:p>
        </w:tc>
        <w:tc>
          <w:tcPr>
            <w:tcW w:w="4075" w:type="dxa"/>
          </w:tcPr>
          <w:p w14:paraId="296B8631" w14:textId="77777777" w:rsidR="00EB19CA" w:rsidRPr="00D462F0" w:rsidRDefault="00EB19CA" w:rsidP="00D462F0">
            <w:pPr>
              <w:jc w:val="both"/>
              <w:rPr>
                <w:rFonts w:asciiTheme="majorHAnsi" w:hAnsiTheme="majorHAnsi" w:cstheme="majorHAnsi"/>
                <w:bCs/>
                <w:sz w:val="24"/>
                <w:szCs w:val="24"/>
              </w:rPr>
            </w:pPr>
          </w:p>
        </w:tc>
      </w:tr>
      <w:tr w:rsidR="00EB19CA" w:rsidRPr="00C93770" w14:paraId="0931DF90" w14:textId="77777777" w:rsidTr="1756A420">
        <w:tc>
          <w:tcPr>
            <w:tcW w:w="4074" w:type="dxa"/>
          </w:tcPr>
          <w:p w14:paraId="4D1961EE" w14:textId="146D9A3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 - o regulamento e demais documentos disponibilizados pelo gestor do fundo de investimento, previamente às alocações, identificando os riscos inerentes às operações previstas;</w:t>
            </w:r>
          </w:p>
        </w:tc>
        <w:tc>
          <w:tcPr>
            <w:tcW w:w="4074" w:type="dxa"/>
          </w:tcPr>
          <w:p w14:paraId="61CEBD67" w14:textId="4BC2F11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 - o regulamento e demais documentos disponibilizados pelos </w:t>
            </w:r>
            <w:r w:rsidRPr="00D462F0">
              <w:rPr>
                <w:rFonts w:asciiTheme="majorHAnsi" w:hAnsiTheme="majorHAnsi" w:cstheme="majorHAnsi"/>
                <w:bCs/>
                <w:color w:val="0000FF"/>
                <w:sz w:val="24"/>
                <w:szCs w:val="24"/>
              </w:rPr>
              <w:t xml:space="preserve">prestadores de serviços </w:t>
            </w:r>
            <w:r w:rsidRPr="00D462F0">
              <w:rPr>
                <w:rFonts w:asciiTheme="majorHAnsi" w:hAnsiTheme="majorHAnsi" w:cstheme="majorHAnsi"/>
                <w:bCs/>
                <w:strike/>
                <w:color w:val="EE0000"/>
                <w:sz w:val="24"/>
                <w:szCs w:val="24"/>
              </w:rPr>
              <w:t>gestor do fundo de investimento</w:t>
            </w:r>
            <w:r w:rsidRPr="00D462F0">
              <w:rPr>
                <w:rFonts w:asciiTheme="majorHAnsi" w:hAnsiTheme="majorHAnsi" w:cstheme="majorHAnsi"/>
                <w:bCs/>
                <w:sz w:val="24"/>
                <w:szCs w:val="24"/>
              </w:rPr>
              <w:t>, previamente às alocações, identificando os riscos inerentes às operações previstas;</w:t>
            </w:r>
          </w:p>
        </w:tc>
        <w:tc>
          <w:tcPr>
            <w:tcW w:w="4074" w:type="dxa"/>
          </w:tcPr>
          <w:p w14:paraId="5344FF5E" w14:textId="10A91FBC"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alinhar às nomenclaturas adotadas pela Resolução CMN nº 5.202, de 2025, e pela Resolução CVM nº 175, de 2022.</w:t>
            </w:r>
          </w:p>
        </w:tc>
        <w:tc>
          <w:tcPr>
            <w:tcW w:w="4075" w:type="dxa"/>
          </w:tcPr>
          <w:p w14:paraId="1905A905" w14:textId="4333313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7814804E" w14:textId="77777777" w:rsidTr="1756A420">
        <w:tc>
          <w:tcPr>
            <w:tcW w:w="4074" w:type="dxa"/>
          </w:tcPr>
          <w:p w14:paraId="595A5A5F" w14:textId="5C17D35C" w:rsidR="00EB19CA" w:rsidRPr="00D462F0" w:rsidRDefault="00EA698E" w:rsidP="0028717C">
            <w:pPr>
              <w:jc w:val="center"/>
              <w:rPr>
                <w:rFonts w:asciiTheme="majorHAnsi" w:hAnsiTheme="majorHAnsi" w:cstheme="majorHAnsi"/>
                <w:sz w:val="24"/>
                <w:szCs w:val="24"/>
              </w:rPr>
            </w:pPr>
            <w:r>
              <w:rPr>
                <w:rFonts w:asciiTheme="majorHAnsi" w:hAnsiTheme="majorHAnsi" w:cstheme="majorHAnsi"/>
                <w:sz w:val="24"/>
                <w:szCs w:val="24"/>
              </w:rPr>
              <w:t>...</w:t>
            </w:r>
          </w:p>
        </w:tc>
        <w:tc>
          <w:tcPr>
            <w:tcW w:w="4074" w:type="dxa"/>
          </w:tcPr>
          <w:p w14:paraId="7A49DE27" w14:textId="56ACC000"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EDC70BB" w14:textId="77777777" w:rsidR="00EB19CA" w:rsidRPr="00D462F0" w:rsidRDefault="00EB19CA" w:rsidP="00D462F0">
            <w:pPr>
              <w:jc w:val="both"/>
              <w:rPr>
                <w:rFonts w:asciiTheme="majorHAnsi" w:hAnsiTheme="majorHAnsi" w:cstheme="majorHAnsi"/>
                <w:sz w:val="24"/>
                <w:szCs w:val="24"/>
              </w:rPr>
            </w:pPr>
          </w:p>
        </w:tc>
        <w:tc>
          <w:tcPr>
            <w:tcW w:w="4075" w:type="dxa"/>
          </w:tcPr>
          <w:p w14:paraId="69DDABCB" w14:textId="77777777" w:rsidR="00EB19CA" w:rsidRPr="00D462F0" w:rsidRDefault="00EB19CA" w:rsidP="00D462F0">
            <w:pPr>
              <w:jc w:val="both"/>
              <w:rPr>
                <w:rFonts w:asciiTheme="majorHAnsi" w:hAnsiTheme="majorHAnsi" w:cstheme="majorHAnsi"/>
                <w:bCs/>
                <w:sz w:val="24"/>
                <w:szCs w:val="24"/>
              </w:rPr>
            </w:pPr>
          </w:p>
        </w:tc>
      </w:tr>
      <w:tr w:rsidR="00EB19CA" w:rsidRPr="00C93770" w14:paraId="19DBEF42" w14:textId="77777777" w:rsidTr="1756A420">
        <w:tc>
          <w:tcPr>
            <w:tcW w:w="4074" w:type="dxa"/>
          </w:tcPr>
          <w:p w14:paraId="458B3050" w14:textId="4C76DD3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VII - as taxas de administração, gestão e performance efetivas dos fundos, principalmente daqueles que possam adquirir cotas de outros fundos de investimento.</w:t>
            </w:r>
          </w:p>
        </w:tc>
        <w:tc>
          <w:tcPr>
            <w:tcW w:w="4074" w:type="dxa"/>
          </w:tcPr>
          <w:p w14:paraId="07C95032" w14:textId="0712109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VII - as taxas de administração, gestão, </w:t>
            </w:r>
            <w:r w:rsidRPr="00D462F0">
              <w:rPr>
                <w:rFonts w:asciiTheme="majorHAnsi" w:hAnsiTheme="majorHAnsi" w:cstheme="majorHAnsi"/>
                <w:bCs/>
                <w:color w:val="0000FF"/>
                <w:sz w:val="24"/>
                <w:szCs w:val="24"/>
              </w:rPr>
              <w:t xml:space="preserve">distribuição </w:t>
            </w:r>
            <w:r w:rsidRPr="00D462F0">
              <w:rPr>
                <w:rFonts w:asciiTheme="majorHAnsi" w:hAnsiTheme="majorHAnsi" w:cstheme="majorHAnsi"/>
                <w:bCs/>
                <w:sz w:val="24"/>
                <w:szCs w:val="24"/>
              </w:rPr>
              <w:t xml:space="preserve">e performance efetivas </w:t>
            </w:r>
            <w:r w:rsidRPr="00D462F0">
              <w:rPr>
                <w:rFonts w:asciiTheme="majorHAnsi" w:hAnsiTheme="majorHAnsi" w:cstheme="majorHAnsi"/>
                <w:bCs/>
                <w:strike/>
                <w:color w:val="EE0000"/>
                <w:sz w:val="24"/>
                <w:szCs w:val="24"/>
              </w:rPr>
              <w:t>dos fundos</w:t>
            </w:r>
            <w:r w:rsidRPr="00D462F0">
              <w:rPr>
                <w:rFonts w:asciiTheme="majorHAnsi" w:hAnsiTheme="majorHAnsi" w:cstheme="majorHAnsi"/>
                <w:bCs/>
                <w:sz w:val="24"/>
                <w:szCs w:val="24"/>
              </w:rPr>
              <w:t xml:space="preserve">, principalmente </w:t>
            </w:r>
            <w:r w:rsidRPr="00D462F0">
              <w:rPr>
                <w:rFonts w:asciiTheme="majorHAnsi" w:hAnsiTheme="majorHAnsi" w:cstheme="majorHAnsi"/>
                <w:bCs/>
                <w:color w:val="0000FF"/>
                <w:sz w:val="24"/>
                <w:szCs w:val="24"/>
              </w:rPr>
              <w:t xml:space="preserve">quando </w:t>
            </w:r>
            <w:r w:rsidRPr="00D462F0">
              <w:rPr>
                <w:rFonts w:asciiTheme="majorHAnsi" w:hAnsiTheme="majorHAnsi" w:cstheme="majorHAnsi"/>
                <w:bCs/>
                <w:strike/>
                <w:color w:val="EE0000"/>
                <w:sz w:val="24"/>
                <w:szCs w:val="24"/>
              </w:rPr>
              <w:t>daqueles que</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 xml:space="preserve">possam adquirir cotas de outros fundos de investimento. </w:t>
            </w:r>
          </w:p>
        </w:tc>
        <w:tc>
          <w:tcPr>
            <w:tcW w:w="4074" w:type="dxa"/>
          </w:tcPr>
          <w:p w14:paraId="51164D8D" w14:textId="5B13BA9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Aprimoramento redacional e inclusão da necessidade de analisar também as taxas de distribuição dos fundos, considerando seu potencial impacto sobre a rentabilidade final do fundo de investimentos.</w:t>
            </w:r>
          </w:p>
        </w:tc>
        <w:tc>
          <w:tcPr>
            <w:tcW w:w="4075" w:type="dxa"/>
          </w:tcPr>
          <w:p w14:paraId="5FAA0DAF" w14:textId="1EE8FF4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13C192A3" w14:textId="77777777" w:rsidTr="1756A420">
        <w:tc>
          <w:tcPr>
            <w:tcW w:w="4074" w:type="dxa"/>
          </w:tcPr>
          <w:p w14:paraId="2576740C" w14:textId="58B3A897" w:rsidR="00EB19CA" w:rsidRPr="00D462F0" w:rsidRDefault="006414E3"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4C4EA542" w14:textId="315EE87D"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0026B7F6" w14:textId="77777777" w:rsidR="00EB19CA" w:rsidRPr="00D462F0" w:rsidRDefault="00EB19CA" w:rsidP="00D462F0">
            <w:pPr>
              <w:jc w:val="both"/>
              <w:rPr>
                <w:rFonts w:asciiTheme="majorHAnsi" w:hAnsiTheme="majorHAnsi" w:cstheme="majorHAnsi"/>
                <w:sz w:val="24"/>
                <w:szCs w:val="24"/>
              </w:rPr>
            </w:pPr>
          </w:p>
        </w:tc>
        <w:tc>
          <w:tcPr>
            <w:tcW w:w="4075" w:type="dxa"/>
          </w:tcPr>
          <w:p w14:paraId="686C09D1" w14:textId="77777777" w:rsidR="00EB19CA" w:rsidRPr="00D462F0" w:rsidRDefault="00EB19CA" w:rsidP="00D462F0">
            <w:pPr>
              <w:jc w:val="both"/>
              <w:rPr>
                <w:rFonts w:asciiTheme="majorHAnsi" w:hAnsiTheme="majorHAnsi" w:cstheme="majorHAnsi"/>
                <w:bCs/>
                <w:sz w:val="24"/>
                <w:szCs w:val="24"/>
              </w:rPr>
            </w:pPr>
          </w:p>
        </w:tc>
      </w:tr>
      <w:tr w:rsidR="00EB19CA" w:rsidRPr="00C93770" w14:paraId="6CA8F304" w14:textId="77777777" w:rsidTr="1756A420">
        <w:tc>
          <w:tcPr>
            <w:tcW w:w="4074" w:type="dxa"/>
          </w:tcPr>
          <w:p w14:paraId="042334CF" w14:textId="54AE7FC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55ADA883" w14:textId="4569F20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IX – a possibilidade de a classe de cotas investir em cotas de outras classes e se existe limitação quanto ao número máximo de níveis na cadeia de investimento.</w:t>
            </w:r>
          </w:p>
        </w:tc>
        <w:tc>
          <w:tcPr>
            <w:tcW w:w="4074" w:type="dxa"/>
          </w:tcPr>
          <w:p w14:paraId="1B034307"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Inserção de dispositivo normativo para que a EFPC avalie a possibilidade da cota de classes que está adquirindo poder investir em outras classes de cotas. Trata-se de indução regulatória </w:t>
            </w:r>
            <w:r w:rsidRPr="00D462F0">
              <w:rPr>
                <w:rFonts w:asciiTheme="majorHAnsi" w:hAnsiTheme="majorHAnsi" w:cstheme="majorHAnsi"/>
                <w:sz w:val="24"/>
                <w:szCs w:val="24"/>
              </w:rPr>
              <w:lastRenderedPageBreak/>
              <w:t>no sentido de que as EFPC passem a avaliar estes aspectos em suas contratações, considerando o potencial impacto de rentabilidade e dificuldades de controle de estruturas de fundos de investimento com muitos níveis de aplicação.</w:t>
            </w:r>
          </w:p>
          <w:p w14:paraId="674A0A67" w14:textId="35CD2B4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Segue a orientação da IOSCO, cujo relatório de Boas Práticas (2023) recomenda que reguladores avaliem “natureza, novidade e complexidade” na estruturação de produtos e desestimulem configurações excessivamente complexas </w:t>
            </w:r>
          </w:p>
          <w:p w14:paraId="7FEE92ED"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IOSCO.</w:t>
            </w:r>
          </w:p>
          <w:p w14:paraId="28C10F4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Preserva flexibilidade regulatória – não impõe proibição; apenas exige que a EFPC reconheça os custos, riscos e dificuldade de governança de cadeias extensas e, quando optar por elas, o faça de forma consciente e justificada.</w:t>
            </w:r>
          </w:p>
          <w:p w14:paraId="02269617" w14:textId="17E0DE69"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Melhora transparência e governança sem ônus relevante: a análise já integra o processo de </w:t>
            </w:r>
            <w:proofErr w:type="spellStart"/>
            <w:r w:rsidRPr="00D462F0">
              <w:rPr>
                <w:rFonts w:asciiTheme="majorHAnsi" w:hAnsiTheme="majorHAnsi" w:cstheme="majorHAnsi"/>
                <w:sz w:val="24"/>
                <w:szCs w:val="24"/>
              </w:rPr>
              <w:t>due-diligence</w:t>
            </w:r>
            <w:proofErr w:type="spellEnd"/>
            <w:r w:rsidRPr="00D462F0">
              <w:rPr>
                <w:rFonts w:asciiTheme="majorHAnsi" w:hAnsiTheme="majorHAnsi" w:cstheme="majorHAnsi"/>
                <w:sz w:val="24"/>
                <w:szCs w:val="24"/>
              </w:rPr>
              <w:t xml:space="preserve"> previsto no art. 221, acrescentando apenas a verificação do “número de níveis”, informação facilmente obtida dos documentos do fundo.</w:t>
            </w:r>
          </w:p>
        </w:tc>
        <w:tc>
          <w:tcPr>
            <w:tcW w:w="4075" w:type="dxa"/>
          </w:tcPr>
          <w:p w14:paraId="624855D2"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lastRenderedPageBreak/>
              <w:t>Alínea “a” do Inciso V do art. 4º do Decreto nº 10.411, de 2020.</w:t>
            </w:r>
          </w:p>
          <w:p w14:paraId="1D58A46F" w14:textId="77777777" w:rsidR="00EB19CA" w:rsidRPr="00D462F0" w:rsidRDefault="00EB19CA" w:rsidP="00D462F0">
            <w:pPr>
              <w:jc w:val="both"/>
              <w:rPr>
                <w:rFonts w:asciiTheme="majorHAnsi" w:hAnsiTheme="majorHAnsi" w:cstheme="majorHAnsi"/>
                <w:bCs/>
                <w:sz w:val="24"/>
                <w:szCs w:val="24"/>
              </w:rPr>
            </w:pPr>
          </w:p>
        </w:tc>
      </w:tr>
      <w:tr w:rsidR="00EB19CA" w:rsidRPr="00C93770" w14:paraId="29DBC880" w14:textId="77777777" w:rsidTr="1756A420">
        <w:tc>
          <w:tcPr>
            <w:tcW w:w="4074" w:type="dxa"/>
          </w:tcPr>
          <w:p w14:paraId="6A36F13C" w14:textId="0C1137A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Parágrafo único.  Adicionalmente ao disposto neste artigo, a EFPC deve observar o disposto nos incisos I, II e VII do art. 220 na seleção de fundo de investimento não exclusivo.</w:t>
            </w:r>
          </w:p>
        </w:tc>
        <w:tc>
          <w:tcPr>
            <w:tcW w:w="4074" w:type="dxa"/>
          </w:tcPr>
          <w:p w14:paraId="58D17B6A" w14:textId="3E4D436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 1º  </w:t>
            </w:r>
            <w:r w:rsidRPr="00D462F0">
              <w:rPr>
                <w:rFonts w:asciiTheme="majorHAnsi" w:hAnsiTheme="majorHAnsi" w:cstheme="majorHAnsi"/>
                <w:bCs/>
                <w:sz w:val="24"/>
                <w:szCs w:val="24"/>
              </w:rPr>
              <w:t>Adicionalmente ao disposto neste artigo, a EFPC deve observar o disposto nos incisos I, II e VII do art. 220 na seleção de fundo de investimento não exclusivo.</w:t>
            </w:r>
          </w:p>
        </w:tc>
        <w:tc>
          <w:tcPr>
            <w:tcW w:w="4074" w:type="dxa"/>
          </w:tcPr>
          <w:p w14:paraId="77786B92" w14:textId="2534E03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Parágrafo único renumerado em função da inclusão do parágrafo 2º, abaixo. </w:t>
            </w:r>
          </w:p>
        </w:tc>
        <w:tc>
          <w:tcPr>
            <w:tcW w:w="4075" w:type="dxa"/>
          </w:tcPr>
          <w:p w14:paraId="61C3A69D" w14:textId="77777777" w:rsidR="00EB19CA" w:rsidRPr="00D462F0" w:rsidRDefault="00EB19CA" w:rsidP="00D462F0">
            <w:pPr>
              <w:jc w:val="both"/>
              <w:rPr>
                <w:rFonts w:asciiTheme="majorHAnsi" w:hAnsiTheme="majorHAnsi" w:cstheme="majorHAnsi"/>
                <w:bCs/>
                <w:sz w:val="24"/>
                <w:szCs w:val="24"/>
              </w:rPr>
            </w:pPr>
          </w:p>
        </w:tc>
      </w:tr>
      <w:tr w:rsidR="00EB19CA" w:rsidRPr="00C93770" w14:paraId="554D2646" w14:textId="77777777" w:rsidTr="1756A420">
        <w:tc>
          <w:tcPr>
            <w:tcW w:w="4074" w:type="dxa"/>
          </w:tcPr>
          <w:p w14:paraId="6FA7ACD1" w14:textId="310E38D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0E9DB15C" w14:textId="626B7B7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 2º  Na análise prevista no inciso I, a EFPC deve verificar se é permitida a realização de operações vedadas pela Resolução do Conselho Monetário Nacional que trata sobre aplicação dos </w:t>
            </w:r>
            <w:r w:rsidRPr="00D462F0">
              <w:rPr>
                <w:rFonts w:asciiTheme="majorHAnsi" w:hAnsiTheme="majorHAnsi" w:cstheme="majorHAnsi"/>
                <w:bCs/>
                <w:color w:val="0000FF"/>
                <w:sz w:val="24"/>
                <w:szCs w:val="24"/>
              </w:rPr>
              <w:lastRenderedPageBreak/>
              <w:t>recursos dos planos administrados pelas entidades fechadas de previdência complementar.</w:t>
            </w:r>
          </w:p>
        </w:tc>
        <w:tc>
          <w:tcPr>
            <w:tcW w:w="4074" w:type="dxa"/>
          </w:tcPr>
          <w:p w14:paraId="52A9CB65" w14:textId="0043CDC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Proposta de inserir dispositivo normativo para reforçar a necessidade de avaliação da possibilidade do fundo que será adquirido realizar operações </w:t>
            </w:r>
            <w:r w:rsidRPr="00D462F0">
              <w:rPr>
                <w:rFonts w:asciiTheme="majorHAnsi" w:hAnsiTheme="majorHAnsi" w:cstheme="majorHAnsi"/>
                <w:sz w:val="24"/>
                <w:szCs w:val="24"/>
              </w:rPr>
              <w:lastRenderedPageBreak/>
              <w:t xml:space="preserve">vedadas pela Resolução CMN nº 4.994, de 2022. </w:t>
            </w:r>
          </w:p>
        </w:tc>
        <w:tc>
          <w:tcPr>
            <w:tcW w:w="4075" w:type="dxa"/>
          </w:tcPr>
          <w:p w14:paraId="443A3504"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lastRenderedPageBreak/>
              <w:t>Alínea “a” do Inciso V do art. 4º do Decreto nº 10.411, de 2020.</w:t>
            </w:r>
          </w:p>
          <w:p w14:paraId="56ECCBA4" w14:textId="77777777" w:rsidR="00EB19CA" w:rsidRPr="00D462F0" w:rsidRDefault="00EB19CA" w:rsidP="00D462F0">
            <w:pPr>
              <w:jc w:val="both"/>
              <w:rPr>
                <w:rFonts w:asciiTheme="majorHAnsi" w:hAnsiTheme="majorHAnsi" w:cstheme="majorHAnsi"/>
                <w:bCs/>
                <w:sz w:val="24"/>
                <w:szCs w:val="24"/>
              </w:rPr>
            </w:pPr>
          </w:p>
        </w:tc>
      </w:tr>
      <w:tr w:rsidR="00EB19CA" w:rsidRPr="00C93770" w14:paraId="2D6539BD" w14:textId="77777777" w:rsidTr="1756A420">
        <w:tc>
          <w:tcPr>
            <w:tcW w:w="4074" w:type="dxa"/>
          </w:tcPr>
          <w:p w14:paraId="0810BF9D"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III</w:t>
            </w:r>
          </w:p>
          <w:p w14:paraId="0BC22127" w14:textId="05938DC8"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Fundo de Investimento em Participações</w:t>
            </w:r>
          </w:p>
        </w:tc>
        <w:tc>
          <w:tcPr>
            <w:tcW w:w="4074" w:type="dxa"/>
          </w:tcPr>
          <w:p w14:paraId="08B2D76C"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III</w:t>
            </w:r>
          </w:p>
          <w:p w14:paraId="317E80DA" w14:textId="4FFF12B0"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Fundo de Investimento em Participações</w:t>
            </w:r>
          </w:p>
        </w:tc>
        <w:tc>
          <w:tcPr>
            <w:tcW w:w="4074" w:type="dxa"/>
          </w:tcPr>
          <w:p w14:paraId="5D220110" w14:textId="77777777" w:rsidR="00EB19CA" w:rsidRPr="00D462F0" w:rsidRDefault="00EB19CA" w:rsidP="00D462F0">
            <w:pPr>
              <w:jc w:val="both"/>
              <w:rPr>
                <w:rFonts w:asciiTheme="majorHAnsi" w:hAnsiTheme="majorHAnsi" w:cstheme="majorHAnsi"/>
                <w:sz w:val="24"/>
                <w:szCs w:val="24"/>
              </w:rPr>
            </w:pPr>
          </w:p>
        </w:tc>
        <w:tc>
          <w:tcPr>
            <w:tcW w:w="4075" w:type="dxa"/>
          </w:tcPr>
          <w:p w14:paraId="7C8FA2CB" w14:textId="77777777" w:rsidR="00EB19CA" w:rsidRPr="00D462F0" w:rsidRDefault="00EB19CA" w:rsidP="00D462F0">
            <w:pPr>
              <w:jc w:val="both"/>
              <w:rPr>
                <w:rFonts w:asciiTheme="majorHAnsi" w:hAnsiTheme="majorHAnsi" w:cstheme="majorHAnsi"/>
                <w:bCs/>
                <w:sz w:val="24"/>
                <w:szCs w:val="24"/>
              </w:rPr>
            </w:pPr>
          </w:p>
        </w:tc>
      </w:tr>
      <w:tr w:rsidR="00EB19CA" w:rsidRPr="00C93770" w14:paraId="688C7117" w14:textId="77777777" w:rsidTr="1756A420">
        <w:tc>
          <w:tcPr>
            <w:tcW w:w="4074" w:type="dxa"/>
          </w:tcPr>
          <w:p w14:paraId="1F64C208" w14:textId="6A4F25F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222.  </w:t>
            </w:r>
            <w:r w:rsidR="00BC6F01" w:rsidRPr="00D462F0">
              <w:rPr>
                <w:rFonts w:asciiTheme="majorHAnsi" w:hAnsiTheme="majorHAnsi" w:cstheme="majorHAnsi"/>
                <w:sz w:val="24"/>
                <w:szCs w:val="24"/>
              </w:rPr>
              <w:t>...</w:t>
            </w:r>
          </w:p>
        </w:tc>
        <w:tc>
          <w:tcPr>
            <w:tcW w:w="4074" w:type="dxa"/>
          </w:tcPr>
          <w:p w14:paraId="7774737C" w14:textId="4682624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222.  ...</w:t>
            </w:r>
          </w:p>
        </w:tc>
        <w:tc>
          <w:tcPr>
            <w:tcW w:w="4074" w:type="dxa"/>
          </w:tcPr>
          <w:p w14:paraId="497F604C" w14:textId="2A0D1C58" w:rsidR="00EB19CA" w:rsidRPr="00D462F0" w:rsidRDefault="00BC6F0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369E0E04" w14:textId="77777777" w:rsidR="00EB19CA" w:rsidRPr="00D462F0" w:rsidRDefault="00EB19CA" w:rsidP="00D462F0">
            <w:pPr>
              <w:jc w:val="both"/>
              <w:rPr>
                <w:rFonts w:asciiTheme="majorHAnsi" w:hAnsiTheme="majorHAnsi" w:cstheme="majorHAnsi"/>
                <w:bCs/>
                <w:sz w:val="24"/>
                <w:szCs w:val="24"/>
              </w:rPr>
            </w:pPr>
          </w:p>
        </w:tc>
      </w:tr>
      <w:tr w:rsidR="009800BF" w:rsidRPr="00C93770" w14:paraId="7147748D" w14:textId="77777777" w:rsidTr="1756A420">
        <w:tc>
          <w:tcPr>
            <w:tcW w:w="4074" w:type="dxa"/>
          </w:tcPr>
          <w:p w14:paraId="216065F8" w14:textId="647220B2"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0A3495D8" w14:textId="0E900A88" w:rsidR="009800BF" w:rsidRPr="00D462F0" w:rsidRDefault="009800BF"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1E65332C" w14:textId="77777777" w:rsidR="009800BF" w:rsidRPr="00D462F0" w:rsidRDefault="009800BF" w:rsidP="00D462F0">
            <w:pPr>
              <w:jc w:val="both"/>
              <w:rPr>
                <w:rFonts w:asciiTheme="majorHAnsi" w:hAnsiTheme="majorHAnsi" w:cstheme="majorHAnsi"/>
                <w:sz w:val="24"/>
                <w:szCs w:val="24"/>
              </w:rPr>
            </w:pPr>
          </w:p>
        </w:tc>
        <w:tc>
          <w:tcPr>
            <w:tcW w:w="4075" w:type="dxa"/>
          </w:tcPr>
          <w:p w14:paraId="2B68DF33" w14:textId="77777777" w:rsidR="009800BF" w:rsidRPr="00D462F0" w:rsidRDefault="009800BF" w:rsidP="00D462F0">
            <w:pPr>
              <w:jc w:val="both"/>
              <w:rPr>
                <w:rFonts w:asciiTheme="majorHAnsi" w:hAnsiTheme="majorHAnsi" w:cstheme="majorHAnsi"/>
                <w:bCs/>
                <w:sz w:val="24"/>
                <w:szCs w:val="24"/>
              </w:rPr>
            </w:pPr>
          </w:p>
        </w:tc>
      </w:tr>
      <w:tr w:rsidR="00EB19CA" w:rsidRPr="00C93770" w14:paraId="3BCD6C4F" w14:textId="77777777" w:rsidTr="1756A420">
        <w:tc>
          <w:tcPr>
            <w:tcW w:w="4074" w:type="dxa"/>
          </w:tcPr>
          <w:p w14:paraId="6EDB5DB0" w14:textId="5CD818E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VII - os riscos envolvidos na participação da EFPC em comitê de investimento do fundo de investimento em participações;</w:t>
            </w:r>
          </w:p>
        </w:tc>
        <w:tc>
          <w:tcPr>
            <w:tcW w:w="4074" w:type="dxa"/>
          </w:tcPr>
          <w:p w14:paraId="70A61D13" w14:textId="0D27A70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EE0000"/>
                <w:sz w:val="24"/>
                <w:szCs w:val="24"/>
              </w:rPr>
              <w:t>Revogar</w:t>
            </w:r>
          </w:p>
        </w:tc>
        <w:tc>
          <w:tcPr>
            <w:tcW w:w="4074" w:type="dxa"/>
          </w:tcPr>
          <w:p w14:paraId="064BAC4E" w14:textId="2F27176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Revogar o inciso VII porque segundo entendimento do Voto do Conselheiro do CMN na aprovação da Resolução CMN nº 5.202, de 2025, a participação da EFPC em comitê de investimentos em FIP está vedada, por conseguinte lógico:</w:t>
            </w:r>
          </w:p>
          <w:p w14:paraId="201DDA4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 Resolução CMN nº 5.202, de 2025, reforçou o conceito de FIP entidade de investimento contido na Resolução CMN nº 4.994, de 2022. Pois bem, a Resolução CMN nº 5.111, de 2023, regula que um FIP não será classificado como entidade de investimento se possuir cotista majoritários participem de comitê, veja:</w:t>
            </w:r>
          </w:p>
          <w:p w14:paraId="344B49CE"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Resolução CMN nº 5.111, de 2023:</w:t>
            </w:r>
          </w:p>
          <w:p w14:paraId="475B3B47"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2º ......</w:t>
            </w:r>
          </w:p>
          <w:p w14:paraId="11FDEBA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w:t>
            </w:r>
          </w:p>
          <w:p w14:paraId="55467634"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2º  Não são classificados como entidades de investimento, em caráter exemplificativo, os fundos de investimento no país que:</w:t>
            </w:r>
          </w:p>
          <w:p w14:paraId="0B31917E"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 - possuam comitê de investimento ou outro órgão de governança deliberativo no qual cotistas majoritários pessoas físicas ou as pessoas por eles indicadas tomem decisões e enviem ordens ao gestor quanto à composição da carteira do fundo;</w:t>
            </w:r>
          </w:p>
          <w:p w14:paraId="1BAFC3D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 </w:t>
            </w:r>
          </w:p>
          <w:p w14:paraId="2FB650B9" w14:textId="6B1B91A8" w:rsidR="00EB19CA" w:rsidRPr="00D462F0" w:rsidRDefault="00EB19CA" w:rsidP="00D462F0">
            <w:pPr>
              <w:jc w:val="both"/>
              <w:rPr>
                <w:rFonts w:asciiTheme="majorHAnsi" w:hAnsiTheme="majorHAnsi" w:cstheme="majorHAnsi"/>
                <w:sz w:val="24"/>
                <w:szCs w:val="24"/>
              </w:rPr>
            </w:pPr>
          </w:p>
        </w:tc>
        <w:tc>
          <w:tcPr>
            <w:tcW w:w="4075" w:type="dxa"/>
          </w:tcPr>
          <w:p w14:paraId="00439590" w14:textId="4A219932"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lastRenderedPageBreak/>
              <w:t>Inciso II do art. 4º - Revogação de dispositivo e inserção de parágrafo decorrente de entendimento normativo observado na Resolução CMN nº 5.111, de 2023, combinado com o disposto na Res. CMN nº 4.994, de 2022, alterada pela Res. CMN nº 5.202, de 2025.</w:t>
            </w:r>
          </w:p>
        </w:tc>
      </w:tr>
      <w:tr w:rsidR="00EB19CA" w:rsidRPr="00C93770" w14:paraId="5AC8BFB2" w14:textId="77777777" w:rsidTr="1756A420">
        <w:tc>
          <w:tcPr>
            <w:tcW w:w="4074" w:type="dxa"/>
          </w:tcPr>
          <w:p w14:paraId="52C0F8FA" w14:textId="117CDF82" w:rsidR="00EB19CA" w:rsidRPr="00D462F0" w:rsidRDefault="00BC6F01"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01C74B9" w14:textId="3E948E7E"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EB6B83E" w14:textId="77777777" w:rsidR="00EB19CA" w:rsidRPr="00D462F0" w:rsidRDefault="00EB19CA" w:rsidP="00D462F0">
            <w:pPr>
              <w:jc w:val="both"/>
              <w:rPr>
                <w:rFonts w:asciiTheme="majorHAnsi" w:hAnsiTheme="majorHAnsi" w:cstheme="majorHAnsi"/>
                <w:sz w:val="24"/>
                <w:szCs w:val="24"/>
              </w:rPr>
            </w:pPr>
          </w:p>
        </w:tc>
        <w:tc>
          <w:tcPr>
            <w:tcW w:w="4075" w:type="dxa"/>
          </w:tcPr>
          <w:p w14:paraId="72C716F6" w14:textId="77777777" w:rsidR="00EB19CA" w:rsidRPr="00D462F0" w:rsidRDefault="00EB19CA" w:rsidP="00D462F0">
            <w:pPr>
              <w:jc w:val="both"/>
              <w:rPr>
                <w:rFonts w:asciiTheme="majorHAnsi" w:hAnsiTheme="majorHAnsi" w:cstheme="majorHAnsi"/>
                <w:bCs/>
                <w:sz w:val="24"/>
                <w:szCs w:val="24"/>
              </w:rPr>
            </w:pPr>
          </w:p>
        </w:tc>
      </w:tr>
      <w:tr w:rsidR="00EB19CA" w:rsidRPr="00C93770" w14:paraId="0BD21158" w14:textId="77777777" w:rsidTr="1756A420">
        <w:tc>
          <w:tcPr>
            <w:tcW w:w="4074" w:type="dxa"/>
          </w:tcPr>
          <w:p w14:paraId="626EF1E5" w14:textId="22FECCB2"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§1º  O fundo de investimento em participações deve prever em seu regulamento a determinação de que o gestor do fundo de investimento, ou gestoras ligadas ao seu respectivo grupo econômico, mantenha, no mínimo, 3% (três por cento) do capital subscrito do fundo sob sua gestão, considerando as subscrições efetuadas por todos os cotistas do fundo de investimento em participações.</w:t>
            </w:r>
          </w:p>
        </w:tc>
        <w:tc>
          <w:tcPr>
            <w:tcW w:w="4074" w:type="dxa"/>
          </w:tcPr>
          <w:p w14:paraId="5542BD0D" w14:textId="23FF9AF0"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§1º  O fundo de investimento em participações deve prever em seu regulamento a determinação de que o gestor do fundo de investimento, ou gestoras ligadas ao seu respectivo grupo econômico, mantenha, no mínimo, 3% (três por cento) do capital subscrito da </w:t>
            </w:r>
            <w:r w:rsidRPr="00D462F0">
              <w:rPr>
                <w:rFonts w:asciiTheme="majorHAnsi" w:hAnsiTheme="majorHAnsi" w:cstheme="majorHAnsi"/>
                <w:bCs/>
                <w:color w:val="0000FF"/>
                <w:sz w:val="24"/>
                <w:szCs w:val="24"/>
              </w:rPr>
              <w:t xml:space="preserve">classe ou da subclasse </w:t>
            </w:r>
            <w:r w:rsidRPr="00D462F0">
              <w:rPr>
                <w:rFonts w:asciiTheme="majorHAnsi" w:hAnsiTheme="majorHAnsi" w:cstheme="majorHAnsi"/>
                <w:bCs/>
                <w:sz w:val="24"/>
                <w:szCs w:val="24"/>
              </w:rPr>
              <w:t>do fundo sob sua gestão, considerando as subscrições efetuadas por todos os cotistas do fundo.</w:t>
            </w:r>
            <w:r w:rsidRPr="00D462F0">
              <w:rPr>
                <w:rFonts w:asciiTheme="majorHAnsi" w:hAnsiTheme="majorHAnsi" w:cstheme="majorHAnsi"/>
                <w:bCs/>
                <w:strike/>
                <w:color w:val="EE0000"/>
                <w:sz w:val="24"/>
                <w:szCs w:val="24"/>
              </w:rPr>
              <w:t xml:space="preserve"> de investimento em participações.</w:t>
            </w:r>
          </w:p>
        </w:tc>
        <w:tc>
          <w:tcPr>
            <w:tcW w:w="4074" w:type="dxa"/>
          </w:tcPr>
          <w:p w14:paraId="1FE7AD9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Aprimoramento redacional com utilização da sigla e atualização da disposição normativa, tendo em vista a alteração de redação promovida pela Resolução CMN nº 5.202, de 2025, no inciso I do §2º do Art. 23 da Resolução CMN nº 4.994, de 2022.</w:t>
            </w:r>
          </w:p>
          <w:p w14:paraId="7C5B73E9" w14:textId="77777777" w:rsidR="00EB19CA" w:rsidRPr="00D462F0" w:rsidRDefault="00EB19CA" w:rsidP="00D462F0">
            <w:pPr>
              <w:jc w:val="both"/>
              <w:rPr>
                <w:rFonts w:asciiTheme="majorHAnsi" w:hAnsiTheme="majorHAnsi" w:cstheme="majorHAnsi"/>
                <w:sz w:val="24"/>
                <w:szCs w:val="24"/>
              </w:rPr>
            </w:pPr>
          </w:p>
        </w:tc>
        <w:tc>
          <w:tcPr>
            <w:tcW w:w="4075" w:type="dxa"/>
          </w:tcPr>
          <w:p w14:paraId="15FB9A34"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5B7AA9D4" w14:textId="77777777" w:rsidR="00EB19CA" w:rsidRPr="00D462F0" w:rsidRDefault="00EB19CA" w:rsidP="00D462F0">
            <w:pPr>
              <w:jc w:val="both"/>
              <w:rPr>
                <w:rFonts w:asciiTheme="majorHAnsi" w:hAnsiTheme="majorHAnsi" w:cstheme="majorHAnsi"/>
                <w:bCs/>
                <w:sz w:val="24"/>
                <w:szCs w:val="24"/>
              </w:rPr>
            </w:pPr>
          </w:p>
        </w:tc>
      </w:tr>
      <w:tr w:rsidR="00EB19CA" w:rsidRPr="00C93770" w14:paraId="2B5F65E9" w14:textId="77777777" w:rsidTr="1756A420">
        <w:tc>
          <w:tcPr>
            <w:tcW w:w="4074" w:type="dxa"/>
          </w:tcPr>
          <w:p w14:paraId="14F022F4" w14:textId="70C276C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§2º  Para fins de composição do percentual do capital subscrito a que se refere o §1º, podem ser considerados os aportes efetuados por:</w:t>
            </w:r>
          </w:p>
        </w:tc>
        <w:tc>
          <w:tcPr>
            <w:tcW w:w="4074" w:type="dxa"/>
          </w:tcPr>
          <w:p w14:paraId="5B79B724" w14:textId="6D5F804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§2º  ...</w:t>
            </w:r>
          </w:p>
        </w:tc>
        <w:tc>
          <w:tcPr>
            <w:tcW w:w="4074" w:type="dxa"/>
          </w:tcPr>
          <w:p w14:paraId="6773CB60" w14:textId="66F6A7A6" w:rsidR="00EB19CA" w:rsidRPr="00D462F0" w:rsidRDefault="00BC6F0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604DFFE9" w14:textId="77777777" w:rsidR="00EB19CA" w:rsidRPr="00D462F0" w:rsidRDefault="00EB19CA" w:rsidP="00D462F0">
            <w:pPr>
              <w:jc w:val="both"/>
              <w:rPr>
                <w:rFonts w:asciiTheme="majorHAnsi" w:hAnsiTheme="majorHAnsi" w:cstheme="majorHAnsi"/>
                <w:bCs/>
                <w:sz w:val="24"/>
                <w:szCs w:val="24"/>
              </w:rPr>
            </w:pPr>
          </w:p>
        </w:tc>
      </w:tr>
      <w:tr w:rsidR="009800BF" w:rsidRPr="00C93770" w14:paraId="7866E1DF" w14:textId="77777777" w:rsidTr="1756A420">
        <w:tc>
          <w:tcPr>
            <w:tcW w:w="4074" w:type="dxa"/>
          </w:tcPr>
          <w:p w14:paraId="4752554A" w14:textId="607793CF"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3C9ECDE7" w14:textId="4F45A8F8" w:rsidR="009800BF" w:rsidRPr="00D462F0" w:rsidRDefault="009800BF"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334DDE7A" w14:textId="77777777" w:rsidR="009800BF" w:rsidRPr="00D462F0" w:rsidRDefault="009800BF" w:rsidP="00D462F0">
            <w:pPr>
              <w:jc w:val="both"/>
              <w:rPr>
                <w:rFonts w:asciiTheme="majorHAnsi" w:hAnsiTheme="majorHAnsi" w:cstheme="majorHAnsi"/>
                <w:sz w:val="24"/>
                <w:szCs w:val="24"/>
              </w:rPr>
            </w:pPr>
          </w:p>
        </w:tc>
        <w:tc>
          <w:tcPr>
            <w:tcW w:w="4075" w:type="dxa"/>
          </w:tcPr>
          <w:p w14:paraId="4D5CB3B4" w14:textId="77777777" w:rsidR="009800BF" w:rsidRPr="00D462F0" w:rsidRDefault="009800BF" w:rsidP="00D462F0">
            <w:pPr>
              <w:jc w:val="both"/>
              <w:rPr>
                <w:rFonts w:asciiTheme="majorHAnsi" w:hAnsiTheme="majorHAnsi" w:cstheme="majorHAnsi"/>
                <w:bCs/>
                <w:sz w:val="24"/>
                <w:szCs w:val="24"/>
              </w:rPr>
            </w:pPr>
          </w:p>
        </w:tc>
      </w:tr>
      <w:tr w:rsidR="00EB19CA" w:rsidRPr="00C93770" w14:paraId="769255C3" w14:textId="77777777" w:rsidTr="1756A420">
        <w:tc>
          <w:tcPr>
            <w:tcW w:w="4074" w:type="dxa"/>
          </w:tcPr>
          <w:p w14:paraId="05D57470" w14:textId="10B1BD0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II - fundo de investimento constituído no Brasil que seja restrito ao gestor referido no inciso I ou, desde que seja pessoa natural domiciliada no Brasil, a sócio, diretor ou membros da equipe-chave, responsáveis pela gestão do fundo de investimento em participações, vinculados ao referido gestor da carteira do fundo de investimento em participações; ou</w:t>
            </w:r>
          </w:p>
        </w:tc>
        <w:tc>
          <w:tcPr>
            <w:tcW w:w="4074" w:type="dxa"/>
          </w:tcPr>
          <w:p w14:paraId="68E0A987" w14:textId="0DADA6F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II – </w:t>
            </w:r>
            <w:r w:rsidRPr="00D462F0">
              <w:rPr>
                <w:rFonts w:asciiTheme="majorHAnsi" w:hAnsiTheme="majorHAnsi" w:cstheme="majorHAnsi"/>
                <w:bCs/>
                <w:color w:val="0000FF"/>
                <w:sz w:val="24"/>
                <w:szCs w:val="24"/>
              </w:rPr>
              <w:t xml:space="preserve">classe de cota de </w:t>
            </w:r>
            <w:r w:rsidRPr="00D462F0">
              <w:rPr>
                <w:rFonts w:asciiTheme="majorHAnsi" w:hAnsiTheme="majorHAnsi" w:cstheme="majorHAnsi"/>
                <w:bCs/>
                <w:sz w:val="24"/>
                <w:szCs w:val="24"/>
              </w:rPr>
              <w:t>fundo de investimento constituído no Brasil que seja restrita ao gestor referido no inciso I ou, desde que seja pessoa natural domiciliada no Brasil, a sócio, diretor ou membros da equipe-chave, responsáveis pela gestão do fundo de investimento em participações, vinculados ao referido gestor da carteira do fundo de investimento em participações; ou</w:t>
            </w:r>
          </w:p>
        </w:tc>
        <w:tc>
          <w:tcPr>
            <w:tcW w:w="4074" w:type="dxa"/>
          </w:tcPr>
          <w:p w14:paraId="0DD48CC4" w14:textId="59EBEB89"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Aprimoramento redacional com utilização da sigla e adaptação do texto, considerando que a característica de exclusividade recai sobre a cota de classe e não sobre o fundo, a partir das alterações da Resolução CVM nº 175, de 2022. Assim, a alteração proposta busca manter inalterada a essência da regra anterior.</w:t>
            </w:r>
          </w:p>
        </w:tc>
        <w:tc>
          <w:tcPr>
            <w:tcW w:w="4075" w:type="dxa"/>
          </w:tcPr>
          <w:p w14:paraId="4AB7C661"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 xml:space="preserve">Alínea “a” do </w:t>
            </w:r>
            <w:r w:rsidRPr="00D462F0">
              <w:rPr>
                <w:rFonts w:asciiTheme="majorHAnsi" w:eastAsia="Times New Roman" w:hAnsiTheme="majorHAnsi" w:cstheme="majorHAnsi"/>
                <w:bCs/>
                <w:sz w:val="24"/>
                <w:szCs w:val="24"/>
              </w:rPr>
              <w:t xml:space="preserve">Inciso </w:t>
            </w:r>
            <w:r w:rsidRPr="00D462F0">
              <w:rPr>
                <w:rFonts w:asciiTheme="majorHAnsi" w:eastAsia="Calibri" w:hAnsiTheme="majorHAnsi" w:cstheme="majorHAnsi"/>
                <w:bCs/>
                <w:sz w:val="24"/>
                <w:szCs w:val="24"/>
              </w:rPr>
              <w:t>V</w:t>
            </w:r>
            <w:r w:rsidRPr="00D462F0">
              <w:rPr>
                <w:rFonts w:asciiTheme="majorHAnsi" w:eastAsia="Times New Roman"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p w14:paraId="2E29042F" w14:textId="77777777" w:rsidR="00EB19CA" w:rsidRPr="00D462F0" w:rsidRDefault="00EB19CA" w:rsidP="00D462F0">
            <w:pPr>
              <w:jc w:val="both"/>
              <w:rPr>
                <w:rFonts w:asciiTheme="majorHAnsi" w:hAnsiTheme="majorHAnsi" w:cstheme="majorHAnsi"/>
                <w:bCs/>
                <w:sz w:val="24"/>
                <w:szCs w:val="24"/>
              </w:rPr>
            </w:pPr>
          </w:p>
        </w:tc>
      </w:tr>
      <w:tr w:rsidR="00BC6F01" w:rsidRPr="00C93770" w14:paraId="54E902E8" w14:textId="77777777" w:rsidTr="1756A420">
        <w:tc>
          <w:tcPr>
            <w:tcW w:w="4074" w:type="dxa"/>
          </w:tcPr>
          <w:p w14:paraId="2FA93A7C" w14:textId="61585B2C" w:rsidR="00BC6F01" w:rsidRPr="0028717C" w:rsidRDefault="00BC6F01" w:rsidP="0028717C">
            <w:pPr>
              <w:jc w:val="center"/>
              <w:rPr>
                <w:rFonts w:asciiTheme="majorHAnsi" w:hAnsiTheme="majorHAnsi" w:cstheme="majorHAnsi"/>
                <w:sz w:val="24"/>
                <w:szCs w:val="24"/>
              </w:rPr>
            </w:pPr>
            <w:r w:rsidRPr="0028717C">
              <w:rPr>
                <w:rFonts w:asciiTheme="majorHAnsi" w:hAnsiTheme="majorHAnsi" w:cstheme="majorHAnsi"/>
                <w:sz w:val="24"/>
                <w:szCs w:val="24"/>
              </w:rPr>
              <w:t>...</w:t>
            </w:r>
          </w:p>
        </w:tc>
        <w:tc>
          <w:tcPr>
            <w:tcW w:w="4074" w:type="dxa"/>
          </w:tcPr>
          <w:p w14:paraId="0A356D42" w14:textId="6AEF5CDB" w:rsidR="00BC6F01" w:rsidRPr="0028717C" w:rsidRDefault="00BC6F01" w:rsidP="0028717C">
            <w:pPr>
              <w:jc w:val="center"/>
              <w:rPr>
                <w:rFonts w:asciiTheme="majorHAnsi" w:hAnsiTheme="majorHAnsi" w:cstheme="majorHAnsi"/>
                <w:bCs/>
                <w:sz w:val="24"/>
                <w:szCs w:val="24"/>
              </w:rPr>
            </w:pPr>
            <w:r w:rsidRPr="0028717C">
              <w:rPr>
                <w:rFonts w:asciiTheme="majorHAnsi" w:hAnsiTheme="majorHAnsi" w:cstheme="majorHAnsi"/>
                <w:bCs/>
                <w:sz w:val="24"/>
                <w:szCs w:val="24"/>
              </w:rPr>
              <w:t>...</w:t>
            </w:r>
          </w:p>
        </w:tc>
        <w:tc>
          <w:tcPr>
            <w:tcW w:w="4074" w:type="dxa"/>
          </w:tcPr>
          <w:p w14:paraId="3EAD3805" w14:textId="77777777" w:rsidR="00BC6F01" w:rsidRPr="00D462F0" w:rsidRDefault="00BC6F01" w:rsidP="00D462F0">
            <w:pPr>
              <w:jc w:val="both"/>
              <w:rPr>
                <w:rFonts w:asciiTheme="majorHAnsi" w:hAnsiTheme="majorHAnsi" w:cstheme="majorHAnsi"/>
                <w:sz w:val="24"/>
                <w:szCs w:val="24"/>
              </w:rPr>
            </w:pPr>
          </w:p>
        </w:tc>
        <w:tc>
          <w:tcPr>
            <w:tcW w:w="4075" w:type="dxa"/>
          </w:tcPr>
          <w:p w14:paraId="164AF6C1" w14:textId="77777777" w:rsidR="00BC6F01" w:rsidRPr="00D462F0" w:rsidRDefault="00BC6F01" w:rsidP="00D462F0">
            <w:pPr>
              <w:jc w:val="both"/>
              <w:rPr>
                <w:rFonts w:asciiTheme="majorHAnsi" w:eastAsia="Times New Roman" w:hAnsiTheme="majorHAnsi" w:cstheme="majorHAnsi"/>
                <w:bCs/>
                <w:sz w:val="24"/>
                <w:szCs w:val="24"/>
              </w:rPr>
            </w:pPr>
          </w:p>
        </w:tc>
      </w:tr>
      <w:tr w:rsidR="00EB19CA" w:rsidRPr="00C93770" w14:paraId="14692392" w14:textId="77777777" w:rsidTr="1756A420">
        <w:tc>
          <w:tcPr>
            <w:tcW w:w="4074" w:type="dxa"/>
          </w:tcPr>
          <w:p w14:paraId="66F1201C" w14:textId="5DB80EB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4B69BF31" w14:textId="24121E0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5º  É vedada a participação de representante da EFPC em comitê de investimentos de FIP.</w:t>
            </w:r>
          </w:p>
        </w:tc>
        <w:tc>
          <w:tcPr>
            <w:tcW w:w="4074" w:type="dxa"/>
          </w:tcPr>
          <w:p w14:paraId="14DFCCF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 justificativa para alteração pode ser encontrada no inciso VII do Art. 222.</w:t>
            </w:r>
          </w:p>
          <w:p w14:paraId="32D89FA8" w14:textId="77777777" w:rsidR="00EB19CA" w:rsidRPr="00D462F0" w:rsidRDefault="00EB19CA" w:rsidP="00D462F0">
            <w:pPr>
              <w:jc w:val="both"/>
              <w:rPr>
                <w:rFonts w:asciiTheme="majorHAnsi" w:hAnsiTheme="majorHAnsi" w:cstheme="majorHAnsi"/>
                <w:sz w:val="24"/>
                <w:szCs w:val="24"/>
              </w:rPr>
            </w:pPr>
          </w:p>
        </w:tc>
        <w:tc>
          <w:tcPr>
            <w:tcW w:w="4075" w:type="dxa"/>
          </w:tcPr>
          <w:p w14:paraId="3B71B63D" w14:textId="68C5FE42"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Inciso II do art. 4º do Decreto nº 10.411, de 2020 - Inserção de dispositivo para definir prazo máximo de atendimento do disposto em norma hierarquicamente superior.  </w:t>
            </w:r>
          </w:p>
        </w:tc>
      </w:tr>
      <w:tr w:rsidR="00EB19CA" w:rsidRPr="00C93770" w14:paraId="0B93468F" w14:textId="77777777" w:rsidTr="1756A420">
        <w:tc>
          <w:tcPr>
            <w:tcW w:w="4074" w:type="dxa"/>
          </w:tcPr>
          <w:p w14:paraId="2086509D" w14:textId="674BDC1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5BCF4FD4" w14:textId="66167E9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6º  As EFPC com representantes em comitês de investimento de FIP devem deixar os comitês até 30/06/2026.</w:t>
            </w:r>
          </w:p>
        </w:tc>
        <w:tc>
          <w:tcPr>
            <w:tcW w:w="4074" w:type="dxa"/>
          </w:tcPr>
          <w:p w14:paraId="3B366C15" w14:textId="47B5F539"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Considerando a impossibilidade de participação no comitê de investimentos de FIP, o dispositivo normativo busca facultar prazo para que as EFPC deixem de participar do comitê de investimento de FIPs no qual já investem.</w:t>
            </w:r>
          </w:p>
        </w:tc>
        <w:tc>
          <w:tcPr>
            <w:tcW w:w="4075" w:type="dxa"/>
          </w:tcPr>
          <w:p w14:paraId="31DD22F8" w14:textId="2A8D6360"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Inciso II do art. 4º do Decreto nº 10.411, de 2020 - Inserção de dispositivo para definir prazo máximo de atendimento do disposto em norma hierarquicamente superior.  </w:t>
            </w:r>
          </w:p>
        </w:tc>
      </w:tr>
      <w:tr w:rsidR="00EB19CA" w:rsidRPr="00C93770" w14:paraId="1895E476" w14:textId="77777777" w:rsidTr="1756A420">
        <w:tc>
          <w:tcPr>
            <w:tcW w:w="4074" w:type="dxa"/>
          </w:tcPr>
          <w:p w14:paraId="0D2A2149"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IV</w:t>
            </w:r>
          </w:p>
          <w:p w14:paraId="2C0693D9" w14:textId="244BA4F8"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Fundo de Investimento em Direitos Creditórios</w:t>
            </w:r>
          </w:p>
        </w:tc>
        <w:tc>
          <w:tcPr>
            <w:tcW w:w="4074" w:type="dxa"/>
          </w:tcPr>
          <w:p w14:paraId="05048175"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IV</w:t>
            </w:r>
          </w:p>
          <w:p w14:paraId="1362B2A4" w14:textId="18E7244C"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Fundo de Investimento em Direitos Creditórios</w:t>
            </w:r>
          </w:p>
        </w:tc>
        <w:tc>
          <w:tcPr>
            <w:tcW w:w="4074" w:type="dxa"/>
          </w:tcPr>
          <w:p w14:paraId="4C6C0A01" w14:textId="77777777" w:rsidR="00EB19CA" w:rsidRPr="00D462F0" w:rsidRDefault="00EB19CA" w:rsidP="00D462F0">
            <w:pPr>
              <w:jc w:val="both"/>
              <w:rPr>
                <w:rFonts w:asciiTheme="majorHAnsi" w:hAnsiTheme="majorHAnsi" w:cstheme="majorHAnsi"/>
                <w:sz w:val="24"/>
                <w:szCs w:val="24"/>
              </w:rPr>
            </w:pPr>
          </w:p>
        </w:tc>
        <w:tc>
          <w:tcPr>
            <w:tcW w:w="4075" w:type="dxa"/>
          </w:tcPr>
          <w:p w14:paraId="67C8ACB1" w14:textId="77777777" w:rsidR="00EB19CA" w:rsidRPr="00D462F0" w:rsidRDefault="00EB19CA" w:rsidP="00D462F0">
            <w:pPr>
              <w:jc w:val="both"/>
              <w:rPr>
                <w:rFonts w:asciiTheme="majorHAnsi" w:hAnsiTheme="majorHAnsi" w:cstheme="majorHAnsi"/>
                <w:bCs/>
                <w:sz w:val="24"/>
                <w:szCs w:val="24"/>
              </w:rPr>
            </w:pPr>
          </w:p>
        </w:tc>
      </w:tr>
      <w:tr w:rsidR="00EB19CA" w:rsidRPr="00C93770" w14:paraId="56923519" w14:textId="77777777" w:rsidTr="1756A420">
        <w:tc>
          <w:tcPr>
            <w:tcW w:w="4074" w:type="dxa"/>
          </w:tcPr>
          <w:p w14:paraId="496A3465" w14:textId="792EA4B3"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223.  Na seleção de fundo de investimento em direitos creditórios (FIDC), a EFPC deve, adicionalmente ao disposto no art. 221, analisar:</w:t>
            </w:r>
          </w:p>
        </w:tc>
        <w:tc>
          <w:tcPr>
            <w:tcW w:w="4074" w:type="dxa"/>
          </w:tcPr>
          <w:p w14:paraId="0A68E302" w14:textId="183C0550"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223.  ...</w:t>
            </w:r>
          </w:p>
        </w:tc>
        <w:tc>
          <w:tcPr>
            <w:tcW w:w="4074" w:type="dxa"/>
          </w:tcPr>
          <w:p w14:paraId="74D96ECF" w14:textId="4C376832" w:rsidR="00EB19CA" w:rsidRPr="00D462F0" w:rsidRDefault="00BC6F0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547CE60C" w14:textId="77777777" w:rsidR="00EB19CA" w:rsidRPr="00D462F0" w:rsidRDefault="00EB19CA" w:rsidP="00D462F0">
            <w:pPr>
              <w:jc w:val="both"/>
              <w:rPr>
                <w:rFonts w:asciiTheme="majorHAnsi" w:hAnsiTheme="majorHAnsi" w:cstheme="majorHAnsi"/>
                <w:bCs/>
                <w:sz w:val="24"/>
                <w:szCs w:val="24"/>
              </w:rPr>
            </w:pPr>
          </w:p>
        </w:tc>
      </w:tr>
      <w:tr w:rsidR="00EB19CA" w:rsidRPr="00C93770" w14:paraId="3380DF19" w14:textId="77777777" w:rsidTr="1756A420">
        <w:tc>
          <w:tcPr>
            <w:tcW w:w="4074" w:type="dxa"/>
          </w:tcPr>
          <w:p w14:paraId="420BD8A6" w14:textId="2B191F1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 - a estrutura da carteira, o cedente, o nível de subordinação, a inadimplência e a perda que a classificação de risco e a subordinação deveriam suportar comparando-se com a perda estimada, e a classificação de risco no Sistema de Informações de Crédito do Banco Central, quando disponível;</w:t>
            </w:r>
          </w:p>
        </w:tc>
        <w:tc>
          <w:tcPr>
            <w:tcW w:w="4074" w:type="dxa"/>
          </w:tcPr>
          <w:p w14:paraId="5B83269A" w14:textId="7DCBB95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 - a estrutura da carteira, o cedente, o nível de subordinação, a inadimplência e a perda que a classificação de risco e a subordinação deveriam suportar, </w:t>
            </w:r>
            <w:r w:rsidRPr="00D462F0">
              <w:rPr>
                <w:rFonts w:asciiTheme="majorHAnsi" w:hAnsiTheme="majorHAnsi" w:cstheme="majorHAnsi"/>
                <w:bCs/>
                <w:strike/>
                <w:color w:val="EE0000"/>
                <w:sz w:val="24"/>
                <w:szCs w:val="24"/>
              </w:rPr>
              <w:t>comparando-se</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comparada </w:t>
            </w:r>
            <w:r w:rsidRPr="00D462F0">
              <w:rPr>
                <w:rFonts w:asciiTheme="majorHAnsi" w:hAnsiTheme="majorHAnsi" w:cstheme="majorHAnsi"/>
                <w:bCs/>
                <w:sz w:val="24"/>
                <w:szCs w:val="24"/>
              </w:rPr>
              <w:t>com a perda estimada, e a classificação de risco no Sistema de Informações de Crédito do Banco Central, quando disponível;</w:t>
            </w:r>
          </w:p>
        </w:tc>
        <w:tc>
          <w:tcPr>
            <w:tcW w:w="4074" w:type="dxa"/>
          </w:tcPr>
          <w:p w14:paraId="516CDB07" w14:textId="0B91E04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dar maior clareza.</w:t>
            </w:r>
          </w:p>
        </w:tc>
        <w:tc>
          <w:tcPr>
            <w:tcW w:w="4075" w:type="dxa"/>
          </w:tcPr>
          <w:p w14:paraId="581B89C3" w14:textId="7654C027"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Inciso IV do art. 4º do Decreto 10.411, de 2020.</w:t>
            </w:r>
          </w:p>
        </w:tc>
      </w:tr>
      <w:tr w:rsidR="009800BF" w:rsidRPr="00C93770" w14:paraId="7E747ED7" w14:textId="77777777" w:rsidTr="1756A420">
        <w:tc>
          <w:tcPr>
            <w:tcW w:w="4074" w:type="dxa"/>
          </w:tcPr>
          <w:p w14:paraId="7991F85D" w14:textId="04B29D3F"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6FF1FCA9" w14:textId="35F057CB" w:rsidR="009800BF" w:rsidRPr="00D462F0" w:rsidRDefault="009800BF"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3176DE40" w14:textId="77777777" w:rsidR="009800BF" w:rsidRPr="00D462F0" w:rsidRDefault="009800BF" w:rsidP="00D462F0">
            <w:pPr>
              <w:jc w:val="both"/>
              <w:rPr>
                <w:rFonts w:asciiTheme="majorHAnsi" w:hAnsiTheme="majorHAnsi" w:cstheme="majorHAnsi"/>
                <w:sz w:val="24"/>
                <w:szCs w:val="24"/>
              </w:rPr>
            </w:pPr>
          </w:p>
        </w:tc>
        <w:tc>
          <w:tcPr>
            <w:tcW w:w="4075" w:type="dxa"/>
          </w:tcPr>
          <w:p w14:paraId="383904A8" w14:textId="77777777" w:rsidR="009800BF" w:rsidRPr="00D462F0" w:rsidRDefault="009800BF" w:rsidP="00D462F0">
            <w:pPr>
              <w:jc w:val="both"/>
              <w:rPr>
                <w:rFonts w:asciiTheme="majorHAnsi" w:eastAsia="Times New Roman" w:hAnsiTheme="majorHAnsi" w:cstheme="majorHAnsi"/>
                <w:bCs/>
                <w:sz w:val="24"/>
                <w:szCs w:val="24"/>
              </w:rPr>
            </w:pPr>
          </w:p>
        </w:tc>
      </w:tr>
      <w:tr w:rsidR="00EB19CA" w:rsidRPr="00C93770" w14:paraId="6FD748D3" w14:textId="77777777" w:rsidTr="1756A420">
        <w:tc>
          <w:tcPr>
            <w:tcW w:w="4074" w:type="dxa"/>
          </w:tcPr>
          <w:p w14:paraId="71FB9314" w14:textId="2C5C8E42" w:rsidR="00EB19CA" w:rsidRPr="00D462F0" w:rsidRDefault="00EB19CA" w:rsidP="00D462F0">
            <w:pPr>
              <w:jc w:val="both"/>
              <w:rPr>
                <w:rFonts w:asciiTheme="majorHAnsi" w:hAnsiTheme="majorHAnsi" w:cstheme="majorHAnsi"/>
                <w:b/>
                <w:bCs/>
                <w:sz w:val="24"/>
                <w:szCs w:val="24"/>
              </w:rPr>
            </w:pPr>
            <w:r w:rsidRPr="00D462F0">
              <w:rPr>
                <w:rFonts w:asciiTheme="majorHAnsi" w:hAnsiTheme="majorHAnsi" w:cstheme="majorHAnsi"/>
                <w:b/>
                <w:bCs/>
                <w:sz w:val="24"/>
                <w:szCs w:val="24"/>
              </w:rPr>
              <w:t>Sem referência anterior.</w:t>
            </w:r>
          </w:p>
        </w:tc>
        <w:tc>
          <w:tcPr>
            <w:tcW w:w="4074" w:type="dxa"/>
          </w:tcPr>
          <w:p w14:paraId="75CA37A4" w14:textId="560E6AAF" w:rsidR="00EB19CA" w:rsidRPr="00D462F0" w:rsidRDefault="00EB19CA" w:rsidP="004E06F1">
            <w:pPr>
              <w:jc w:val="center"/>
              <w:rPr>
                <w:rFonts w:asciiTheme="majorHAnsi" w:hAnsiTheme="majorHAnsi" w:cstheme="majorHAnsi"/>
                <w:b/>
                <w:bCs/>
                <w:color w:val="0000FF"/>
                <w:sz w:val="24"/>
                <w:szCs w:val="24"/>
              </w:rPr>
            </w:pPr>
            <w:r w:rsidRPr="00D462F0">
              <w:rPr>
                <w:rFonts w:asciiTheme="majorHAnsi" w:hAnsiTheme="majorHAnsi" w:cstheme="majorHAnsi"/>
                <w:b/>
                <w:bCs/>
                <w:color w:val="0000FF"/>
                <w:sz w:val="24"/>
                <w:szCs w:val="24"/>
              </w:rPr>
              <w:t>Subseção IV-A</w:t>
            </w:r>
          </w:p>
          <w:p w14:paraId="5B464DAA" w14:textId="69C57B39" w:rsidR="00EB19CA" w:rsidRPr="00D462F0" w:rsidRDefault="00EB19CA" w:rsidP="004E06F1">
            <w:pPr>
              <w:jc w:val="center"/>
              <w:rPr>
                <w:rFonts w:asciiTheme="majorHAnsi" w:hAnsiTheme="majorHAnsi" w:cstheme="majorHAnsi"/>
                <w:b/>
                <w:bCs/>
                <w:sz w:val="24"/>
                <w:szCs w:val="24"/>
              </w:rPr>
            </w:pPr>
            <w:r w:rsidRPr="00D462F0">
              <w:rPr>
                <w:rFonts w:asciiTheme="majorHAnsi" w:hAnsiTheme="majorHAnsi" w:cstheme="majorHAnsi"/>
                <w:b/>
                <w:bCs/>
                <w:color w:val="0000FF"/>
                <w:sz w:val="24"/>
                <w:szCs w:val="24"/>
              </w:rPr>
              <w:t>Seleção de Fundo de Investimento nas Cadeias Agroindustriais</w:t>
            </w:r>
          </w:p>
        </w:tc>
        <w:tc>
          <w:tcPr>
            <w:tcW w:w="4074" w:type="dxa"/>
          </w:tcPr>
          <w:p w14:paraId="331E6613" w14:textId="362F995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Subseção criada para abranger a regulamentação necessária para a aquisição de Fundo de Investimento nas Cadeias Agroindustriais –</w:t>
            </w:r>
            <w:r w:rsidR="00EF2AB4">
              <w:rPr>
                <w:rFonts w:asciiTheme="majorHAnsi" w:hAnsiTheme="majorHAnsi" w:cstheme="majorHAnsi"/>
                <w:sz w:val="24"/>
                <w:szCs w:val="24"/>
              </w:rPr>
              <w:t xml:space="preserve"> </w:t>
            </w:r>
            <w:proofErr w:type="spellStart"/>
            <w:r w:rsidR="00EF2AB4">
              <w:rPr>
                <w:rFonts w:asciiTheme="majorHAnsi" w:hAnsiTheme="majorHAnsi" w:cstheme="majorHAnsi"/>
                <w:sz w:val="24"/>
                <w:szCs w:val="24"/>
              </w:rPr>
              <w:t>Fiagro</w:t>
            </w:r>
            <w:proofErr w:type="spellEnd"/>
            <w:r w:rsidRPr="00D462F0">
              <w:rPr>
                <w:rFonts w:asciiTheme="majorHAnsi" w:hAnsiTheme="majorHAnsi" w:cstheme="majorHAnsi"/>
                <w:sz w:val="24"/>
                <w:szCs w:val="24"/>
              </w:rPr>
              <w:t>. De acordo com a técnica legislativa, como a Seção VI já existe na regulamentação atual, deve-se numerar a nova seção com o número anterior acrescido da letra do alfabeto.</w:t>
            </w:r>
          </w:p>
        </w:tc>
        <w:tc>
          <w:tcPr>
            <w:tcW w:w="4075" w:type="dxa"/>
          </w:tcPr>
          <w:p w14:paraId="3DCF1A2F"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303EAF49" w14:textId="021FA2C1"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 - Inserção de dispositivo para regulamentar ativo que passou ter menção expressa na Res. CMN 4.994, de 2022, após a alteração advinda com a Res. CMN nº 5.202, de 2025. A proposta replicou a lógica dos demais tipos de fundos existentes para FII, FIP e FIDC, considerando a complexidade e polivalência do fundo.</w:t>
            </w:r>
          </w:p>
        </w:tc>
      </w:tr>
      <w:tr w:rsidR="00EB19CA" w:rsidRPr="00C93770" w14:paraId="636156D0" w14:textId="77777777" w:rsidTr="1756A420">
        <w:tc>
          <w:tcPr>
            <w:tcW w:w="4074" w:type="dxa"/>
          </w:tcPr>
          <w:p w14:paraId="3111C788" w14:textId="38AD651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12207012" w14:textId="432BBEA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Art. 224-A. </w:t>
            </w:r>
            <w:r w:rsidR="00BC6F01"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 xml:space="preserve">Na seleção de Fundo de Investimento nas Cadeias Agroindustriais, a EFPC deve, </w:t>
            </w:r>
            <w:r w:rsidRPr="00D462F0">
              <w:rPr>
                <w:rFonts w:asciiTheme="majorHAnsi" w:hAnsiTheme="majorHAnsi" w:cstheme="majorHAnsi"/>
                <w:bCs/>
                <w:color w:val="0000FF"/>
                <w:sz w:val="24"/>
                <w:szCs w:val="24"/>
              </w:rPr>
              <w:lastRenderedPageBreak/>
              <w:t>adicionalmente ao disposto no art. 221, analisar:</w:t>
            </w:r>
          </w:p>
        </w:tc>
        <w:tc>
          <w:tcPr>
            <w:tcW w:w="4074" w:type="dxa"/>
          </w:tcPr>
          <w:p w14:paraId="26AD1747"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Sugestão de artigo para Fundo de Investimento nas Cadeias Agroindustriais semelhante aos demais </w:t>
            </w:r>
            <w:r w:rsidRPr="00D462F0">
              <w:rPr>
                <w:rFonts w:asciiTheme="majorHAnsi" w:hAnsiTheme="majorHAnsi" w:cstheme="majorHAnsi"/>
                <w:sz w:val="24"/>
                <w:szCs w:val="24"/>
              </w:rPr>
              <w:lastRenderedPageBreak/>
              <w:t>existentes para FII, FIP e FIDC, considerando a complexidade e polivalência do fundo.</w:t>
            </w:r>
          </w:p>
          <w:p w14:paraId="5962CF57" w14:textId="5B1B7BF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Estabelece os critérios específicos de análise que as EFPC devem observar na seleção de Fundo de Investimento nas Cadeias Agroindustriais, complementando as disposições gerais do art. 221, considerando as características particulares desses fundos voltados às cadeias produtivas agroindustriais, conforme Lei nº 14.130</w:t>
            </w:r>
            <w:r w:rsidR="00EF2AB4">
              <w:rPr>
                <w:rFonts w:asciiTheme="majorHAnsi" w:hAnsiTheme="majorHAnsi" w:cstheme="majorHAnsi"/>
                <w:sz w:val="24"/>
                <w:szCs w:val="24"/>
              </w:rPr>
              <w:t xml:space="preserve">, de </w:t>
            </w:r>
            <w:r w:rsidRPr="00D462F0">
              <w:rPr>
                <w:rFonts w:asciiTheme="majorHAnsi" w:hAnsiTheme="majorHAnsi" w:cstheme="majorHAnsi"/>
                <w:sz w:val="24"/>
                <w:szCs w:val="24"/>
              </w:rPr>
              <w:t>2021</w:t>
            </w:r>
            <w:r w:rsidR="00EF2AB4">
              <w:rPr>
                <w:rFonts w:asciiTheme="majorHAnsi" w:hAnsiTheme="majorHAnsi" w:cstheme="majorHAnsi"/>
                <w:sz w:val="24"/>
                <w:szCs w:val="24"/>
              </w:rPr>
              <w:t>.</w:t>
            </w:r>
          </w:p>
          <w:p w14:paraId="017816D8" w14:textId="77777777" w:rsidR="00EB19CA" w:rsidRPr="00D462F0" w:rsidRDefault="00EB19CA" w:rsidP="00D462F0">
            <w:pPr>
              <w:jc w:val="both"/>
              <w:rPr>
                <w:rFonts w:asciiTheme="majorHAnsi" w:hAnsiTheme="majorHAnsi" w:cstheme="majorHAnsi"/>
                <w:sz w:val="24"/>
                <w:szCs w:val="24"/>
              </w:rPr>
            </w:pPr>
          </w:p>
        </w:tc>
        <w:tc>
          <w:tcPr>
            <w:tcW w:w="4075" w:type="dxa"/>
          </w:tcPr>
          <w:p w14:paraId="3EB9208F"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lastRenderedPageBreak/>
              <w:t>Alínea “a” do Inciso V do art. 4º do Decreto nº 10.411, de 2020.</w:t>
            </w:r>
          </w:p>
          <w:p w14:paraId="771107B3" w14:textId="77777777" w:rsidR="00EB19CA" w:rsidRPr="00D462F0" w:rsidRDefault="00EB19CA" w:rsidP="00D462F0">
            <w:pPr>
              <w:jc w:val="both"/>
              <w:rPr>
                <w:rFonts w:asciiTheme="majorHAnsi" w:hAnsiTheme="majorHAnsi" w:cstheme="majorHAnsi"/>
                <w:bCs/>
                <w:sz w:val="24"/>
                <w:szCs w:val="24"/>
              </w:rPr>
            </w:pPr>
          </w:p>
        </w:tc>
      </w:tr>
      <w:tr w:rsidR="00EB19CA" w:rsidRPr="00C93770" w14:paraId="640334B6" w14:textId="77777777" w:rsidTr="1756A420">
        <w:tc>
          <w:tcPr>
            <w:tcW w:w="4074" w:type="dxa"/>
          </w:tcPr>
          <w:p w14:paraId="284C4773" w14:textId="5F22F3A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115DD11C" w14:textId="5AE92D9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I – as regras específicas de subscrição e integralização das cotas, incluindo prazos, chamadas de capital, classes de cotas e eventuais restrições a investidores, nos termos da Lei nº 14.130, de 2021, e da regulamentação da Comissão de Valores Mobiliários;</w:t>
            </w:r>
          </w:p>
        </w:tc>
        <w:tc>
          <w:tcPr>
            <w:tcW w:w="4074" w:type="dxa"/>
          </w:tcPr>
          <w:p w14:paraId="572BD9D7" w14:textId="3E880733"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Assegura que a EFPC compreenda adequadamente as regras específicas de captação e integralização dos Fundo de Investimento nas Cadeias Agroindustriais, incluindo eventuais chamadas de capital e diferentes classes de cotas, elementos essenciais para o planejamento de fluxo de caixa e compatibilidade com o passivo atuarial dos planos previdenciários.</w:t>
            </w:r>
          </w:p>
        </w:tc>
        <w:tc>
          <w:tcPr>
            <w:tcW w:w="4075" w:type="dxa"/>
          </w:tcPr>
          <w:p w14:paraId="03891296"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4850EF90" w14:textId="77777777" w:rsidR="00EB19CA" w:rsidRPr="00D462F0" w:rsidRDefault="00EB19CA" w:rsidP="00D462F0">
            <w:pPr>
              <w:jc w:val="both"/>
              <w:rPr>
                <w:rFonts w:asciiTheme="majorHAnsi" w:hAnsiTheme="majorHAnsi" w:cstheme="majorHAnsi"/>
                <w:bCs/>
                <w:sz w:val="24"/>
                <w:szCs w:val="24"/>
              </w:rPr>
            </w:pPr>
          </w:p>
        </w:tc>
      </w:tr>
      <w:tr w:rsidR="00EB19CA" w:rsidRPr="00C93770" w14:paraId="156A87A5" w14:textId="77777777" w:rsidTr="1756A420">
        <w:tc>
          <w:tcPr>
            <w:tcW w:w="4074" w:type="dxa"/>
          </w:tcPr>
          <w:p w14:paraId="6A0A1C4E" w14:textId="3C9ABCE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20ECD5A6" w14:textId="174E2E3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II – a política de distribuição de rendimentos e, quando aplicável, de amortização ordinária de cotas, explicitando periodicidade, critérios de retenção e prioridades de pagamento;</w:t>
            </w:r>
          </w:p>
        </w:tc>
        <w:tc>
          <w:tcPr>
            <w:tcW w:w="4074" w:type="dxa"/>
          </w:tcPr>
          <w:p w14:paraId="38CCF7B4" w14:textId="763A191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Permite à EFPC avaliar a regularidade e previsibilidade dos rendimentos do Fundo de Investimento nas Cadeias Agroindustriais, informação fundamental para o gerenciamento de liquidez e cumprimento dos compromissos previdenciários com os participantes e assistidos</w:t>
            </w:r>
            <w:r w:rsidR="00EF2AB4">
              <w:rPr>
                <w:rFonts w:asciiTheme="majorHAnsi" w:hAnsiTheme="majorHAnsi" w:cstheme="majorHAnsi"/>
                <w:sz w:val="24"/>
                <w:szCs w:val="24"/>
              </w:rPr>
              <w:t>.</w:t>
            </w:r>
          </w:p>
        </w:tc>
        <w:tc>
          <w:tcPr>
            <w:tcW w:w="4075" w:type="dxa"/>
          </w:tcPr>
          <w:p w14:paraId="000140D5"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2A478949" w14:textId="77777777" w:rsidR="00EB19CA" w:rsidRPr="00D462F0" w:rsidRDefault="00EB19CA" w:rsidP="00D462F0">
            <w:pPr>
              <w:jc w:val="both"/>
              <w:rPr>
                <w:rFonts w:asciiTheme="majorHAnsi" w:hAnsiTheme="majorHAnsi" w:cstheme="majorHAnsi"/>
                <w:bCs/>
                <w:sz w:val="24"/>
                <w:szCs w:val="24"/>
              </w:rPr>
            </w:pPr>
          </w:p>
        </w:tc>
      </w:tr>
      <w:tr w:rsidR="00EB19CA" w:rsidRPr="00C93770" w14:paraId="1DAD51D1" w14:textId="77777777" w:rsidTr="1756A420">
        <w:tc>
          <w:tcPr>
            <w:tcW w:w="4074" w:type="dxa"/>
          </w:tcPr>
          <w:p w14:paraId="32E27B6A" w14:textId="4B20CE8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35A56D5F" w14:textId="449FA56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III – a política de divulgação de informações, garantindo tempestividade e escopo mínimo de relatórios gerenciais, demonstrações financeiras, atas de assembleia e laudos de avaliação;</w:t>
            </w:r>
          </w:p>
        </w:tc>
        <w:tc>
          <w:tcPr>
            <w:tcW w:w="4074" w:type="dxa"/>
          </w:tcPr>
          <w:p w14:paraId="2661A384" w14:textId="3B9A178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Garante que a EFPC tenha acesso tempestivo às informações necessárias para o monitoramento contínuo do investimento, em linha com os deveres de transparência e prestação de contas </w:t>
            </w:r>
            <w:r w:rsidRPr="00D462F0">
              <w:rPr>
                <w:rFonts w:asciiTheme="majorHAnsi" w:hAnsiTheme="majorHAnsi" w:cstheme="majorHAnsi"/>
                <w:sz w:val="24"/>
                <w:szCs w:val="24"/>
              </w:rPr>
              <w:lastRenderedPageBreak/>
              <w:t>previstos na regulamentação da previdência complementar.</w:t>
            </w:r>
          </w:p>
        </w:tc>
        <w:tc>
          <w:tcPr>
            <w:tcW w:w="4075" w:type="dxa"/>
          </w:tcPr>
          <w:p w14:paraId="218529C0"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lastRenderedPageBreak/>
              <w:t>Alínea “a” do Inciso V do art. 4º do Decreto nº 10.411, de 2020.</w:t>
            </w:r>
          </w:p>
          <w:p w14:paraId="0ACAB5CE" w14:textId="77777777" w:rsidR="00EB19CA" w:rsidRPr="00D462F0" w:rsidRDefault="00EB19CA" w:rsidP="00D462F0">
            <w:pPr>
              <w:jc w:val="both"/>
              <w:rPr>
                <w:rFonts w:asciiTheme="majorHAnsi" w:hAnsiTheme="majorHAnsi" w:cstheme="majorHAnsi"/>
                <w:bCs/>
                <w:sz w:val="24"/>
                <w:szCs w:val="24"/>
              </w:rPr>
            </w:pPr>
          </w:p>
        </w:tc>
      </w:tr>
      <w:tr w:rsidR="00EB19CA" w:rsidRPr="00C93770" w14:paraId="68639C03" w14:textId="77777777" w:rsidTr="1756A420">
        <w:tc>
          <w:tcPr>
            <w:tcW w:w="4074" w:type="dxa"/>
          </w:tcPr>
          <w:p w14:paraId="1D287853" w14:textId="0C9F7BD3"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349CC0E0" w14:textId="3FD9156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IV – a participação financeira do gestor, administrador e demais partes relacionadas no Fundo de Investimento nas Cadeias Agroindustriais, a fim de aferir o alinhamento de interesses entre gestores e cotistas;</w:t>
            </w:r>
          </w:p>
        </w:tc>
        <w:tc>
          <w:tcPr>
            <w:tcW w:w="4074" w:type="dxa"/>
          </w:tcPr>
          <w:p w14:paraId="7CA0181B" w14:textId="2DE2AA5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Verifica o alinhamento de interesses entre gestores e cotistas, mitigando potenciais conflitos de agência e assegurando que a gestão do fundo seja conduzida com foco na maximização de valor para os investidores</w:t>
            </w:r>
            <w:r w:rsidR="00EF2AB4">
              <w:rPr>
                <w:rFonts w:asciiTheme="majorHAnsi" w:hAnsiTheme="majorHAnsi" w:cstheme="majorHAnsi"/>
                <w:sz w:val="24"/>
                <w:szCs w:val="24"/>
              </w:rPr>
              <w:t>.</w:t>
            </w:r>
          </w:p>
        </w:tc>
        <w:tc>
          <w:tcPr>
            <w:tcW w:w="4075" w:type="dxa"/>
          </w:tcPr>
          <w:p w14:paraId="0F7522D4"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24C9AFA2" w14:textId="77777777" w:rsidR="00EB19CA" w:rsidRPr="00D462F0" w:rsidRDefault="00EB19CA" w:rsidP="00D462F0">
            <w:pPr>
              <w:jc w:val="both"/>
              <w:rPr>
                <w:rFonts w:asciiTheme="majorHAnsi" w:hAnsiTheme="majorHAnsi" w:cstheme="majorHAnsi"/>
                <w:bCs/>
                <w:sz w:val="24"/>
                <w:szCs w:val="24"/>
              </w:rPr>
            </w:pPr>
          </w:p>
        </w:tc>
      </w:tr>
      <w:tr w:rsidR="00EB19CA" w:rsidRPr="00C93770" w14:paraId="6EB2B56E" w14:textId="77777777" w:rsidTr="1756A420">
        <w:tc>
          <w:tcPr>
            <w:tcW w:w="4074" w:type="dxa"/>
          </w:tcPr>
          <w:p w14:paraId="506507D7" w14:textId="1BC5E0E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4EEA9A65" w14:textId="1150E49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V – a duração do fundo, bem como os períodos de investimento e de desinvestimento previstos;</w:t>
            </w:r>
          </w:p>
        </w:tc>
        <w:tc>
          <w:tcPr>
            <w:tcW w:w="4074" w:type="dxa"/>
          </w:tcPr>
          <w:p w14:paraId="193205FC" w14:textId="6BAE34B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Permite à EFPC avaliar a compatibilidade do horizonte de investimento do Fundo de Investimento nas Cadeias Agroindustriais com o perfil de longo prazo dos planos de benefícios, considerando os períodos de carência e diferimento dos benefícios previdenciários</w:t>
            </w:r>
            <w:r w:rsidR="00EF2AB4">
              <w:rPr>
                <w:rFonts w:asciiTheme="majorHAnsi" w:hAnsiTheme="majorHAnsi" w:cstheme="majorHAnsi"/>
                <w:sz w:val="24"/>
                <w:szCs w:val="24"/>
              </w:rPr>
              <w:t>.</w:t>
            </w:r>
          </w:p>
        </w:tc>
        <w:tc>
          <w:tcPr>
            <w:tcW w:w="4075" w:type="dxa"/>
          </w:tcPr>
          <w:p w14:paraId="4C92EEFE"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2F1C609A" w14:textId="77777777" w:rsidR="00EB19CA" w:rsidRPr="00D462F0" w:rsidRDefault="00EB19CA" w:rsidP="00D462F0">
            <w:pPr>
              <w:jc w:val="both"/>
              <w:rPr>
                <w:rFonts w:asciiTheme="majorHAnsi" w:hAnsiTheme="majorHAnsi" w:cstheme="majorHAnsi"/>
                <w:bCs/>
                <w:sz w:val="24"/>
                <w:szCs w:val="24"/>
              </w:rPr>
            </w:pPr>
          </w:p>
        </w:tc>
      </w:tr>
      <w:tr w:rsidR="00EB19CA" w:rsidRPr="00C93770" w14:paraId="291B73B3" w14:textId="77777777" w:rsidTr="1756A420">
        <w:tc>
          <w:tcPr>
            <w:tcW w:w="4074" w:type="dxa"/>
          </w:tcPr>
          <w:p w14:paraId="58E733B9" w14:textId="3BE7606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38B8164D" w14:textId="4870BF1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VI – os critérios, metodologias e periodicidade de avaliação dos ativos a valor justo, realizados pelo gestor ou por avaliador independente, assegurando aderência às normas da Comissão de Valores Mobiliários;</w:t>
            </w:r>
          </w:p>
        </w:tc>
        <w:tc>
          <w:tcPr>
            <w:tcW w:w="4074" w:type="dxa"/>
          </w:tcPr>
          <w:p w14:paraId="093C5680" w14:textId="1528E0D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Assegura que a avaliação dos ativos do Fundo de Investimento nas Cadeias Agroindustriais seja realizada de forma adequada e em conformidade com as normas da CVM, permitindo precificação justa das cotas e transparência na valoração dos investimentos</w:t>
            </w:r>
            <w:r w:rsidR="00EF2AB4">
              <w:rPr>
                <w:rFonts w:asciiTheme="majorHAnsi" w:hAnsiTheme="majorHAnsi" w:cstheme="majorHAnsi"/>
                <w:sz w:val="24"/>
                <w:szCs w:val="24"/>
              </w:rPr>
              <w:t>.</w:t>
            </w:r>
          </w:p>
        </w:tc>
        <w:tc>
          <w:tcPr>
            <w:tcW w:w="4075" w:type="dxa"/>
          </w:tcPr>
          <w:p w14:paraId="6ACF2DC3" w14:textId="65E104FA"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tc>
      </w:tr>
      <w:tr w:rsidR="00EB19CA" w:rsidRPr="00C93770" w14:paraId="4C3B4D67" w14:textId="77777777" w:rsidTr="1756A420">
        <w:tc>
          <w:tcPr>
            <w:tcW w:w="4074" w:type="dxa"/>
          </w:tcPr>
          <w:p w14:paraId="03DA98A9" w14:textId="0488CED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741F4A8E" w14:textId="28601DA4" w:rsidR="00EB19CA" w:rsidRPr="00D462F0" w:rsidRDefault="00EA698E" w:rsidP="00D462F0">
            <w:pPr>
              <w:jc w:val="both"/>
              <w:rPr>
                <w:rFonts w:asciiTheme="majorHAnsi" w:hAnsiTheme="majorHAnsi" w:cstheme="majorHAnsi"/>
                <w:bCs/>
                <w:sz w:val="24"/>
                <w:szCs w:val="24"/>
              </w:rPr>
            </w:pPr>
            <w:r>
              <w:rPr>
                <w:rFonts w:asciiTheme="majorHAnsi" w:hAnsiTheme="majorHAnsi" w:cstheme="majorHAnsi"/>
                <w:bCs/>
                <w:color w:val="0000FF"/>
                <w:sz w:val="24"/>
                <w:szCs w:val="24"/>
              </w:rPr>
              <w:t>VII</w:t>
            </w:r>
            <w:r w:rsidR="00EB19CA" w:rsidRPr="00D462F0">
              <w:rPr>
                <w:rFonts w:asciiTheme="majorHAnsi" w:hAnsiTheme="majorHAnsi" w:cstheme="majorHAnsi"/>
                <w:bCs/>
                <w:color w:val="0000FF"/>
                <w:sz w:val="24"/>
                <w:szCs w:val="24"/>
              </w:rPr>
              <w:t xml:space="preserve"> – a política de contratação de consultores e terceiros para apoio na gestão do Fundo de Investimento nas Cadeias Agroindustriais ou de seus ativos-alvo; </w:t>
            </w:r>
          </w:p>
        </w:tc>
        <w:tc>
          <w:tcPr>
            <w:tcW w:w="4074" w:type="dxa"/>
          </w:tcPr>
          <w:p w14:paraId="6F7C2E82" w14:textId="5C457C7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Permite à EFPC compreender a estrutura de custos e a qualidade dos prestadores de serviços contratados pelo Fundo de Investimento nas Cadeias Agroindustriais, aspectos que impactam diretamente na rentabilidade líquida do investimento</w:t>
            </w:r>
            <w:r w:rsidR="00EF2AB4">
              <w:rPr>
                <w:rFonts w:asciiTheme="majorHAnsi" w:hAnsiTheme="majorHAnsi" w:cstheme="majorHAnsi"/>
                <w:sz w:val="24"/>
                <w:szCs w:val="24"/>
              </w:rPr>
              <w:t>.</w:t>
            </w:r>
          </w:p>
        </w:tc>
        <w:tc>
          <w:tcPr>
            <w:tcW w:w="4075" w:type="dxa"/>
          </w:tcPr>
          <w:p w14:paraId="0A111410" w14:textId="0A52B67B"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Alínea “a” do </w:t>
            </w:r>
            <w:r w:rsidRPr="00D462F0">
              <w:rPr>
                <w:rFonts w:asciiTheme="majorHAnsi" w:eastAsia="Times New Roman" w:hAnsiTheme="majorHAnsi" w:cstheme="majorHAnsi"/>
                <w:bCs/>
                <w:sz w:val="24"/>
                <w:szCs w:val="24"/>
              </w:rPr>
              <w:t xml:space="preserve">Inciso </w:t>
            </w:r>
            <w:r w:rsidRPr="00D462F0">
              <w:rPr>
                <w:rFonts w:asciiTheme="majorHAnsi" w:eastAsia="Calibri" w:hAnsiTheme="majorHAnsi" w:cstheme="majorHAnsi"/>
                <w:bCs/>
                <w:sz w:val="24"/>
                <w:szCs w:val="24"/>
              </w:rPr>
              <w:t>V</w:t>
            </w:r>
            <w:r w:rsidRPr="00D462F0">
              <w:rPr>
                <w:rFonts w:asciiTheme="majorHAnsi" w:eastAsia="Times New Roman"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tc>
      </w:tr>
      <w:tr w:rsidR="00EB19CA" w:rsidRPr="00C93770" w14:paraId="46704259" w14:textId="77777777" w:rsidTr="1756A420">
        <w:tc>
          <w:tcPr>
            <w:tcW w:w="4074" w:type="dxa"/>
          </w:tcPr>
          <w:p w14:paraId="1A154CF9" w14:textId="222F45D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3E36BD28" w14:textId="0A5DE437" w:rsidR="00EB19CA" w:rsidRPr="00D462F0" w:rsidRDefault="00EA698E" w:rsidP="00D462F0">
            <w:pPr>
              <w:jc w:val="both"/>
              <w:rPr>
                <w:rFonts w:asciiTheme="majorHAnsi" w:hAnsiTheme="majorHAnsi" w:cstheme="majorHAnsi"/>
                <w:bCs/>
                <w:sz w:val="24"/>
                <w:szCs w:val="24"/>
              </w:rPr>
            </w:pPr>
            <w:r>
              <w:rPr>
                <w:rFonts w:asciiTheme="majorHAnsi" w:hAnsiTheme="majorHAnsi" w:cstheme="majorHAnsi"/>
                <w:bCs/>
                <w:color w:val="0000FF"/>
                <w:sz w:val="24"/>
                <w:szCs w:val="24"/>
              </w:rPr>
              <w:t>VIII</w:t>
            </w:r>
            <w:r w:rsidRPr="00D462F0">
              <w:rPr>
                <w:rFonts w:asciiTheme="majorHAnsi" w:hAnsiTheme="majorHAnsi" w:cstheme="majorHAnsi"/>
                <w:bCs/>
                <w:color w:val="0000FF"/>
                <w:sz w:val="24"/>
                <w:szCs w:val="24"/>
              </w:rPr>
              <w:t xml:space="preserve"> </w:t>
            </w:r>
            <w:r w:rsidR="00EB19CA" w:rsidRPr="00D462F0">
              <w:rPr>
                <w:rFonts w:asciiTheme="majorHAnsi" w:hAnsiTheme="majorHAnsi" w:cstheme="majorHAnsi"/>
                <w:bCs/>
                <w:color w:val="0000FF"/>
                <w:sz w:val="24"/>
                <w:szCs w:val="24"/>
              </w:rPr>
              <w:t>– a composição e estrutura da carteira, abrangendo origem e características de direitos creditórios, imóveis rurais, participações societárias e demais ativos, perfil de cedentes ou emissores, níveis de subordinação e histórico de inadimplência;</w:t>
            </w:r>
          </w:p>
        </w:tc>
        <w:tc>
          <w:tcPr>
            <w:tcW w:w="4074" w:type="dxa"/>
          </w:tcPr>
          <w:p w14:paraId="5503730F" w14:textId="70C54A4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Proporciona entendimento detalhado sobre a composição e diversificação da carteira do Fundo de Investimento nas Cadeias Agroindustriais, permitindo análise adequada dos riscos de concentração e crédito inerentes aos ativos agroindustriais</w:t>
            </w:r>
            <w:r w:rsidR="00EF2AB4">
              <w:rPr>
                <w:rFonts w:asciiTheme="majorHAnsi" w:hAnsiTheme="majorHAnsi" w:cstheme="majorHAnsi"/>
                <w:sz w:val="24"/>
                <w:szCs w:val="24"/>
              </w:rPr>
              <w:t>.</w:t>
            </w:r>
          </w:p>
        </w:tc>
        <w:tc>
          <w:tcPr>
            <w:tcW w:w="4075" w:type="dxa"/>
          </w:tcPr>
          <w:p w14:paraId="0061E3E4" w14:textId="33AC53D0"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tc>
      </w:tr>
      <w:tr w:rsidR="00EB19CA" w:rsidRPr="00C93770" w14:paraId="47303DD1" w14:textId="77777777" w:rsidTr="1756A420">
        <w:tc>
          <w:tcPr>
            <w:tcW w:w="4074" w:type="dxa"/>
          </w:tcPr>
          <w:p w14:paraId="5BAE23BA" w14:textId="75181F3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Sem referência anterior.</w:t>
            </w:r>
          </w:p>
        </w:tc>
        <w:tc>
          <w:tcPr>
            <w:tcW w:w="4074" w:type="dxa"/>
          </w:tcPr>
          <w:p w14:paraId="429D852A" w14:textId="4F08B7F8" w:rsidR="00EB19CA" w:rsidRPr="00D462F0" w:rsidRDefault="00EA698E" w:rsidP="00D462F0">
            <w:pPr>
              <w:jc w:val="both"/>
              <w:rPr>
                <w:rFonts w:asciiTheme="majorHAnsi" w:hAnsiTheme="majorHAnsi" w:cstheme="majorHAnsi"/>
                <w:bCs/>
                <w:sz w:val="24"/>
                <w:szCs w:val="24"/>
              </w:rPr>
            </w:pPr>
            <w:r>
              <w:rPr>
                <w:rFonts w:asciiTheme="majorHAnsi" w:hAnsiTheme="majorHAnsi" w:cstheme="majorHAnsi"/>
                <w:bCs/>
                <w:color w:val="0000FF"/>
                <w:sz w:val="24"/>
                <w:szCs w:val="24"/>
              </w:rPr>
              <w:t>I</w:t>
            </w:r>
            <w:r w:rsidR="00EB19CA" w:rsidRPr="00D462F0">
              <w:rPr>
                <w:rFonts w:asciiTheme="majorHAnsi" w:hAnsiTheme="majorHAnsi" w:cstheme="majorHAnsi"/>
                <w:bCs/>
                <w:color w:val="0000FF"/>
                <w:sz w:val="24"/>
                <w:szCs w:val="24"/>
              </w:rPr>
              <w:t>X – os mecanismos de proteção previstos no regulamento;</w:t>
            </w:r>
          </w:p>
        </w:tc>
        <w:tc>
          <w:tcPr>
            <w:tcW w:w="4074" w:type="dxa"/>
          </w:tcPr>
          <w:p w14:paraId="300A79FF" w14:textId="5BBE9C1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Identifica os mecanismos de proteção disponíveis no fundo, elementos cruciais para a análise de risco-retorno e adequação do investimento ao perfil conservador tradicionalmente requerido para as EFPC</w:t>
            </w:r>
            <w:r w:rsidR="00EF2AB4">
              <w:rPr>
                <w:rFonts w:asciiTheme="majorHAnsi" w:hAnsiTheme="majorHAnsi" w:cstheme="majorHAnsi"/>
                <w:sz w:val="24"/>
                <w:szCs w:val="24"/>
              </w:rPr>
              <w:t>.</w:t>
            </w:r>
          </w:p>
        </w:tc>
        <w:tc>
          <w:tcPr>
            <w:tcW w:w="4075" w:type="dxa"/>
          </w:tcPr>
          <w:p w14:paraId="1CF6E808" w14:textId="2ACA2DAB"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tc>
      </w:tr>
      <w:tr w:rsidR="00EB19CA" w:rsidRPr="00C93770" w14:paraId="51ECB475" w14:textId="77777777" w:rsidTr="1756A420">
        <w:tc>
          <w:tcPr>
            <w:tcW w:w="4074" w:type="dxa"/>
          </w:tcPr>
          <w:p w14:paraId="20C05CA2" w14:textId="2946C2C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0EAE874D" w14:textId="1C86827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X – as características e riscos específicos dos ativos-alvo, incluindo aspectos fundiários, ambientais, climáticos e de mercado que possam afetar tais ativos;</w:t>
            </w:r>
          </w:p>
        </w:tc>
        <w:tc>
          <w:tcPr>
            <w:tcW w:w="4074" w:type="dxa"/>
          </w:tcPr>
          <w:p w14:paraId="58893D48" w14:textId="3A762D2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Reconhece as especificidades e riscos inerentes aos ativos do agronegócio, incluindo riscos climáticos, ambientais e regulatórios específicos do setor, permitindo avaliação adequada do perfil de risco do investimento</w:t>
            </w:r>
            <w:r w:rsidR="00EF2AB4">
              <w:rPr>
                <w:rFonts w:asciiTheme="majorHAnsi" w:hAnsiTheme="majorHAnsi" w:cstheme="majorHAnsi"/>
                <w:sz w:val="24"/>
                <w:szCs w:val="24"/>
              </w:rPr>
              <w:t>.</w:t>
            </w:r>
          </w:p>
        </w:tc>
        <w:tc>
          <w:tcPr>
            <w:tcW w:w="4075" w:type="dxa"/>
          </w:tcPr>
          <w:p w14:paraId="2400E8B9" w14:textId="19BDDE9C"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tc>
      </w:tr>
      <w:tr w:rsidR="00EB19CA" w:rsidRPr="00C93770" w14:paraId="70A6C295" w14:textId="77777777" w:rsidTr="1756A420">
        <w:tc>
          <w:tcPr>
            <w:tcW w:w="4074" w:type="dxa"/>
          </w:tcPr>
          <w:p w14:paraId="00D3CFA3" w14:textId="2411CBD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58D15F9A" w14:textId="6F47826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XI – o laudo de avaliação dos ativos relevantes, elaborado por avaliador independente, e as metodologias empregadas;</w:t>
            </w:r>
          </w:p>
        </w:tc>
        <w:tc>
          <w:tcPr>
            <w:tcW w:w="4074" w:type="dxa"/>
          </w:tcPr>
          <w:p w14:paraId="734D8A68" w14:textId="62AE864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Assegura que a EFPC tenha acesso a avaliações técnicas independentes dos principais ativos do Fundo de Investimento nas Cadeias Agroindustriais, fornecendo base sólida para a análise de risco e tomada de decisão de investimento</w:t>
            </w:r>
            <w:r w:rsidR="00EF2AB4">
              <w:rPr>
                <w:rFonts w:asciiTheme="majorHAnsi" w:hAnsiTheme="majorHAnsi" w:cstheme="majorHAnsi"/>
                <w:sz w:val="24"/>
                <w:szCs w:val="24"/>
              </w:rPr>
              <w:t>.</w:t>
            </w:r>
          </w:p>
        </w:tc>
        <w:tc>
          <w:tcPr>
            <w:tcW w:w="4075" w:type="dxa"/>
          </w:tcPr>
          <w:p w14:paraId="00C3BFEE" w14:textId="239F7E32"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tc>
      </w:tr>
      <w:tr w:rsidR="00EB19CA" w:rsidRPr="00C93770" w14:paraId="653EE95C" w14:textId="77777777" w:rsidTr="1756A420">
        <w:tc>
          <w:tcPr>
            <w:tcW w:w="4074" w:type="dxa"/>
          </w:tcPr>
          <w:p w14:paraId="4883C604" w14:textId="38B91CC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02505E73" w14:textId="25631A6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XI</w:t>
            </w:r>
            <w:r w:rsidR="00EA698E">
              <w:rPr>
                <w:rFonts w:asciiTheme="majorHAnsi" w:hAnsiTheme="majorHAnsi" w:cstheme="majorHAnsi"/>
                <w:bCs/>
                <w:color w:val="0000FF"/>
                <w:sz w:val="24"/>
                <w:szCs w:val="24"/>
              </w:rPr>
              <w:t>I</w:t>
            </w:r>
            <w:r w:rsidRPr="00D462F0">
              <w:rPr>
                <w:rFonts w:asciiTheme="majorHAnsi" w:hAnsiTheme="majorHAnsi" w:cstheme="majorHAnsi"/>
                <w:bCs/>
                <w:color w:val="0000FF"/>
                <w:sz w:val="24"/>
                <w:szCs w:val="24"/>
              </w:rPr>
              <w:t xml:space="preserve"> – quaisquer eventos ou fatos relevantes relativos ao Fundo de Investimento nas Cadeias Agroindustriais ou a seus ativos que possam impactar significativamente a decisão de investimento ou a rentabilidade das cotas;</w:t>
            </w:r>
          </w:p>
        </w:tc>
        <w:tc>
          <w:tcPr>
            <w:tcW w:w="4074" w:type="dxa"/>
          </w:tcPr>
          <w:p w14:paraId="604410D5" w14:textId="5C63626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Garante que eventos materiais que possam afetar significativamente o desempenho do fundo sejam adequadamente considerados na análise de investimento, permitindo decisões mais informadas</w:t>
            </w:r>
            <w:r w:rsidR="00EF2AB4">
              <w:rPr>
                <w:rFonts w:asciiTheme="majorHAnsi" w:hAnsiTheme="majorHAnsi" w:cstheme="majorHAnsi"/>
                <w:sz w:val="24"/>
                <w:szCs w:val="24"/>
              </w:rPr>
              <w:t>.</w:t>
            </w:r>
          </w:p>
        </w:tc>
        <w:tc>
          <w:tcPr>
            <w:tcW w:w="4075" w:type="dxa"/>
          </w:tcPr>
          <w:p w14:paraId="2E4697EB" w14:textId="23499661"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Alínea “a” do </w:t>
            </w:r>
            <w:r w:rsidRPr="00D462F0">
              <w:rPr>
                <w:rFonts w:asciiTheme="majorHAnsi" w:hAnsiTheme="majorHAnsi" w:cstheme="majorHAnsi"/>
                <w:bCs/>
                <w:sz w:val="24"/>
                <w:szCs w:val="24"/>
              </w:rPr>
              <w:t xml:space="preserve">Inciso </w:t>
            </w:r>
            <w:r w:rsidRPr="00D462F0">
              <w:rPr>
                <w:rFonts w:asciiTheme="majorHAnsi" w:eastAsia="Calibri" w:hAnsiTheme="majorHAnsi" w:cstheme="majorHAnsi"/>
                <w:bCs/>
                <w:sz w:val="24"/>
                <w:szCs w:val="24"/>
              </w:rPr>
              <w:t>V</w:t>
            </w:r>
            <w:r w:rsidRPr="00D462F0">
              <w:rPr>
                <w:rFonts w:asciiTheme="majorHAnsi"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tc>
      </w:tr>
      <w:tr w:rsidR="00EB19CA" w:rsidRPr="00C93770" w14:paraId="519A5C8D" w14:textId="77777777" w:rsidTr="1756A420">
        <w:tc>
          <w:tcPr>
            <w:tcW w:w="4074" w:type="dxa"/>
          </w:tcPr>
          <w:p w14:paraId="398B6A34" w14:textId="591ABE9C"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3476296E" w14:textId="65F827C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X</w:t>
            </w:r>
            <w:r w:rsidR="00EA698E">
              <w:rPr>
                <w:rFonts w:asciiTheme="majorHAnsi" w:hAnsiTheme="majorHAnsi" w:cstheme="majorHAnsi"/>
                <w:bCs/>
                <w:color w:val="0000FF"/>
                <w:sz w:val="24"/>
                <w:szCs w:val="24"/>
              </w:rPr>
              <w:t>III</w:t>
            </w:r>
            <w:r w:rsidRPr="00D462F0">
              <w:rPr>
                <w:rFonts w:asciiTheme="majorHAnsi" w:hAnsiTheme="majorHAnsi" w:cstheme="majorHAnsi"/>
                <w:bCs/>
                <w:color w:val="0000FF"/>
                <w:sz w:val="24"/>
                <w:szCs w:val="24"/>
              </w:rPr>
              <w:t xml:space="preserve"> – a estrutura de governança do fundo, contemplando composição e independência dos órgãos de administração e fiscalização, controles internos e políticas de compliance; e</w:t>
            </w:r>
          </w:p>
        </w:tc>
        <w:tc>
          <w:tcPr>
            <w:tcW w:w="4074" w:type="dxa"/>
          </w:tcPr>
          <w:p w14:paraId="342020F3" w14:textId="6BC41F1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Avalia a qualidade da governança do Fundo de Investimento nas Cadeias Agroindustriais, aspecto fundamental para a gestão adequada dos recursos e proteção dos interesses dos cotistas, em linha com as melhores práticas de investimento das EFPC</w:t>
            </w:r>
            <w:r w:rsidR="00EF2AB4">
              <w:rPr>
                <w:rFonts w:asciiTheme="majorHAnsi" w:hAnsiTheme="majorHAnsi" w:cstheme="majorHAnsi"/>
                <w:sz w:val="24"/>
                <w:szCs w:val="24"/>
              </w:rPr>
              <w:t>.</w:t>
            </w:r>
          </w:p>
        </w:tc>
        <w:tc>
          <w:tcPr>
            <w:tcW w:w="4075" w:type="dxa"/>
          </w:tcPr>
          <w:p w14:paraId="4F9CE8C3" w14:textId="19E723CC"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Alínea “a” do </w:t>
            </w:r>
            <w:r w:rsidRPr="00D462F0">
              <w:rPr>
                <w:rFonts w:asciiTheme="majorHAnsi" w:hAnsiTheme="majorHAnsi" w:cstheme="majorHAnsi"/>
                <w:bCs/>
                <w:sz w:val="24"/>
                <w:szCs w:val="24"/>
              </w:rPr>
              <w:t xml:space="preserve">Inciso </w:t>
            </w:r>
            <w:r w:rsidRPr="00D462F0">
              <w:rPr>
                <w:rFonts w:asciiTheme="majorHAnsi" w:eastAsia="Calibri" w:hAnsiTheme="majorHAnsi" w:cstheme="majorHAnsi"/>
                <w:bCs/>
                <w:sz w:val="24"/>
                <w:szCs w:val="24"/>
              </w:rPr>
              <w:t>V</w:t>
            </w:r>
            <w:r w:rsidRPr="00D462F0">
              <w:rPr>
                <w:rFonts w:asciiTheme="majorHAnsi"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tc>
      </w:tr>
      <w:tr w:rsidR="00EB19CA" w:rsidRPr="00C93770" w14:paraId="261A38C1" w14:textId="77777777" w:rsidTr="1756A420">
        <w:tc>
          <w:tcPr>
            <w:tcW w:w="4074" w:type="dxa"/>
          </w:tcPr>
          <w:p w14:paraId="29DD73A7" w14:textId="5354FE2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2FAA8CC2" w14:textId="7C1BA32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X</w:t>
            </w:r>
            <w:r w:rsidR="00EA698E">
              <w:rPr>
                <w:rFonts w:asciiTheme="majorHAnsi" w:hAnsiTheme="majorHAnsi" w:cstheme="majorHAnsi"/>
                <w:bCs/>
                <w:color w:val="0000FF"/>
                <w:sz w:val="24"/>
                <w:szCs w:val="24"/>
              </w:rPr>
              <w:t>I</w:t>
            </w:r>
            <w:r w:rsidRPr="00D462F0">
              <w:rPr>
                <w:rFonts w:asciiTheme="majorHAnsi" w:hAnsiTheme="majorHAnsi" w:cstheme="majorHAnsi"/>
                <w:bCs/>
                <w:color w:val="0000FF"/>
                <w:sz w:val="24"/>
                <w:szCs w:val="24"/>
              </w:rPr>
              <w:t>V – as estratégias de mitigação dos principais riscos identificados.</w:t>
            </w:r>
          </w:p>
        </w:tc>
        <w:tc>
          <w:tcPr>
            <w:tcW w:w="4074" w:type="dxa"/>
          </w:tcPr>
          <w:p w14:paraId="3CE6C611" w14:textId="5DE92B8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Identifica as estratégias de mitigação de riscos implementadas pelo fundo, permitindo à EFPC avaliar a adequação dessas medidas ao perfil de risco </w:t>
            </w:r>
            <w:r w:rsidRPr="00D462F0">
              <w:rPr>
                <w:rFonts w:asciiTheme="majorHAnsi" w:hAnsiTheme="majorHAnsi" w:cstheme="majorHAnsi"/>
                <w:sz w:val="24"/>
                <w:szCs w:val="24"/>
              </w:rPr>
              <w:lastRenderedPageBreak/>
              <w:t>aceitável para os recursos previdenciários</w:t>
            </w:r>
            <w:r w:rsidR="00EF2AB4">
              <w:rPr>
                <w:rFonts w:asciiTheme="majorHAnsi" w:hAnsiTheme="majorHAnsi" w:cstheme="majorHAnsi"/>
                <w:sz w:val="24"/>
                <w:szCs w:val="24"/>
              </w:rPr>
              <w:t>.</w:t>
            </w:r>
          </w:p>
        </w:tc>
        <w:tc>
          <w:tcPr>
            <w:tcW w:w="4075" w:type="dxa"/>
          </w:tcPr>
          <w:p w14:paraId="7C4960F9" w14:textId="590FEEF0"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lastRenderedPageBreak/>
              <w:t>Alínea “a” do Inciso V do art. 4º do Decreto nº 10.411, de 2020.</w:t>
            </w:r>
          </w:p>
        </w:tc>
      </w:tr>
      <w:tr w:rsidR="00EB19CA" w:rsidRPr="00C93770" w14:paraId="06BEDB34" w14:textId="77777777" w:rsidTr="1756A420">
        <w:tc>
          <w:tcPr>
            <w:tcW w:w="4074" w:type="dxa"/>
          </w:tcPr>
          <w:p w14:paraId="357DFF8A" w14:textId="64AD5A5F" w:rsidR="00EB19CA" w:rsidRPr="0028717C" w:rsidRDefault="00EB19CA" w:rsidP="0028717C">
            <w:pPr>
              <w:jc w:val="center"/>
              <w:rPr>
                <w:rFonts w:asciiTheme="majorHAnsi" w:hAnsiTheme="majorHAnsi" w:cstheme="majorHAnsi"/>
                <w:bCs/>
                <w:sz w:val="24"/>
                <w:szCs w:val="24"/>
              </w:rPr>
            </w:pPr>
            <w:r w:rsidRPr="0028717C">
              <w:rPr>
                <w:rFonts w:asciiTheme="majorHAnsi" w:hAnsiTheme="majorHAnsi" w:cstheme="majorHAnsi"/>
                <w:bCs/>
                <w:sz w:val="24"/>
                <w:szCs w:val="24"/>
              </w:rPr>
              <w:t>...</w:t>
            </w:r>
          </w:p>
        </w:tc>
        <w:tc>
          <w:tcPr>
            <w:tcW w:w="4074" w:type="dxa"/>
          </w:tcPr>
          <w:p w14:paraId="3DC11398" w14:textId="5785F3EE" w:rsidR="00EB19CA" w:rsidRPr="0028717C" w:rsidRDefault="00EB19CA" w:rsidP="0028717C">
            <w:pPr>
              <w:jc w:val="center"/>
              <w:rPr>
                <w:rFonts w:asciiTheme="majorHAnsi" w:hAnsiTheme="majorHAnsi" w:cstheme="majorHAnsi"/>
                <w:bCs/>
                <w:sz w:val="24"/>
                <w:szCs w:val="24"/>
              </w:rPr>
            </w:pPr>
            <w:r w:rsidRPr="0028717C">
              <w:rPr>
                <w:rFonts w:asciiTheme="majorHAnsi" w:hAnsiTheme="majorHAnsi" w:cstheme="majorHAnsi"/>
                <w:bCs/>
                <w:sz w:val="24"/>
                <w:szCs w:val="24"/>
              </w:rPr>
              <w:t>...</w:t>
            </w:r>
          </w:p>
        </w:tc>
        <w:tc>
          <w:tcPr>
            <w:tcW w:w="4074" w:type="dxa"/>
          </w:tcPr>
          <w:p w14:paraId="33198C7B" w14:textId="77777777" w:rsidR="00EB19CA" w:rsidRPr="00D462F0" w:rsidRDefault="00EB19CA" w:rsidP="00D462F0">
            <w:pPr>
              <w:jc w:val="both"/>
              <w:rPr>
                <w:rFonts w:asciiTheme="majorHAnsi" w:hAnsiTheme="majorHAnsi" w:cstheme="majorHAnsi"/>
                <w:sz w:val="24"/>
                <w:szCs w:val="24"/>
              </w:rPr>
            </w:pPr>
          </w:p>
        </w:tc>
        <w:tc>
          <w:tcPr>
            <w:tcW w:w="4075" w:type="dxa"/>
          </w:tcPr>
          <w:p w14:paraId="762F117D" w14:textId="77777777" w:rsidR="00EB19CA" w:rsidRPr="00D462F0" w:rsidRDefault="00EB19CA" w:rsidP="00D462F0">
            <w:pPr>
              <w:jc w:val="both"/>
              <w:rPr>
                <w:rFonts w:asciiTheme="majorHAnsi" w:hAnsiTheme="majorHAnsi" w:cstheme="majorHAnsi"/>
                <w:bCs/>
                <w:sz w:val="24"/>
                <w:szCs w:val="24"/>
              </w:rPr>
            </w:pPr>
          </w:p>
        </w:tc>
      </w:tr>
      <w:tr w:rsidR="00EB19CA" w:rsidRPr="00C93770" w14:paraId="6CFA2EB9" w14:textId="77777777" w:rsidTr="1756A420">
        <w:tc>
          <w:tcPr>
            <w:tcW w:w="4074" w:type="dxa"/>
          </w:tcPr>
          <w:p w14:paraId="534E49B9" w14:textId="77777777" w:rsidR="00EB19CA" w:rsidRPr="0028717C" w:rsidRDefault="00EB19CA" w:rsidP="0028717C">
            <w:pPr>
              <w:jc w:val="center"/>
              <w:rPr>
                <w:rFonts w:asciiTheme="majorHAnsi" w:hAnsiTheme="majorHAnsi" w:cstheme="majorHAnsi"/>
                <w:b/>
                <w:sz w:val="24"/>
                <w:szCs w:val="24"/>
              </w:rPr>
            </w:pPr>
            <w:r w:rsidRPr="0028717C">
              <w:rPr>
                <w:rFonts w:asciiTheme="majorHAnsi" w:hAnsiTheme="majorHAnsi" w:cstheme="majorHAnsi"/>
                <w:b/>
                <w:sz w:val="24"/>
                <w:szCs w:val="24"/>
              </w:rPr>
              <w:t>Subseção VI</w:t>
            </w:r>
          </w:p>
          <w:p w14:paraId="5700072C" w14:textId="7D6F248E" w:rsidR="00EB19CA" w:rsidRPr="0028717C" w:rsidRDefault="00EB19CA" w:rsidP="0028717C">
            <w:pPr>
              <w:jc w:val="center"/>
              <w:rPr>
                <w:rFonts w:asciiTheme="majorHAnsi" w:hAnsiTheme="majorHAnsi" w:cstheme="majorHAnsi"/>
                <w:b/>
                <w:sz w:val="24"/>
                <w:szCs w:val="24"/>
              </w:rPr>
            </w:pPr>
            <w:r w:rsidRPr="0028717C">
              <w:rPr>
                <w:rFonts w:asciiTheme="majorHAnsi" w:hAnsiTheme="majorHAnsi" w:cstheme="majorHAnsi"/>
                <w:b/>
                <w:sz w:val="24"/>
                <w:szCs w:val="24"/>
              </w:rPr>
              <w:t>Monitoramento de Prestador de Serviço de Administração de Carteiras de Valores Mobiliários</w:t>
            </w:r>
          </w:p>
        </w:tc>
        <w:tc>
          <w:tcPr>
            <w:tcW w:w="4074" w:type="dxa"/>
          </w:tcPr>
          <w:p w14:paraId="2BDA606F" w14:textId="77777777" w:rsidR="00EB19CA" w:rsidRPr="0028717C" w:rsidRDefault="00EB19CA" w:rsidP="0028717C">
            <w:pPr>
              <w:jc w:val="center"/>
              <w:rPr>
                <w:rFonts w:asciiTheme="majorHAnsi" w:hAnsiTheme="majorHAnsi" w:cstheme="majorHAnsi"/>
                <w:b/>
                <w:sz w:val="24"/>
                <w:szCs w:val="24"/>
              </w:rPr>
            </w:pPr>
            <w:r w:rsidRPr="0028717C">
              <w:rPr>
                <w:rFonts w:asciiTheme="majorHAnsi" w:hAnsiTheme="majorHAnsi" w:cstheme="majorHAnsi"/>
                <w:b/>
                <w:sz w:val="24"/>
                <w:szCs w:val="24"/>
              </w:rPr>
              <w:t>Subseção VI</w:t>
            </w:r>
          </w:p>
          <w:p w14:paraId="372012A1" w14:textId="73B25E1C" w:rsidR="00EB19CA" w:rsidRPr="0028717C" w:rsidRDefault="00EB19CA" w:rsidP="0028717C">
            <w:pPr>
              <w:jc w:val="center"/>
              <w:rPr>
                <w:rFonts w:asciiTheme="majorHAnsi" w:hAnsiTheme="majorHAnsi" w:cstheme="majorHAnsi"/>
                <w:b/>
                <w:sz w:val="24"/>
                <w:szCs w:val="24"/>
              </w:rPr>
            </w:pPr>
            <w:r w:rsidRPr="0028717C">
              <w:rPr>
                <w:rFonts w:asciiTheme="majorHAnsi" w:hAnsiTheme="majorHAnsi" w:cstheme="majorHAnsi"/>
                <w:b/>
                <w:sz w:val="24"/>
                <w:szCs w:val="24"/>
              </w:rPr>
              <w:t>Monitoramento de Prestador de Serviço de Administração de Carteiras de Valores Mobiliários</w:t>
            </w:r>
          </w:p>
        </w:tc>
        <w:tc>
          <w:tcPr>
            <w:tcW w:w="4074" w:type="dxa"/>
          </w:tcPr>
          <w:p w14:paraId="647776B0" w14:textId="77777777" w:rsidR="00EB19CA" w:rsidRPr="00D462F0" w:rsidRDefault="00EB19CA" w:rsidP="00D462F0">
            <w:pPr>
              <w:jc w:val="both"/>
              <w:rPr>
                <w:rFonts w:asciiTheme="majorHAnsi" w:hAnsiTheme="majorHAnsi" w:cstheme="majorHAnsi"/>
                <w:sz w:val="24"/>
                <w:szCs w:val="24"/>
              </w:rPr>
            </w:pPr>
          </w:p>
        </w:tc>
        <w:tc>
          <w:tcPr>
            <w:tcW w:w="4075" w:type="dxa"/>
          </w:tcPr>
          <w:p w14:paraId="561133B9" w14:textId="77777777" w:rsidR="00EB19CA" w:rsidRPr="00D462F0" w:rsidRDefault="00EB19CA" w:rsidP="00D462F0">
            <w:pPr>
              <w:jc w:val="both"/>
              <w:rPr>
                <w:rFonts w:asciiTheme="majorHAnsi" w:hAnsiTheme="majorHAnsi" w:cstheme="majorHAnsi"/>
                <w:bCs/>
                <w:sz w:val="24"/>
                <w:szCs w:val="24"/>
              </w:rPr>
            </w:pPr>
          </w:p>
        </w:tc>
      </w:tr>
      <w:tr w:rsidR="00EB19CA" w:rsidRPr="00C93770" w14:paraId="4107A4C6" w14:textId="77777777" w:rsidTr="1756A420">
        <w:tc>
          <w:tcPr>
            <w:tcW w:w="4074" w:type="dxa"/>
          </w:tcPr>
          <w:p w14:paraId="54DF6C56" w14:textId="4B3AA91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226.  No monitoramento de fundo de investimento, a EFPC deve, no mínimo:</w:t>
            </w:r>
          </w:p>
        </w:tc>
        <w:tc>
          <w:tcPr>
            <w:tcW w:w="4074" w:type="dxa"/>
          </w:tcPr>
          <w:p w14:paraId="1A4C0645" w14:textId="4A6CFA7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226.  ...</w:t>
            </w:r>
          </w:p>
        </w:tc>
        <w:tc>
          <w:tcPr>
            <w:tcW w:w="4074" w:type="dxa"/>
          </w:tcPr>
          <w:p w14:paraId="71995589" w14:textId="60176273" w:rsidR="00EB19CA" w:rsidRPr="00D462F0" w:rsidRDefault="00BC6F0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22736C1F" w14:textId="77777777" w:rsidR="00EB19CA" w:rsidRPr="00D462F0" w:rsidRDefault="00EB19CA" w:rsidP="00D462F0">
            <w:pPr>
              <w:jc w:val="both"/>
              <w:rPr>
                <w:rFonts w:asciiTheme="majorHAnsi" w:hAnsiTheme="majorHAnsi" w:cstheme="majorHAnsi"/>
                <w:bCs/>
                <w:sz w:val="24"/>
                <w:szCs w:val="24"/>
              </w:rPr>
            </w:pPr>
          </w:p>
        </w:tc>
      </w:tr>
      <w:tr w:rsidR="009800BF" w:rsidRPr="00C93770" w14:paraId="41DEEB75" w14:textId="77777777" w:rsidTr="1756A420">
        <w:tc>
          <w:tcPr>
            <w:tcW w:w="4074" w:type="dxa"/>
          </w:tcPr>
          <w:p w14:paraId="56B76930" w14:textId="16823B03"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54B2CC1" w14:textId="30585056" w:rsidR="009800BF" w:rsidRPr="00D462F0" w:rsidRDefault="009800BF"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4000CB8B" w14:textId="77777777" w:rsidR="009800BF" w:rsidRPr="00D462F0" w:rsidRDefault="009800BF" w:rsidP="00D462F0">
            <w:pPr>
              <w:jc w:val="both"/>
              <w:rPr>
                <w:rFonts w:asciiTheme="majorHAnsi" w:hAnsiTheme="majorHAnsi" w:cstheme="majorHAnsi"/>
                <w:sz w:val="24"/>
                <w:szCs w:val="24"/>
              </w:rPr>
            </w:pPr>
          </w:p>
        </w:tc>
        <w:tc>
          <w:tcPr>
            <w:tcW w:w="4075" w:type="dxa"/>
          </w:tcPr>
          <w:p w14:paraId="798D6EC1" w14:textId="77777777" w:rsidR="009800BF" w:rsidRPr="00D462F0" w:rsidRDefault="009800BF" w:rsidP="00D462F0">
            <w:pPr>
              <w:jc w:val="both"/>
              <w:rPr>
                <w:rFonts w:asciiTheme="majorHAnsi" w:eastAsia="Calibri" w:hAnsiTheme="majorHAnsi" w:cstheme="majorHAnsi"/>
                <w:bCs/>
                <w:sz w:val="24"/>
                <w:szCs w:val="24"/>
              </w:rPr>
            </w:pPr>
          </w:p>
        </w:tc>
      </w:tr>
      <w:tr w:rsidR="00EB19CA" w:rsidRPr="00C93770" w14:paraId="3D8D61F5" w14:textId="77777777" w:rsidTr="1756A420">
        <w:tc>
          <w:tcPr>
            <w:tcW w:w="4074" w:type="dxa"/>
          </w:tcPr>
          <w:p w14:paraId="5D490CA8" w14:textId="3507FDB2"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II - monitorar o risco e o retorno esperado dos investimentos, considerando as taxas de administração, gestão e performance efetivas dos fundos, principalmente daqueles que possam adquirir cotas de outros fundos de investimento;</w:t>
            </w:r>
          </w:p>
        </w:tc>
        <w:tc>
          <w:tcPr>
            <w:tcW w:w="4074" w:type="dxa"/>
          </w:tcPr>
          <w:p w14:paraId="567762DF" w14:textId="0E9C529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II - monitorar o risco e o retorno esperado dos investimentos, considerando as taxas de administração, </w:t>
            </w:r>
            <w:r w:rsidRPr="00D462F0">
              <w:rPr>
                <w:rFonts w:asciiTheme="majorHAnsi" w:hAnsiTheme="majorHAnsi" w:cstheme="majorHAnsi"/>
                <w:bCs/>
                <w:color w:val="0000FF"/>
                <w:sz w:val="24"/>
                <w:szCs w:val="24"/>
              </w:rPr>
              <w:t xml:space="preserve">distribuição, </w:t>
            </w:r>
            <w:r w:rsidRPr="00D462F0">
              <w:rPr>
                <w:rFonts w:asciiTheme="majorHAnsi" w:hAnsiTheme="majorHAnsi" w:cstheme="majorHAnsi"/>
                <w:bCs/>
                <w:sz w:val="24"/>
                <w:szCs w:val="24"/>
              </w:rPr>
              <w:t>gestão e performance efetivas dos fundos, principalmente daqueles que possam adquirir cotas de outros fundos de investimento;</w:t>
            </w:r>
          </w:p>
        </w:tc>
        <w:tc>
          <w:tcPr>
            <w:tcW w:w="4074" w:type="dxa"/>
          </w:tcPr>
          <w:p w14:paraId="3D18D6AF" w14:textId="1E18EB7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Inserção da necessidade de consideração também da taxa de distribuição.</w:t>
            </w:r>
          </w:p>
        </w:tc>
        <w:tc>
          <w:tcPr>
            <w:tcW w:w="4075" w:type="dxa"/>
          </w:tcPr>
          <w:p w14:paraId="7CF0D0F6" w14:textId="3D0DAC5D"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IV do art. 4º do Decreto nº 10.411, de 2020 do Decreto nº 10.411, de 2020 - Ajuste redacional para contemplar taxa de distribuição.</w:t>
            </w:r>
          </w:p>
        </w:tc>
      </w:tr>
      <w:tr w:rsidR="00EB19CA" w:rsidRPr="00C93770" w14:paraId="7CDDCDA0" w14:textId="77777777" w:rsidTr="1756A420">
        <w:tc>
          <w:tcPr>
            <w:tcW w:w="4074" w:type="dxa"/>
          </w:tcPr>
          <w:p w14:paraId="2E305736" w14:textId="2A42283D"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0F8E8AE3" w14:textId="1848545B"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A72D8E4" w14:textId="03215EF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w:t>
            </w:r>
          </w:p>
        </w:tc>
        <w:tc>
          <w:tcPr>
            <w:tcW w:w="4075" w:type="dxa"/>
          </w:tcPr>
          <w:p w14:paraId="52F78608" w14:textId="77777777" w:rsidR="00EB19CA" w:rsidRPr="00D462F0" w:rsidRDefault="00EB19CA" w:rsidP="00D462F0">
            <w:pPr>
              <w:jc w:val="both"/>
              <w:rPr>
                <w:rFonts w:asciiTheme="majorHAnsi" w:hAnsiTheme="majorHAnsi" w:cstheme="majorHAnsi"/>
                <w:bCs/>
                <w:sz w:val="24"/>
                <w:szCs w:val="24"/>
              </w:rPr>
            </w:pPr>
          </w:p>
        </w:tc>
      </w:tr>
      <w:tr w:rsidR="009800BF" w:rsidRPr="00C93770" w14:paraId="66F626D9" w14:textId="77777777" w:rsidTr="1756A420">
        <w:tc>
          <w:tcPr>
            <w:tcW w:w="4074" w:type="dxa"/>
          </w:tcPr>
          <w:p w14:paraId="13A2A41E" w14:textId="77777777"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CAPÍTULO VII</w:t>
            </w:r>
          </w:p>
          <w:p w14:paraId="01779EE7" w14:textId="2B477F1D"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DOS PROCEDIMENTOS DE FISCALIZAÇÃO</w:t>
            </w:r>
          </w:p>
        </w:tc>
        <w:tc>
          <w:tcPr>
            <w:tcW w:w="4074" w:type="dxa"/>
          </w:tcPr>
          <w:p w14:paraId="46B4D1A9" w14:textId="77777777"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CAPÍTULO VII</w:t>
            </w:r>
          </w:p>
          <w:p w14:paraId="6517C3FB" w14:textId="21DC295F" w:rsidR="009800BF" w:rsidRPr="00D462F0" w:rsidRDefault="009800BF" w:rsidP="0028717C">
            <w:pPr>
              <w:jc w:val="center"/>
              <w:rPr>
                <w:rFonts w:asciiTheme="majorHAnsi" w:hAnsiTheme="majorHAnsi" w:cstheme="majorHAnsi"/>
                <w:bCs/>
                <w:sz w:val="24"/>
                <w:szCs w:val="24"/>
              </w:rPr>
            </w:pPr>
            <w:r w:rsidRPr="00D462F0">
              <w:rPr>
                <w:rFonts w:asciiTheme="majorHAnsi" w:hAnsiTheme="majorHAnsi" w:cstheme="majorHAnsi"/>
                <w:sz w:val="24"/>
                <w:szCs w:val="24"/>
              </w:rPr>
              <w:t>DOS PROCEDIMENTOS DE FISCALIZAÇÃO</w:t>
            </w:r>
          </w:p>
        </w:tc>
        <w:tc>
          <w:tcPr>
            <w:tcW w:w="4074" w:type="dxa"/>
          </w:tcPr>
          <w:p w14:paraId="5BC659A3" w14:textId="77777777" w:rsidR="009800BF" w:rsidRPr="00D462F0" w:rsidRDefault="009800BF" w:rsidP="00D462F0">
            <w:pPr>
              <w:jc w:val="both"/>
              <w:rPr>
                <w:rFonts w:asciiTheme="majorHAnsi" w:hAnsiTheme="majorHAnsi" w:cstheme="majorHAnsi"/>
                <w:sz w:val="24"/>
                <w:szCs w:val="24"/>
              </w:rPr>
            </w:pPr>
          </w:p>
        </w:tc>
        <w:tc>
          <w:tcPr>
            <w:tcW w:w="4075" w:type="dxa"/>
          </w:tcPr>
          <w:p w14:paraId="6369A545" w14:textId="77777777" w:rsidR="009800BF" w:rsidRPr="00D462F0" w:rsidRDefault="009800BF" w:rsidP="00D462F0">
            <w:pPr>
              <w:jc w:val="both"/>
              <w:rPr>
                <w:rFonts w:asciiTheme="majorHAnsi" w:hAnsiTheme="majorHAnsi" w:cstheme="majorHAnsi"/>
                <w:bCs/>
                <w:sz w:val="24"/>
                <w:szCs w:val="24"/>
              </w:rPr>
            </w:pPr>
          </w:p>
        </w:tc>
      </w:tr>
      <w:tr w:rsidR="009800BF" w:rsidRPr="00C93770" w14:paraId="7ACE8F5A" w14:textId="77777777" w:rsidTr="1756A420">
        <w:tc>
          <w:tcPr>
            <w:tcW w:w="4074" w:type="dxa"/>
          </w:tcPr>
          <w:p w14:paraId="3AD9C69B" w14:textId="77777777" w:rsidR="009800BF" w:rsidRPr="00D462F0" w:rsidRDefault="009800BF"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Seção I</w:t>
            </w:r>
          </w:p>
          <w:p w14:paraId="313366B1" w14:textId="78A2F0D4" w:rsidR="009800BF" w:rsidRPr="00D462F0" w:rsidRDefault="009800BF" w:rsidP="0028717C">
            <w:pPr>
              <w:jc w:val="center"/>
              <w:rPr>
                <w:rFonts w:asciiTheme="majorHAnsi" w:hAnsiTheme="majorHAnsi" w:cstheme="majorHAnsi"/>
                <w:b/>
                <w:sz w:val="24"/>
                <w:szCs w:val="24"/>
              </w:rPr>
            </w:pPr>
            <w:r w:rsidRPr="00D462F0">
              <w:rPr>
                <w:rFonts w:asciiTheme="majorHAnsi" w:hAnsiTheme="majorHAnsi" w:cstheme="majorHAnsi"/>
                <w:b/>
                <w:sz w:val="24"/>
                <w:szCs w:val="24"/>
              </w:rPr>
              <w:t>Rotinas e Procedimentos de Fiscalização</w:t>
            </w:r>
          </w:p>
        </w:tc>
        <w:tc>
          <w:tcPr>
            <w:tcW w:w="4074" w:type="dxa"/>
          </w:tcPr>
          <w:p w14:paraId="7DEFCCC4" w14:textId="77777777" w:rsidR="009800BF" w:rsidRPr="00D462F0" w:rsidRDefault="009800BF"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Seção I</w:t>
            </w:r>
          </w:p>
          <w:p w14:paraId="1BF772F0" w14:textId="738F78EE" w:rsidR="009800BF" w:rsidRPr="00D462F0" w:rsidRDefault="009800BF" w:rsidP="0028717C">
            <w:pPr>
              <w:jc w:val="center"/>
              <w:rPr>
                <w:rFonts w:asciiTheme="majorHAnsi" w:hAnsiTheme="majorHAnsi" w:cstheme="majorHAnsi"/>
                <w:b/>
                <w:bCs/>
                <w:sz w:val="24"/>
                <w:szCs w:val="24"/>
              </w:rPr>
            </w:pPr>
            <w:r w:rsidRPr="00D462F0">
              <w:rPr>
                <w:rFonts w:asciiTheme="majorHAnsi" w:hAnsiTheme="majorHAnsi" w:cstheme="majorHAnsi"/>
                <w:b/>
                <w:sz w:val="24"/>
                <w:szCs w:val="24"/>
              </w:rPr>
              <w:t>Rotinas e Procedimentos de Fiscalização</w:t>
            </w:r>
          </w:p>
        </w:tc>
        <w:tc>
          <w:tcPr>
            <w:tcW w:w="4074" w:type="dxa"/>
          </w:tcPr>
          <w:p w14:paraId="7F012478" w14:textId="77777777" w:rsidR="009800BF" w:rsidRPr="00D462F0" w:rsidRDefault="009800BF" w:rsidP="00D462F0">
            <w:pPr>
              <w:jc w:val="both"/>
              <w:rPr>
                <w:rFonts w:asciiTheme="majorHAnsi" w:hAnsiTheme="majorHAnsi" w:cstheme="majorHAnsi"/>
                <w:sz w:val="24"/>
                <w:szCs w:val="24"/>
              </w:rPr>
            </w:pPr>
          </w:p>
        </w:tc>
        <w:tc>
          <w:tcPr>
            <w:tcW w:w="4075" w:type="dxa"/>
          </w:tcPr>
          <w:p w14:paraId="69E11424" w14:textId="77777777" w:rsidR="009800BF" w:rsidRPr="00D462F0" w:rsidRDefault="009800BF" w:rsidP="00D462F0">
            <w:pPr>
              <w:jc w:val="both"/>
              <w:rPr>
                <w:rFonts w:asciiTheme="majorHAnsi" w:hAnsiTheme="majorHAnsi" w:cstheme="majorHAnsi"/>
                <w:bCs/>
                <w:sz w:val="24"/>
                <w:szCs w:val="24"/>
              </w:rPr>
            </w:pPr>
          </w:p>
        </w:tc>
      </w:tr>
      <w:tr w:rsidR="00EB19CA" w:rsidRPr="00C93770" w14:paraId="4826B6AE" w14:textId="77777777" w:rsidTr="1756A420">
        <w:tc>
          <w:tcPr>
            <w:tcW w:w="4074" w:type="dxa"/>
          </w:tcPr>
          <w:p w14:paraId="28CD6F9C" w14:textId="5EB4B622"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Art. 228.  A Superintendência Nacional de Previdência Complementar observará, em seus procedimentos de fiscalização, os conceitos de supervisão baseada em riscos, inclusive na elaboração e execução do programa anual de fiscalização, aplicando, no que couber, o regime disciplinar de que trata o Capítulo VII da Lei Complementar nº 109, de 29 de maio de 2001.</w:t>
            </w:r>
          </w:p>
        </w:tc>
        <w:tc>
          <w:tcPr>
            <w:tcW w:w="4074" w:type="dxa"/>
          </w:tcPr>
          <w:p w14:paraId="6C3F75AE" w14:textId="1182E4AB"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228.  </w:t>
            </w:r>
            <w:r w:rsidR="00BC6F01" w:rsidRPr="00D462F0">
              <w:rPr>
                <w:rFonts w:asciiTheme="majorHAnsi" w:hAnsiTheme="majorHAnsi" w:cstheme="majorHAnsi"/>
                <w:bCs/>
                <w:sz w:val="24"/>
                <w:szCs w:val="24"/>
              </w:rPr>
              <w:t>...</w:t>
            </w:r>
          </w:p>
        </w:tc>
        <w:tc>
          <w:tcPr>
            <w:tcW w:w="4074" w:type="dxa"/>
          </w:tcPr>
          <w:p w14:paraId="59929563" w14:textId="5DB7A333" w:rsidR="00EB19CA" w:rsidRPr="00D462F0" w:rsidRDefault="00BC6F0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6779D67F" w14:textId="479A2349" w:rsidR="00EB19CA" w:rsidRPr="00D462F0" w:rsidRDefault="00EB19CA" w:rsidP="00D462F0">
            <w:pPr>
              <w:jc w:val="both"/>
              <w:rPr>
                <w:rFonts w:asciiTheme="majorHAnsi" w:hAnsiTheme="majorHAnsi" w:cstheme="majorHAnsi"/>
                <w:bCs/>
                <w:sz w:val="24"/>
                <w:szCs w:val="24"/>
              </w:rPr>
            </w:pPr>
          </w:p>
        </w:tc>
      </w:tr>
      <w:tr w:rsidR="00AC6660" w:rsidRPr="00C93770" w14:paraId="2149E5E8" w14:textId="77777777" w:rsidTr="1756A420">
        <w:tc>
          <w:tcPr>
            <w:tcW w:w="4074" w:type="dxa"/>
          </w:tcPr>
          <w:p w14:paraId="0D727EA0" w14:textId="068E1A06" w:rsidR="00AC6660" w:rsidRPr="00D462F0" w:rsidRDefault="00AC6660" w:rsidP="004E06F1">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7C7070C0" w14:textId="0522BD64" w:rsidR="00AC6660" w:rsidRPr="00D462F0" w:rsidRDefault="00AC6660" w:rsidP="004E06F1">
            <w:pPr>
              <w:jc w:val="center"/>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w:t>
            </w:r>
          </w:p>
        </w:tc>
        <w:tc>
          <w:tcPr>
            <w:tcW w:w="4074" w:type="dxa"/>
          </w:tcPr>
          <w:p w14:paraId="00A27189" w14:textId="77777777" w:rsidR="00AC6660" w:rsidRPr="00D462F0" w:rsidRDefault="00AC6660" w:rsidP="00D462F0">
            <w:pPr>
              <w:jc w:val="both"/>
              <w:rPr>
                <w:rFonts w:asciiTheme="majorHAnsi" w:hAnsiTheme="majorHAnsi" w:cstheme="majorHAnsi"/>
                <w:sz w:val="24"/>
                <w:szCs w:val="24"/>
              </w:rPr>
            </w:pPr>
          </w:p>
        </w:tc>
        <w:tc>
          <w:tcPr>
            <w:tcW w:w="4075" w:type="dxa"/>
          </w:tcPr>
          <w:p w14:paraId="72EA4AF1" w14:textId="77777777" w:rsidR="00AC6660" w:rsidRPr="00D462F0" w:rsidRDefault="00AC6660" w:rsidP="00D462F0">
            <w:pPr>
              <w:jc w:val="both"/>
              <w:rPr>
                <w:rFonts w:asciiTheme="majorHAnsi" w:hAnsiTheme="majorHAnsi" w:cstheme="majorHAnsi"/>
                <w:bCs/>
                <w:sz w:val="24"/>
                <w:szCs w:val="24"/>
              </w:rPr>
            </w:pPr>
          </w:p>
        </w:tc>
      </w:tr>
      <w:tr w:rsidR="00EB19CA" w:rsidRPr="00C93770" w14:paraId="4579C7FA" w14:textId="77777777" w:rsidTr="1756A420">
        <w:tc>
          <w:tcPr>
            <w:tcW w:w="4074" w:type="dxa"/>
          </w:tcPr>
          <w:p w14:paraId="635FF935" w14:textId="2959B4AA"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73E84496" w14:textId="62B72446"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3º  A elaboração do programa anual de fiscalização compreende o processo de planejamento das ações institucionais, que relaciona os planos de benefícios e as EFPC selecionadas para serem objeto de procedimento de fiscalização e de monitoramento no exercício subsequente, segundo critérios previamente definidos.</w:t>
            </w:r>
          </w:p>
        </w:tc>
        <w:tc>
          <w:tcPr>
            <w:tcW w:w="4074" w:type="dxa"/>
          </w:tcPr>
          <w:p w14:paraId="313FA9E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Em virtude da revogação da Portaria Previc nº 496, de 2021, inclui-se a replicação do </w:t>
            </w:r>
            <w:r w:rsidRPr="00D462F0">
              <w:rPr>
                <w:rFonts w:asciiTheme="majorHAnsi" w:hAnsiTheme="majorHAnsi" w:cstheme="majorHAnsi"/>
                <w:i/>
                <w:sz w:val="24"/>
                <w:szCs w:val="24"/>
              </w:rPr>
              <w:t>caput</w:t>
            </w:r>
            <w:r w:rsidRPr="00D462F0">
              <w:rPr>
                <w:rFonts w:asciiTheme="majorHAnsi" w:hAnsiTheme="majorHAnsi" w:cstheme="majorHAnsi"/>
                <w:sz w:val="24"/>
                <w:szCs w:val="24"/>
              </w:rPr>
              <w:t xml:space="preserve"> do art. 2º desta Portaria, por conter definição do que é o PAF.</w:t>
            </w:r>
          </w:p>
          <w:p w14:paraId="1A38E1A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br/>
            </w:r>
          </w:p>
          <w:p w14:paraId="309C22A2" w14:textId="3E9FF9A4" w:rsidR="00EB19CA" w:rsidRPr="00D462F0" w:rsidRDefault="00EB19CA" w:rsidP="00D462F0">
            <w:pPr>
              <w:jc w:val="both"/>
              <w:rPr>
                <w:rFonts w:asciiTheme="majorHAnsi" w:hAnsiTheme="majorHAnsi" w:cstheme="majorHAnsi"/>
                <w:sz w:val="24"/>
                <w:szCs w:val="24"/>
              </w:rPr>
            </w:pPr>
          </w:p>
        </w:tc>
        <w:tc>
          <w:tcPr>
            <w:tcW w:w="4075" w:type="dxa"/>
          </w:tcPr>
          <w:p w14:paraId="35B9F75A"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3A531009"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em questão estabelece fluxo operacional realização do programa anual de fiscalização. </w:t>
            </w:r>
          </w:p>
          <w:p w14:paraId="1F9B0908"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por se tratar de artigo de natureza administrativa, com efeitos diretos à Previc, o caso se enquadra em não aplicabilidade para a realização de AIR. </w:t>
            </w:r>
          </w:p>
          <w:p w14:paraId="70E9694E" w14:textId="77777777" w:rsidR="00EB19CA" w:rsidRPr="00D462F0" w:rsidRDefault="00EB19CA" w:rsidP="00D462F0">
            <w:pPr>
              <w:jc w:val="both"/>
              <w:rPr>
                <w:rFonts w:asciiTheme="majorHAnsi" w:hAnsiTheme="majorHAnsi" w:cstheme="majorHAnsi"/>
                <w:bCs/>
                <w:sz w:val="24"/>
                <w:szCs w:val="24"/>
              </w:rPr>
            </w:pPr>
          </w:p>
        </w:tc>
      </w:tr>
      <w:tr w:rsidR="00EB19CA" w:rsidRPr="00C93770" w14:paraId="638087DB" w14:textId="77777777" w:rsidTr="1756A420">
        <w:tc>
          <w:tcPr>
            <w:tcW w:w="4074" w:type="dxa"/>
          </w:tcPr>
          <w:p w14:paraId="01549B7F" w14:textId="4475099E"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25DE1794" w14:textId="60B85686"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4º  O relatório anual de execução do programa anual de fiscalização é produzido até o dia 28 de fevereiro e publicado em sítio eletrônico da Previc, após aprovação pela Diretoria Colegiada.</w:t>
            </w:r>
          </w:p>
        </w:tc>
        <w:tc>
          <w:tcPr>
            <w:tcW w:w="4074" w:type="dxa"/>
          </w:tcPr>
          <w:p w14:paraId="2D6CD9C0"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da definição do prazo para apresentação do relatório anual de execução do programa anual de fiscalização</w:t>
            </w:r>
          </w:p>
          <w:p w14:paraId="543B4455" w14:textId="77777777" w:rsidR="00EB19CA" w:rsidRPr="00D462F0" w:rsidRDefault="00EB19CA" w:rsidP="00D462F0">
            <w:pPr>
              <w:jc w:val="both"/>
              <w:rPr>
                <w:rFonts w:asciiTheme="majorHAnsi" w:hAnsiTheme="majorHAnsi" w:cstheme="majorHAnsi"/>
                <w:sz w:val="24"/>
                <w:szCs w:val="24"/>
              </w:rPr>
            </w:pPr>
          </w:p>
        </w:tc>
        <w:tc>
          <w:tcPr>
            <w:tcW w:w="4075" w:type="dxa"/>
          </w:tcPr>
          <w:p w14:paraId="00B965BC" w14:textId="77777777" w:rsidR="00EB19CA" w:rsidRPr="00D462F0" w:rsidRDefault="00EB19CA" w:rsidP="00D462F0">
            <w:pPr>
              <w:jc w:val="both"/>
              <w:rPr>
                <w:rFonts w:asciiTheme="majorHAnsi" w:hAnsiTheme="majorHAnsi" w:cstheme="majorHAnsi"/>
                <w:bCs/>
                <w:sz w:val="24"/>
                <w:szCs w:val="24"/>
              </w:rPr>
            </w:pPr>
          </w:p>
        </w:tc>
      </w:tr>
      <w:tr w:rsidR="008C252E" w:rsidRPr="00C93770" w14:paraId="5D535DC8" w14:textId="77777777" w:rsidTr="1756A420">
        <w:tc>
          <w:tcPr>
            <w:tcW w:w="4074" w:type="dxa"/>
          </w:tcPr>
          <w:p w14:paraId="6145F4E7" w14:textId="67393267" w:rsidR="008C252E" w:rsidRPr="00D462F0" w:rsidRDefault="008C252E"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53D13C0D" w14:textId="6B98A472" w:rsidR="008C252E" w:rsidRPr="00D462F0" w:rsidRDefault="008C252E"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1CF99B69" w14:textId="77777777" w:rsidR="008C252E" w:rsidRPr="00D462F0" w:rsidRDefault="008C252E" w:rsidP="00D462F0">
            <w:pPr>
              <w:jc w:val="both"/>
              <w:rPr>
                <w:rFonts w:asciiTheme="majorHAnsi" w:hAnsiTheme="majorHAnsi" w:cstheme="majorHAnsi"/>
                <w:sz w:val="24"/>
                <w:szCs w:val="24"/>
              </w:rPr>
            </w:pPr>
          </w:p>
        </w:tc>
        <w:tc>
          <w:tcPr>
            <w:tcW w:w="4075" w:type="dxa"/>
          </w:tcPr>
          <w:p w14:paraId="2ECBD912" w14:textId="77777777" w:rsidR="008C252E" w:rsidRPr="00D462F0" w:rsidRDefault="008C252E" w:rsidP="00D462F0">
            <w:pPr>
              <w:jc w:val="both"/>
              <w:rPr>
                <w:rFonts w:asciiTheme="majorHAnsi" w:hAnsiTheme="majorHAnsi" w:cstheme="majorHAnsi"/>
                <w:bCs/>
                <w:sz w:val="24"/>
                <w:szCs w:val="24"/>
              </w:rPr>
            </w:pPr>
          </w:p>
        </w:tc>
      </w:tr>
      <w:tr w:rsidR="00EB19CA" w:rsidRPr="00C93770" w14:paraId="4E5BE5CC" w14:textId="77777777" w:rsidTr="1756A420">
        <w:tc>
          <w:tcPr>
            <w:tcW w:w="4074" w:type="dxa"/>
          </w:tcPr>
          <w:p w14:paraId="659F2A4B" w14:textId="7CA46A31"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240.  Os procedimentos de fiscalização elencados no art. 231, inciso I, com exceção das alíneas “f” e “g”, serão iniciados com ofício emitido pela Chefia do Escritório de Representação da Previc dirigido ao dirigente máximo da EFPC contendo, no mínimo, o seguinte: </w:t>
            </w:r>
          </w:p>
          <w:p w14:paraId="6D8ED819" w14:textId="0280B17C"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 </w:t>
            </w:r>
          </w:p>
        </w:tc>
        <w:tc>
          <w:tcPr>
            <w:tcW w:w="4074" w:type="dxa"/>
          </w:tcPr>
          <w:p w14:paraId="1C053676" w14:textId="4BA30DD6"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240.  Os procedimentos de fiscalização elencados no art. 231, inciso I, com exceção das alíneas “f” e “g”, serão iniciados com ofício emitido  pela </w:t>
            </w:r>
            <w:r w:rsidRPr="00D462F0">
              <w:rPr>
                <w:rFonts w:asciiTheme="majorHAnsi" w:hAnsiTheme="majorHAnsi" w:cstheme="majorHAnsi"/>
                <w:strike/>
                <w:color w:val="EE0000"/>
                <w:sz w:val="24"/>
                <w:szCs w:val="24"/>
              </w:rPr>
              <w:t>Chefia do Escritório de Representação da Previc</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Coordenação-Geral de Fiscalização Direta</w:t>
            </w:r>
            <w:r w:rsidRPr="00D462F0">
              <w:rPr>
                <w:rFonts w:asciiTheme="majorHAnsi" w:hAnsiTheme="majorHAnsi" w:cstheme="majorHAnsi"/>
                <w:bCs/>
                <w:color w:val="000000"/>
                <w:sz w:val="24"/>
                <w:szCs w:val="24"/>
              </w:rPr>
              <w:t xml:space="preserve"> e dirigido ao dirigente máximo da EFPC contendo, no mínimo, o seguinte: </w:t>
            </w:r>
          </w:p>
        </w:tc>
        <w:tc>
          <w:tcPr>
            <w:tcW w:w="4074" w:type="dxa"/>
          </w:tcPr>
          <w:p w14:paraId="48FE285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O ajuste redacional sugerido pela DIFIS visa centralizar a iniciação por ofício dos procedimentos de fiscalização na Coordenação-Geral de Fiscalização Direta e suporte.</w:t>
            </w:r>
          </w:p>
          <w:p w14:paraId="5A9CD14D" w14:textId="4EE52D0D" w:rsidR="00EB19CA" w:rsidRPr="00D462F0" w:rsidRDefault="00EB19CA" w:rsidP="00D462F0">
            <w:pPr>
              <w:jc w:val="both"/>
              <w:rPr>
                <w:rFonts w:asciiTheme="majorHAnsi" w:hAnsiTheme="majorHAnsi" w:cstheme="majorHAnsi"/>
                <w:sz w:val="24"/>
                <w:szCs w:val="24"/>
              </w:rPr>
            </w:pPr>
          </w:p>
          <w:p w14:paraId="0F071E9E" w14:textId="77777777" w:rsidR="00EB19CA" w:rsidRPr="00D462F0" w:rsidRDefault="00EB19CA" w:rsidP="00D462F0">
            <w:pPr>
              <w:jc w:val="both"/>
              <w:rPr>
                <w:rFonts w:asciiTheme="majorHAnsi" w:hAnsiTheme="majorHAnsi" w:cstheme="majorHAnsi"/>
                <w:sz w:val="24"/>
                <w:szCs w:val="24"/>
              </w:rPr>
            </w:pPr>
          </w:p>
        </w:tc>
        <w:tc>
          <w:tcPr>
            <w:tcW w:w="4075" w:type="dxa"/>
          </w:tcPr>
          <w:p w14:paraId="1333A66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3F828A1D"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artigo em questão visa estabelecer instâncias hierárquicas internas de tramitação de processos e designação de atribuições. </w:t>
            </w:r>
          </w:p>
          <w:p w14:paraId="0DF9613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por se tratar de artigo de natureza administrativa, com efeitos diretos à Previc, o caso se enquadra em não aplicabilidade para a realização de AIR. </w:t>
            </w:r>
          </w:p>
          <w:p w14:paraId="1F2E4D65" w14:textId="7F486FE6" w:rsidR="00EB19CA" w:rsidRPr="00D462F0" w:rsidRDefault="00EB19CA" w:rsidP="00D462F0">
            <w:pPr>
              <w:jc w:val="both"/>
              <w:rPr>
                <w:rFonts w:asciiTheme="majorHAnsi" w:hAnsiTheme="majorHAnsi" w:cstheme="majorHAnsi"/>
                <w:bCs/>
                <w:sz w:val="24"/>
                <w:szCs w:val="24"/>
              </w:rPr>
            </w:pPr>
          </w:p>
        </w:tc>
      </w:tr>
      <w:tr w:rsidR="00EB19CA" w:rsidRPr="00C93770" w14:paraId="133D033F" w14:textId="0B63F1A0" w:rsidTr="1756A420">
        <w:tc>
          <w:tcPr>
            <w:tcW w:w="4074" w:type="dxa"/>
          </w:tcPr>
          <w:p w14:paraId="222B2FC3" w14:textId="482DEEA2"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I - designação dos membros da equipe de supervisão; </w:t>
            </w:r>
          </w:p>
          <w:p w14:paraId="02587553" w14:textId="3B261BD5" w:rsidR="00EB19CA" w:rsidRPr="00D462F0" w:rsidRDefault="00EB19CA" w:rsidP="00D462F0">
            <w:pPr>
              <w:jc w:val="both"/>
              <w:rPr>
                <w:rFonts w:asciiTheme="majorHAnsi" w:hAnsiTheme="majorHAnsi" w:cstheme="majorHAnsi"/>
                <w:color w:val="000000"/>
                <w:sz w:val="24"/>
                <w:szCs w:val="24"/>
              </w:rPr>
            </w:pPr>
          </w:p>
        </w:tc>
        <w:tc>
          <w:tcPr>
            <w:tcW w:w="4074" w:type="dxa"/>
          </w:tcPr>
          <w:p w14:paraId="441E6996" w14:textId="21E78D70"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I - designação dos membros da </w:t>
            </w:r>
            <w:r w:rsidRPr="00D462F0">
              <w:rPr>
                <w:rFonts w:asciiTheme="majorHAnsi" w:hAnsiTheme="majorHAnsi" w:cstheme="majorHAnsi"/>
                <w:bCs/>
                <w:color w:val="0000FF"/>
                <w:sz w:val="24"/>
                <w:szCs w:val="24"/>
              </w:rPr>
              <w:t>equipe fiscal;</w:t>
            </w:r>
            <w:r w:rsidRPr="00D462F0">
              <w:rPr>
                <w:rFonts w:asciiTheme="majorHAnsi" w:hAnsiTheme="majorHAnsi" w:cstheme="majorHAnsi"/>
                <w:bCs/>
                <w:strike/>
                <w:color w:val="EE0000"/>
                <w:sz w:val="24"/>
                <w:szCs w:val="24"/>
              </w:rPr>
              <w:t xml:space="preserve"> </w:t>
            </w:r>
          </w:p>
          <w:p w14:paraId="1699A4B5" w14:textId="06EC41E7" w:rsidR="00EB19CA" w:rsidRPr="00D462F0" w:rsidRDefault="00EB19CA" w:rsidP="00D462F0">
            <w:pPr>
              <w:jc w:val="both"/>
              <w:rPr>
                <w:rFonts w:asciiTheme="majorHAnsi" w:hAnsiTheme="majorHAnsi" w:cstheme="majorHAnsi"/>
                <w:bCs/>
                <w:color w:val="000000"/>
                <w:sz w:val="24"/>
                <w:szCs w:val="24"/>
              </w:rPr>
            </w:pPr>
          </w:p>
        </w:tc>
        <w:tc>
          <w:tcPr>
            <w:tcW w:w="4074" w:type="dxa"/>
          </w:tcPr>
          <w:p w14:paraId="1F506609" w14:textId="30A8E062" w:rsidR="00EB19CA" w:rsidRPr="00D462F0" w:rsidRDefault="00EB19CA" w:rsidP="00D462F0">
            <w:pPr>
              <w:jc w:val="both"/>
              <w:rPr>
                <w:rFonts w:asciiTheme="majorHAnsi" w:hAnsiTheme="majorHAnsi" w:cstheme="majorHAnsi"/>
                <w:sz w:val="24"/>
                <w:szCs w:val="24"/>
              </w:rPr>
            </w:pPr>
          </w:p>
        </w:tc>
        <w:tc>
          <w:tcPr>
            <w:tcW w:w="4075" w:type="dxa"/>
          </w:tcPr>
          <w:p w14:paraId="6A672D2D" w14:textId="59B4E28C" w:rsidR="00EB19CA" w:rsidRPr="00D462F0" w:rsidRDefault="00EB19CA" w:rsidP="00D462F0">
            <w:pPr>
              <w:jc w:val="both"/>
              <w:rPr>
                <w:rFonts w:asciiTheme="majorHAnsi" w:hAnsiTheme="majorHAnsi" w:cstheme="majorHAnsi"/>
                <w:bCs/>
                <w:sz w:val="24"/>
                <w:szCs w:val="24"/>
              </w:rPr>
            </w:pPr>
          </w:p>
        </w:tc>
      </w:tr>
      <w:tr w:rsidR="00BC6F01" w:rsidRPr="00C93770" w:rsidDel="00BC6F01" w14:paraId="7541152C" w14:textId="77777777" w:rsidTr="1756A420">
        <w:tc>
          <w:tcPr>
            <w:tcW w:w="4074" w:type="dxa"/>
          </w:tcPr>
          <w:p w14:paraId="099CCC6E" w14:textId="49FF4169" w:rsidR="00BC6F01" w:rsidRPr="00D462F0" w:rsidDel="00BC6F01" w:rsidRDefault="00BC6F01"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5F5B45AA" w14:textId="51D50F19" w:rsidR="00BC6F01" w:rsidRPr="00D462F0" w:rsidDel="00BC6F01" w:rsidRDefault="00BC6F01"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4B8C8351" w14:textId="77777777" w:rsidR="00BC6F01" w:rsidRPr="00D462F0" w:rsidDel="00BC6F01" w:rsidRDefault="00BC6F01" w:rsidP="00D462F0">
            <w:pPr>
              <w:jc w:val="both"/>
              <w:rPr>
                <w:rFonts w:asciiTheme="majorHAnsi" w:hAnsiTheme="majorHAnsi" w:cstheme="majorHAnsi"/>
                <w:sz w:val="24"/>
                <w:szCs w:val="24"/>
              </w:rPr>
            </w:pPr>
          </w:p>
        </w:tc>
        <w:tc>
          <w:tcPr>
            <w:tcW w:w="4075" w:type="dxa"/>
          </w:tcPr>
          <w:p w14:paraId="68969E3A" w14:textId="77777777" w:rsidR="00BC6F01" w:rsidRPr="00D462F0" w:rsidDel="00BC6F01" w:rsidRDefault="00BC6F01" w:rsidP="00D462F0">
            <w:pPr>
              <w:jc w:val="both"/>
              <w:rPr>
                <w:rFonts w:asciiTheme="majorHAnsi" w:hAnsiTheme="majorHAnsi" w:cstheme="majorHAnsi"/>
                <w:bCs/>
                <w:sz w:val="24"/>
                <w:szCs w:val="24"/>
              </w:rPr>
            </w:pPr>
          </w:p>
        </w:tc>
      </w:tr>
      <w:tr w:rsidR="00EB19CA" w:rsidRPr="00C93770" w14:paraId="1A9257CC" w14:textId="77777777" w:rsidTr="1756A420">
        <w:tc>
          <w:tcPr>
            <w:tcW w:w="4074" w:type="dxa"/>
          </w:tcPr>
          <w:p w14:paraId="677CAF88"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 2º  O acompanhamento da ação fiscal será exercido pelo Escritório de Representação da Previc responsável pela equipe de supervisão, reportando </w:t>
            </w:r>
            <w:r w:rsidRPr="00D462F0">
              <w:rPr>
                <w:rFonts w:asciiTheme="majorHAnsi" w:hAnsiTheme="majorHAnsi" w:cstheme="majorHAnsi"/>
                <w:color w:val="000000"/>
                <w:sz w:val="24"/>
                <w:szCs w:val="24"/>
              </w:rPr>
              <w:lastRenderedPageBreak/>
              <w:t xml:space="preserve">ao Diretor de Fiscalização e Monitoramento quaisquer dificuldades ou embaraços opostos à ação fiscal. (Redação dada pela Resolução Previc nº 25, de 15 de outubro de 2024) </w:t>
            </w:r>
          </w:p>
          <w:p w14:paraId="2C17AAF9" w14:textId="7C607AD8" w:rsidR="00EB19CA" w:rsidRPr="00D462F0" w:rsidRDefault="00EB19CA" w:rsidP="00D462F0">
            <w:pPr>
              <w:jc w:val="both"/>
              <w:rPr>
                <w:rFonts w:asciiTheme="majorHAnsi" w:hAnsiTheme="majorHAnsi" w:cstheme="majorHAnsi"/>
                <w:color w:val="000000"/>
                <w:sz w:val="24"/>
                <w:szCs w:val="24"/>
              </w:rPr>
            </w:pPr>
          </w:p>
        </w:tc>
        <w:tc>
          <w:tcPr>
            <w:tcW w:w="4074" w:type="dxa"/>
          </w:tcPr>
          <w:p w14:paraId="696514CD" w14:textId="0578793A"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lastRenderedPageBreak/>
              <w:t xml:space="preserve">§ 2º  O acompanhamento da ação fiscal será exercido </w:t>
            </w:r>
            <w:r w:rsidRPr="00D462F0">
              <w:rPr>
                <w:rFonts w:asciiTheme="majorHAnsi" w:hAnsiTheme="majorHAnsi" w:cstheme="majorHAnsi"/>
                <w:strike/>
                <w:color w:val="EE0000"/>
                <w:sz w:val="24"/>
                <w:szCs w:val="24"/>
              </w:rPr>
              <w:t>pelo Escritório de Representação da Previc</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 xml:space="preserve">pela Coordenação-Geral de Fiscalização </w:t>
            </w:r>
            <w:r w:rsidRPr="00D462F0">
              <w:rPr>
                <w:rFonts w:asciiTheme="majorHAnsi" w:hAnsiTheme="majorHAnsi" w:cstheme="majorHAnsi"/>
                <w:bCs/>
                <w:color w:val="0000FF"/>
                <w:sz w:val="24"/>
                <w:szCs w:val="24"/>
              </w:rPr>
              <w:lastRenderedPageBreak/>
              <w:t>Direta</w:t>
            </w:r>
            <w:r w:rsidRPr="00D462F0">
              <w:rPr>
                <w:rFonts w:asciiTheme="majorHAnsi" w:hAnsiTheme="majorHAnsi" w:cstheme="majorHAnsi"/>
                <w:bCs/>
                <w:color w:val="000000"/>
                <w:sz w:val="24"/>
                <w:szCs w:val="24"/>
              </w:rPr>
              <w:t>, reportando ao Diretor de Fiscalização e Monitoramento quaisquer dificuldades ou embaraços opostos à ação fiscal.</w:t>
            </w:r>
          </w:p>
          <w:p w14:paraId="2306D42C" w14:textId="0527A770" w:rsidR="00EB19CA" w:rsidRPr="00D462F0" w:rsidRDefault="00EB19CA" w:rsidP="00D462F0">
            <w:pPr>
              <w:jc w:val="both"/>
              <w:rPr>
                <w:rFonts w:asciiTheme="majorHAnsi" w:hAnsiTheme="majorHAnsi" w:cstheme="majorHAnsi"/>
                <w:bCs/>
                <w:color w:val="000000"/>
                <w:sz w:val="24"/>
                <w:szCs w:val="24"/>
              </w:rPr>
            </w:pPr>
          </w:p>
        </w:tc>
        <w:tc>
          <w:tcPr>
            <w:tcW w:w="4074" w:type="dxa"/>
          </w:tcPr>
          <w:p w14:paraId="58065AEC" w14:textId="77777777" w:rsidR="00EB19CA" w:rsidRPr="00D462F0" w:rsidRDefault="00EB19CA" w:rsidP="00D462F0">
            <w:pPr>
              <w:jc w:val="both"/>
              <w:rPr>
                <w:rFonts w:asciiTheme="majorHAnsi" w:hAnsiTheme="majorHAnsi" w:cstheme="majorHAnsi"/>
                <w:sz w:val="24"/>
                <w:szCs w:val="24"/>
              </w:rPr>
            </w:pPr>
          </w:p>
        </w:tc>
        <w:tc>
          <w:tcPr>
            <w:tcW w:w="4075" w:type="dxa"/>
          </w:tcPr>
          <w:p w14:paraId="06DAFFC2" w14:textId="77777777" w:rsidR="00EB19CA" w:rsidRPr="00D462F0" w:rsidRDefault="00EB19CA" w:rsidP="00D462F0">
            <w:pPr>
              <w:jc w:val="both"/>
              <w:rPr>
                <w:rFonts w:asciiTheme="majorHAnsi" w:hAnsiTheme="majorHAnsi" w:cstheme="majorHAnsi"/>
                <w:bCs/>
                <w:sz w:val="24"/>
                <w:szCs w:val="24"/>
              </w:rPr>
            </w:pPr>
          </w:p>
        </w:tc>
      </w:tr>
      <w:tr w:rsidR="00EB19CA" w:rsidRPr="00C93770" w14:paraId="58BCB61D" w14:textId="77777777" w:rsidTr="1756A420">
        <w:tc>
          <w:tcPr>
            <w:tcW w:w="4074" w:type="dxa"/>
          </w:tcPr>
          <w:p w14:paraId="1C0BEF76" w14:textId="1C5598FF"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3º  Caso seja verificada a impossibilidade de encerrar a ação fiscal no prazo previsto, a equipe de supervisão deverá encaminhar a sua chefia pedido de prorrogação fundamentado, com antecedência mínima de cinco dias úteis do termo fixado para o término dos trabalhos, indicando o novo prazo necessário para a sua conclusão.</w:t>
            </w:r>
          </w:p>
        </w:tc>
        <w:tc>
          <w:tcPr>
            <w:tcW w:w="4074" w:type="dxa"/>
          </w:tcPr>
          <w:p w14:paraId="10EE3545" w14:textId="6DBE160A"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 3º  Caso seja verificada a impossibilidade de encerrar a ação fiscal no prazo previsto, a equipe </w:t>
            </w:r>
            <w:r w:rsidRPr="00D462F0">
              <w:rPr>
                <w:rFonts w:asciiTheme="majorHAnsi" w:hAnsiTheme="majorHAnsi" w:cstheme="majorHAnsi"/>
                <w:bCs/>
                <w:strike/>
                <w:color w:val="EE0000"/>
                <w:sz w:val="24"/>
                <w:szCs w:val="24"/>
              </w:rPr>
              <w:t>de fiscalização</w:t>
            </w:r>
            <w:r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FF"/>
                <w:sz w:val="24"/>
                <w:szCs w:val="24"/>
              </w:rPr>
              <w:t>fiscal</w:t>
            </w:r>
            <w:r w:rsidRPr="00D462F0">
              <w:rPr>
                <w:rFonts w:asciiTheme="majorHAnsi" w:hAnsiTheme="majorHAnsi" w:cstheme="majorHAnsi"/>
                <w:bCs/>
                <w:color w:val="000000"/>
                <w:sz w:val="24"/>
                <w:szCs w:val="24"/>
              </w:rPr>
              <w:t xml:space="preserve"> deverá encaminhar a sua chefia pedido de prorrogação fundamentado, com antecedência mínima de cinco dias úteis do termo fixado para o término dos trabalhos, indicando o novo prazo necessário para a sua conclusão.</w:t>
            </w:r>
          </w:p>
        </w:tc>
        <w:tc>
          <w:tcPr>
            <w:tcW w:w="4074" w:type="dxa"/>
          </w:tcPr>
          <w:p w14:paraId="1D7E62C6" w14:textId="77777777" w:rsidR="00EB19CA" w:rsidRPr="00D462F0" w:rsidRDefault="00EB19CA" w:rsidP="00D462F0">
            <w:pPr>
              <w:jc w:val="both"/>
              <w:rPr>
                <w:rFonts w:asciiTheme="majorHAnsi" w:hAnsiTheme="majorHAnsi" w:cstheme="majorHAnsi"/>
                <w:sz w:val="24"/>
                <w:szCs w:val="24"/>
              </w:rPr>
            </w:pPr>
          </w:p>
        </w:tc>
        <w:tc>
          <w:tcPr>
            <w:tcW w:w="4075" w:type="dxa"/>
          </w:tcPr>
          <w:p w14:paraId="149FFD14" w14:textId="77777777" w:rsidR="00EB19CA" w:rsidRPr="00D462F0" w:rsidRDefault="00EB19CA" w:rsidP="00D462F0">
            <w:pPr>
              <w:jc w:val="both"/>
              <w:rPr>
                <w:rFonts w:asciiTheme="majorHAnsi" w:hAnsiTheme="majorHAnsi" w:cstheme="majorHAnsi"/>
                <w:bCs/>
                <w:sz w:val="24"/>
                <w:szCs w:val="24"/>
              </w:rPr>
            </w:pPr>
          </w:p>
        </w:tc>
      </w:tr>
      <w:tr w:rsidR="00EB19CA" w:rsidRPr="00C93770" w14:paraId="099EBD25" w14:textId="77777777" w:rsidTr="1756A420">
        <w:tc>
          <w:tcPr>
            <w:tcW w:w="4074" w:type="dxa"/>
          </w:tcPr>
          <w:p w14:paraId="775B418E" w14:textId="1538533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4º  A Chefia do Escritório de Representação deverá encaminhar à Coordenação-Geral de Fiscalização Direta - CGFD cópia do ofício de início do procedimento fiscal e suas eventuais alterações posteriores, no prazo de até cinco dias úteis.</w:t>
            </w:r>
          </w:p>
        </w:tc>
        <w:tc>
          <w:tcPr>
            <w:tcW w:w="4074" w:type="dxa"/>
          </w:tcPr>
          <w:p w14:paraId="02EEE218" w14:textId="4182BA0B"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EE0000"/>
                <w:sz w:val="24"/>
                <w:szCs w:val="24"/>
              </w:rPr>
              <w:t>Revogar</w:t>
            </w:r>
          </w:p>
        </w:tc>
        <w:tc>
          <w:tcPr>
            <w:tcW w:w="4074" w:type="dxa"/>
          </w:tcPr>
          <w:p w14:paraId="21646FCA" w14:textId="3B7E35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Necessário diante dos ajustes nas competências da Coordenação-Geral de Fiscalização Direta nos procedimentos detalhados no art. 240.</w:t>
            </w:r>
          </w:p>
        </w:tc>
        <w:tc>
          <w:tcPr>
            <w:tcW w:w="4075" w:type="dxa"/>
          </w:tcPr>
          <w:p w14:paraId="02C40CD9"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362D816D" w14:textId="36A8DC4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artigo ocorre em consequência do estabelecimento de instâncias hierárquicas internas de tramitação de processos e designação de atribuições, tratados no texto da atualização da referida norma. </w:t>
            </w:r>
          </w:p>
          <w:p w14:paraId="25214D49" w14:textId="427BA5A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por se tratar de artigo de natureza administrativa, com efeitos diretos à Previc, o caso se enquadra em não aplicabilidade para a realização de AIR. </w:t>
            </w:r>
          </w:p>
        </w:tc>
      </w:tr>
      <w:tr w:rsidR="000A1A4B" w:rsidRPr="00C93770" w14:paraId="2EEC7542" w14:textId="77777777" w:rsidTr="1756A420">
        <w:tc>
          <w:tcPr>
            <w:tcW w:w="4074" w:type="dxa"/>
          </w:tcPr>
          <w:p w14:paraId="1FDC7667" w14:textId="57C4A507" w:rsidR="000A1A4B" w:rsidRPr="00D462F0" w:rsidRDefault="000A1A4B"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67B71772" w14:textId="23A49EF5" w:rsidR="000A1A4B" w:rsidRPr="00D462F0" w:rsidRDefault="000A1A4B"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760B5BEF" w14:textId="77777777" w:rsidR="000A1A4B" w:rsidRPr="00D462F0" w:rsidRDefault="000A1A4B" w:rsidP="00D462F0">
            <w:pPr>
              <w:jc w:val="both"/>
              <w:rPr>
                <w:rFonts w:asciiTheme="majorHAnsi" w:hAnsiTheme="majorHAnsi" w:cstheme="majorHAnsi"/>
                <w:sz w:val="24"/>
                <w:szCs w:val="24"/>
              </w:rPr>
            </w:pPr>
          </w:p>
        </w:tc>
        <w:tc>
          <w:tcPr>
            <w:tcW w:w="4075" w:type="dxa"/>
          </w:tcPr>
          <w:p w14:paraId="2CD2D2C4" w14:textId="77777777" w:rsidR="000A1A4B" w:rsidRPr="00D462F0" w:rsidRDefault="000A1A4B" w:rsidP="00D462F0">
            <w:pPr>
              <w:jc w:val="both"/>
              <w:rPr>
                <w:rFonts w:asciiTheme="majorHAnsi" w:hAnsiTheme="majorHAnsi" w:cstheme="majorHAnsi"/>
                <w:bCs/>
                <w:sz w:val="24"/>
                <w:szCs w:val="24"/>
              </w:rPr>
            </w:pPr>
          </w:p>
        </w:tc>
      </w:tr>
      <w:tr w:rsidR="00EB19CA" w:rsidRPr="00C93770" w14:paraId="6D9F7458" w14:textId="77777777" w:rsidTr="1756A420">
        <w:tc>
          <w:tcPr>
            <w:tcW w:w="4074" w:type="dxa"/>
          </w:tcPr>
          <w:p w14:paraId="082EAFF2" w14:textId="64F95E7D"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242.  Os procedimentos de fiscalização elencados no art. 231, inciso I, com exceção das alíneas “f” e “g”, serão encerrados com a entrega de Relatório de Fiscalização, que deverá apresentar pelo menos uma das conclusões abaixo indicadas: </w:t>
            </w:r>
          </w:p>
        </w:tc>
        <w:tc>
          <w:tcPr>
            <w:tcW w:w="4074" w:type="dxa"/>
          </w:tcPr>
          <w:p w14:paraId="02208F7D" w14:textId="51D70F9C"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242.  </w:t>
            </w:r>
            <w:r w:rsidR="00BC6F01" w:rsidRPr="00D462F0">
              <w:rPr>
                <w:rFonts w:asciiTheme="majorHAnsi" w:hAnsiTheme="majorHAnsi" w:cstheme="majorHAnsi"/>
                <w:bCs/>
                <w:color w:val="000000"/>
                <w:sz w:val="24"/>
                <w:szCs w:val="24"/>
              </w:rPr>
              <w:t>...</w:t>
            </w:r>
          </w:p>
        </w:tc>
        <w:tc>
          <w:tcPr>
            <w:tcW w:w="4074" w:type="dxa"/>
          </w:tcPr>
          <w:p w14:paraId="362D6735" w14:textId="41DA1C97" w:rsidR="00EB19CA" w:rsidRPr="00D462F0" w:rsidRDefault="00BC6F0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06DD29F6" w14:textId="3ED0A9A9" w:rsidR="00EB19CA" w:rsidRPr="00D462F0" w:rsidRDefault="00EB19CA" w:rsidP="00D462F0">
            <w:pPr>
              <w:jc w:val="both"/>
              <w:rPr>
                <w:rFonts w:asciiTheme="majorHAnsi" w:hAnsiTheme="majorHAnsi" w:cstheme="majorHAnsi"/>
                <w:bCs/>
                <w:sz w:val="24"/>
                <w:szCs w:val="24"/>
              </w:rPr>
            </w:pPr>
          </w:p>
        </w:tc>
      </w:tr>
      <w:tr w:rsidR="000A1A4B" w:rsidRPr="00C93770" w14:paraId="7E098EE4" w14:textId="77777777" w:rsidTr="1756A420">
        <w:tc>
          <w:tcPr>
            <w:tcW w:w="4074" w:type="dxa"/>
          </w:tcPr>
          <w:p w14:paraId="47C350EE" w14:textId="337EA3A0" w:rsidR="000A1A4B" w:rsidRPr="00D462F0" w:rsidRDefault="000A1A4B" w:rsidP="004E06F1">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B04A23D" w14:textId="04B632F9" w:rsidR="000A1A4B" w:rsidRPr="00D462F0" w:rsidRDefault="000A1A4B" w:rsidP="004E06F1">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6BD0C796" w14:textId="77777777" w:rsidR="000A1A4B" w:rsidRPr="00D462F0" w:rsidRDefault="000A1A4B" w:rsidP="00D462F0">
            <w:pPr>
              <w:jc w:val="both"/>
              <w:rPr>
                <w:rFonts w:asciiTheme="majorHAnsi" w:hAnsiTheme="majorHAnsi" w:cstheme="majorHAnsi"/>
                <w:sz w:val="24"/>
                <w:szCs w:val="24"/>
              </w:rPr>
            </w:pPr>
          </w:p>
        </w:tc>
        <w:tc>
          <w:tcPr>
            <w:tcW w:w="4075" w:type="dxa"/>
          </w:tcPr>
          <w:p w14:paraId="4385C5FF" w14:textId="77777777" w:rsidR="000A1A4B" w:rsidRPr="00D462F0" w:rsidRDefault="000A1A4B" w:rsidP="00D462F0">
            <w:pPr>
              <w:jc w:val="both"/>
              <w:rPr>
                <w:rFonts w:asciiTheme="majorHAnsi" w:hAnsiTheme="majorHAnsi" w:cstheme="majorHAnsi"/>
                <w:bCs/>
                <w:sz w:val="24"/>
                <w:szCs w:val="24"/>
              </w:rPr>
            </w:pPr>
          </w:p>
        </w:tc>
      </w:tr>
      <w:tr w:rsidR="00EB19CA" w:rsidRPr="00C93770" w14:paraId="4C69B248" w14:textId="77777777" w:rsidTr="1756A420">
        <w:tc>
          <w:tcPr>
            <w:tcW w:w="4074" w:type="dxa"/>
          </w:tcPr>
          <w:p w14:paraId="3CD995BF" w14:textId="2B1F63FD"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 xml:space="preserve">IX - </w:t>
            </w:r>
            <w:r w:rsidRPr="00D462F0">
              <w:rPr>
                <w:rFonts w:asciiTheme="majorHAnsi" w:hAnsiTheme="majorHAnsi" w:cstheme="majorHAnsi"/>
                <w:bCs/>
                <w:color w:val="000000"/>
                <w:sz w:val="24"/>
                <w:szCs w:val="24"/>
              </w:rPr>
              <w:t>emissão de</w:t>
            </w:r>
            <w:r w:rsidRPr="00D462F0">
              <w:rPr>
                <w:rFonts w:asciiTheme="majorHAnsi" w:hAnsiTheme="majorHAnsi" w:cstheme="majorHAnsi"/>
                <w:color w:val="000000"/>
                <w:sz w:val="24"/>
                <w:szCs w:val="24"/>
              </w:rPr>
              <w:t xml:space="preserve"> auto de infração.</w:t>
            </w:r>
          </w:p>
          <w:p w14:paraId="514B29B3" w14:textId="57D95575" w:rsidR="00EB19CA" w:rsidRPr="00D462F0" w:rsidRDefault="00EB19CA" w:rsidP="00D462F0">
            <w:pPr>
              <w:jc w:val="both"/>
              <w:rPr>
                <w:rFonts w:asciiTheme="majorHAnsi" w:hAnsiTheme="majorHAnsi" w:cstheme="majorHAnsi"/>
                <w:color w:val="000000"/>
                <w:sz w:val="24"/>
                <w:szCs w:val="24"/>
              </w:rPr>
            </w:pPr>
          </w:p>
        </w:tc>
        <w:tc>
          <w:tcPr>
            <w:tcW w:w="4074" w:type="dxa"/>
          </w:tcPr>
          <w:p w14:paraId="0839EFDF" w14:textId="718863C9"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IX – </w:t>
            </w:r>
            <w:r w:rsidRPr="00D462F0">
              <w:rPr>
                <w:rFonts w:asciiTheme="majorHAnsi" w:hAnsiTheme="majorHAnsi" w:cstheme="majorHAnsi"/>
                <w:bCs/>
                <w:strike/>
                <w:color w:val="EE0000"/>
                <w:sz w:val="24"/>
                <w:szCs w:val="24"/>
              </w:rPr>
              <w:t>emissão de</w:t>
            </w:r>
            <w:r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FF"/>
                <w:sz w:val="24"/>
                <w:szCs w:val="24"/>
              </w:rPr>
              <w:t>proposta de lavratura</w:t>
            </w:r>
            <w:r w:rsidRPr="00D462F0">
              <w:rPr>
                <w:rFonts w:asciiTheme="majorHAnsi" w:hAnsiTheme="majorHAnsi" w:cstheme="majorHAnsi"/>
                <w:bCs/>
                <w:color w:val="000000"/>
                <w:sz w:val="24"/>
                <w:szCs w:val="24"/>
              </w:rPr>
              <w:t xml:space="preserve"> de auto de infração.</w:t>
            </w:r>
          </w:p>
          <w:p w14:paraId="4B8B8AF9" w14:textId="77777777" w:rsidR="00EB19CA" w:rsidRPr="00D462F0" w:rsidRDefault="00EB19CA" w:rsidP="00D462F0">
            <w:pPr>
              <w:jc w:val="both"/>
              <w:rPr>
                <w:rFonts w:asciiTheme="majorHAnsi" w:hAnsiTheme="majorHAnsi" w:cstheme="majorHAnsi"/>
                <w:bCs/>
                <w:color w:val="000000"/>
                <w:sz w:val="24"/>
                <w:szCs w:val="24"/>
              </w:rPr>
            </w:pPr>
          </w:p>
        </w:tc>
        <w:tc>
          <w:tcPr>
            <w:tcW w:w="4074" w:type="dxa"/>
          </w:tcPr>
          <w:p w14:paraId="7ED470E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Ajustes redacionais.</w:t>
            </w:r>
          </w:p>
          <w:p w14:paraId="36FC21C3"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Esclarecimento que o conhecimento do teor do Relatório de Fiscalização é prévio.</w:t>
            </w:r>
          </w:p>
          <w:p w14:paraId="435F4F38" w14:textId="77777777" w:rsidR="00EB19CA" w:rsidRPr="00D462F0" w:rsidRDefault="00EB19CA" w:rsidP="00D462F0">
            <w:pPr>
              <w:jc w:val="both"/>
              <w:rPr>
                <w:rFonts w:asciiTheme="majorHAnsi" w:hAnsiTheme="majorHAnsi" w:cstheme="majorHAnsi"/>
                <w:sz w:val="24"/>
                <w:szCs w:val="24"/>
              </w:rPr>
            </w:pPr>
          </w:p>
        </w:tc>
        <w:tc>
          <w:tcPr>
            <w:tcW w:w="4075" w:type="dxa"/>
          </w:tcPr>
          <w:p w14:paraId="28E9C6D0"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artigo ocorre em consequência do estabelecimento de instâncias hierárquicas internas de tramitação de processos e designação de atribuições, tratados no texto da atualização da referida norma. </w:t>
            </w:r>
          </w:p>
          <w:p w14:paraId="2B7CEC10"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por se tratar de artigo de natureza administrativa, com efeitos diretos à Previc, o caso se enquadra em não aplicabilidade para a realização de AIR. </w:t>
            </w:r>
          </w:p>
          <w:p w14:paraId="3A6EEC3D" w14:textId="77777777" w:rsidR="00EB19CA" w:rsidRPr="00D462F0" w:rsidRDefault="00EB19CA" w:rsidP="00D462F0">
            <w:pPr>
              <w:jc w:val="both"/>
              <w:rPr>
                <w:rFonts w:asciiTheme="majorHAnsi" w:hAnsiTheme="majorHAnsi" w:cstheme="majorHAnsi"/>
                <w:bCs/>
                <w:sz w:val="24"/>
                <w:szCs w:val="24"/>
              </w:rPr>
            </w:pPr>
          </w:p>
        </w:tc>
      </w:tr>
      <w:tr w:rsidR="00EB19CA" w:rsidRPr="00C93770" w14:paraId="4B11393E" w14:textId="77777777" w:rsidTr="1756A420">
        <w:tc>
          <w:tcPr>
            <w:tcW w:w="4074" w:type="dxa"/>
          </w:tcPr>
          <w:p w14:paraId="27AA0CE3" w14:textId="38E0AB02"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1º  A Coordenação-Geral de Fiscalização Direta e o Diretor de Fiscalização e Monitoramento deverão ter conhecimento do teor do Relatório de Fiscalização.</w:t>
            </w:r>
          </w:p>
        </w:tc>
        <w:tc>
          <w:tcPr>
            <w:tcW w:w="4074" w:type="dxa"/>
          </w:tcPr>
          <w:p w14:paraId="41BD3822" w14:textId="660B8267"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 1º  A Coordenação-Geral de Fiscalização Direta e o Diretor de Fiscalização e Monitoramento deverão ter conhecimento </w:t>
            </w:r>
            <w:r w:rsidRPr="00D462F0">
              <w:rPr>
                <w:rFonts w:asciiTheme="majorHAnsi" w:hAnsiTheme="majorHAnsi" w:cstheme="majorHAnsi"/>
                <w:bCs/>
                <w:color w:val="0000FF"/>
                <w:sz w:val="24"/>
                <w:szCs w:val="24"/>
              </w:rPr>
              <w:t>prévio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00"/>
                <w:sz w:val="24"/>
                <w:szCs w:val="24"/>
              </w:rPr>
              <w:t>do teor do Relatório de Fiscalização.</w:t>
            </w:r>
          </w:p>
        </w:tc>
        <w:tc>
          <w:tcPr>
            <w:tcW w:w="4074" w:type="dxa"/>
          </w:tcPr>
          <w:p w14:paraId="131F37C3" w14:textId="77777777" w:rsidR="00EB19CA" w:rsidRPr="00D462F0" w:rsidRDefault="00EB19CA" w:rsidP="00D462F0">
            <w:pPr>
              <w:jc w:val="both"/>
              <w:rPr>
                <w:rFonts w:asciiTheme="majorHAnsi" w:hAnsiTheme="majorHAnsi" w:cstheme="majorHAnsi"/>
                <w:sz w:val="24"/>
                <w:szCs w:val="24"/>
              </w:rPr>
            </w:pPr>
          </w:p>
        </w:tc>
        <w:tc>
          <w:tcPr>
            <w:tcW w:w="4075" w:type="dxa"/>
          </w:tcPr>
          <w:p w14:paraId="60FC6589"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2FAAEB4A" w14:textId="77777777" w:rsidR="00EB19CA" w:rsidRPr="00D462F0" w:rsidRDefault="00EB19CA" w:rsidP="00D462F0">
            <w:pPr>
              <w:jc w:val="both"/>
              <w:rPr>
                <w:rFonts w:asciiTheme="majorHAnsi" w:hAnsiTheme="majorHAnsi" w:cstheme="majorHAnsi"/>
                <w:bCs/>
                <w:sz w:val="24"/>
                <w:szCs w:val="24"/>
              </w:rPr>
            </w:pPr>
          </w:p>
        </w:tc>
      </w:tr>
      <w:tr w:rsidR="000A1A4B" w:rsidRPr="00C93770" w14:paraId="17EE4EAB" w14:textId="77777777" w:rsidTr="1756A420">
        <w:tc>
          <w:tcPr>
            <w:tcW w:w="4074" w:type="dxa"/>
          </w:tcPr>
          <w:p w14:paraId="1AEAF8FF" w14:textId="6C4341A8" w:rsidR="000A1A4B" w:rsidRPr="00D462F0" w:rsidRDefault="000A1A4B"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435F1FDC" w14:textId="1B74D619" w:rsidR="000A1A4B" w:rsidRPr="00D462F0" w:rsidRDefault="000A1A4B"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335610DE" w14:textId="77777777" w:rsidR="000A1A4B" w:rsidRPr="00D462F0" w:rsidRDefault="000A1A4B" w:rsidP="00D462F0">
            <w:pPr>
              <w:jc w:val="both"/>
              <w:rPr>
                <w:rFonts w:asciiTheme="majorHAnsi" w:hAnsiTheme="majorHAnsi" w:cstheme="majorHAnsi"/>
                <w:sz w:val="24"/>
                <w:szCs w:val="24"/>
              </w:rPr>
            </w:pPr>
          </w:p>
        </w:tc>
        <w:tc>
          <w:tcPr>
            <w:tcW w:w="4075" w:type="dxa"/>
          </w:tcPr>
          <w:p w14:paraId="07D1D53E" w14:textId="77777777" w:rsidR="000A1A4B" w:rsidRPr="00D462F0" w:rsidRDefault="000A1A4B" w:rsidP="00D462F0">
            <w:pPr>
              <w:jc w:val="both"/>
              <w:rPr>
                <w:rFonts w:asciiTheme="majorHAnsi" w:hAnsiTheme="majorHAnsi" w:cstheme="majorHAnsi"/>
                <w:bCs/>
                <w:sz w:val="24"/>
                <w:szCs w:val="24"/>
              </w:rPr>
            </w:pPr>
          </w:p>
        </w:tc>
      </w:tr>
      <w:tr w:rsidR="00EB19CA" w:rsidRPr="00C93770" w14:paraId="362E7F7C" w14:textId="77777777" w:rsidTr="1756A420">
        <w:tc>
          <w:tcPr>
            <w:tcW w:w="4074" w:type="dxa"/>
          </w:tcPr>
          <w:p w14:paraId="43F21440" w14:textId="4219C7FB"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246. </w:t>
            </w:r>
            <w:r w:rsidR="00E4154A"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A equipe de fiscalização deverá, sempre que possível, diligenciar no sentido de obter </w:t>
            </w:r>
            <w:r w:rsidRPr="00D462F0">
              <w:rPr>
                <w:rFonts w:asciiTheme="majorHAnsi" w:hAnsiTheme="majorHAnsi" w:cstheme="majorHAnsi"/>
                <w:bCs/>
                <w:color w:val="000000"/>
                <w:sz w:val="24"/>
                <w:szCs w:val="24"/>
              </w:rPr>
              <w:t>diretamente do investigado esclarecimento</w:t>
            </w:r>
            <w:r w:rsidRPr="00D462F0">
              <w:rPr>
                <w:rFonts w:asciiTheme="majorHAnsi" w:hAnsiTheme="majorHAnsi" w:cstheme="majorHAnsi"/>
                <w:color w:val="000000"/>
                <w:sz w:val="24"/>
                <w:szCs w:val="24"/>
              </w:rPr>
              <w:t xml:space="preserve"> sobre os fatos que podem ser a ele imputados.</w:t>
            </w:r>
          </w:p>
        </w:tc>
        <w:tc>
          <w:tcPr>
            <w:tcW w:w="4074" w:type="dxa"/>
          </w:tcPr>
          <w:p w14:paraId="38FFB5FD" w14:textId="6603B72B"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246. </w:t>
            </w:r>
            <w:r w:rsidR="00E4154A"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00"/>
                <w:sz w:val="24"/>
                <w:szCs w:val="24"/>
              </w:rPr>
              <w:t xml:space="preserve">A equipe de fiscalização deverá, sempre que possível, diligenciar no sentido de obter </w:t>
            </w:r>
            <w:r w:rsidRPr="00D462F0">
              <w:rPr>
                <w:rFonts w:asciiTheme="majorHAnsi" w:hAnsiTheme="majorHAnsi" w:cstheme="majorHAnsi"/>
                <w:bCs/>
                <w:strike/>
                <w:color w:val="EE0000"/>
                <w:sz w:val="24"/>
                <w:szCs w:val="24"/>
              </w:rPr>
              <w:t>diretamente do investigado esclarecimento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 xml:space="preserve">esclarecimentos diretamente do responsável pelos </w:t>
            </w:r>
            <w:r w:rsidRPr="00D462F0">
              <w:rPr>
                <w:rFonts w:asciiTheme="majorHAnsi" w:hAnsiTheme="majorHAnsi" w:cstheme="majorHAnsi"/>
                <w:bCs/>
                <w:color w:val="000000"/>
                <w:sz w:val="24"/>
                <w:szCs w:val="24"/>
              </w:rPr>
              <w:t>fatos que podem ser a ele imputados.</w:t>
            </w:r>
          </w:p>
        </w:tc>
        <w:tc>
          <w:tcPr>
            <w:tcW w:w="4074" w:type="dxa"/>
          </w:tcPr>
          <w:p w14:paraId="573A6B22"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Clareza textual</w:t>
            </w:r>
          </w:p>
          <w:p w14:paraId="44F5837A" w14:textId="3AB89BB6" w:rsidR="00EB19CA" w:rsidRPr="00D462F0" w:rsidRDefault="00EB19CA" w:rsidP="00D462F0">
            <w:pPr>
              <w:jc w:val="both"/>
              <w:rPr>
                <w:rFonts w:asciiTheme="majorHAnsi" w:hAnsiTheme="majorHAnsi" w:cstheme="majorHAnsi"/>
                <w:sz w:val="24"/>
                <w:szCs w:val="24"/>
              </w:rPr>
            </w:pPr>
          </w:p>
        </w:tc>
        <w:tc>
          <w:tcPr>
            <w:tcW w:w="4075" w:type="dxa"/>
          </w:tcPr>
          <w:p w14:paraId="11E790D2" w14:textId="4C8F416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4FF3D271" w14:textId="572BA14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artigo ocorre em consequência do estabelecimento de instâncias hierárquicas internas de tramitação de processos e designação de atribuições, tratados no texto da atualização da referida norma. </w:t>
            </w:r>
          </w:p>
          <w:p w14:paraId="19C1AD9F" w14:textId="57DD11C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se tratar de artigo de natureza administrativa, com efeitos diretos à Previc, o caso se enquadra em não aplicabilidade para a realização de AIR</w:t>
            </w:r>
          </w:p>
        </w:tc>
      </w:tr>
      <w:tr w:rsidR="00E4154A" w:rsidRPr="00C93770" w14:paraId="5CCDF108" w14:textId="77777777" w:rsidTr="1756A420">
        <w:tc>
          <w:tcPr>
            <w:tcW w:w="4074" w:type="dxa"/>
          </w:tcPr>
          <w:p w14:paraId="26C4850A" w14:textId="29779A5A" w:rsidR="00E4154A" w:rsidRPr="00D462F0" w:rsidRDefault="00E4154A"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5C309C16" w14:textId="3A5A60D5" w:rsidR="00E4154A" w:rsidRPr="00D462F0" w:rsidRDefault="00E4154A" w:rsidP="0028717C">
            <w:pPr>
              <w:jc w:val="center"/>
              <w:rPr>
                <w:rFonts w:asciiTheme="majorHAnsi" w:hAnsiTheme="majorHAnsi" w:cstheme="majorHAnsi"/>
                <w:color w:val="EE0000"/>
                <w:sz w:val="24"/>
                <w:szCs w:val="24"/>
              </w:rPr>
            </w:pPr>
            <w:r w:rsidRPr="00D462F0">
              <w:rPr>
                <w:rFonts w:asciiTheme="majorHAnsi" w:hAnsiTheme="majorHAnsi" w:cstheme="majorHAnsi"/>
                <w:sz w:val="24"/>
                <w:szCs w:val="24"/>
              </w:rPr>
              <w:t>...</w:t>
            </w:r>
          </w:p>
        </w:tc>
        <w:tc>
          <w:tcPr>
            <w:tcW w:w="4074" w:type="dxa"/>
          </w:tcPr>
          <w:p w14:paraId="4FE0CE75" w14:textId="77777777" w:rsidR="00E4154A" w:rsidRPr="00D462F0" w:rsidRDefault="00E4154A" w:rsidP="00D462F0">
            <w:pPr>
              <w:jc w:val="both"/>
              <w:rPr>
                <w:rFonts w:asciiTheme="majorHAnsi" w:hAnsiTheme="majorHAnsi" w:cstheme="majorHAnsi"/>
                <w:sz w:val="24"/>
                <w:szCs w:val="24"/>
              </w:rPr>
            </w:pPr>
          </w:p>
        </w:tc>
        <w:tc>
          <w:tcPr>
            <w:tcW w:w="4075" w:type="dxa"/>
          </w:tcPr>
          <w:p w14:paraId="7E5D4FDE" w14:textId="77777777" w:rsidR="00E4154A" w:rsidRPr="00D462F0" w:rsidRDefault="00E4154A" w:rsidP="00D462F0">
            <w:pPr>
              <w:jc w:val="both"/>
              <w:rPr>
                <w:rFonts w:asciiTheme="majorHAnsi" w:hAnsiTheme="majorHAnsi" w:cstheme="majorHAnsi"/>
                <w:bCs/>
                <w:sz w:val="24"/>
                <w:szCs w:val="24"/>
              </w:rPr>
            </w:pPr>
          </w:p>
        </w:tc>
      </w:tr>
      <w:tr w:rsidR="00E4154A" w:rsidRPr="00C93770" w14:paraId="05DFDE56" w14:textId="77777777" w:rsidTr="1756A420">
        <w:tc>
          <w:tcPr>
            <w:tcW w:w="4074" w:type="dxa"/>
          </w:tcPr>
          <w:p w14:paraId="4832A0A8" w14:textId="77777777" w:rsidR="00E4154A" w:rsidRPr="00D462F0" w:rsidRDefault="00E4154A"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II</w:t>
            </w:r>
          </w:p>
          <w:p w14:paraId="18DD7237" w14:textId="4423617F" w:rsidR="00E4154A" w:rsidRPr="00D462F0" w:rsidRDefault="00E4154A"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Termo de Ajustamento de Conduta</w:t>
            </w:r>
          </w:p>
        </w:tc>
        <w:tc>
          <w:tcPr>
            <w:tcW w:w="4074" w:type="dxa"/>
          </w:tcPr>
          <w:p w14:paraId="264C6149" w14:textId="77777777" w:rsidR="00E4154A" w:rsidRPr="00D462F0" w:rsidRDefault="00E4154A"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II</w:t>
            </w:r>
          </w:p>
          <w:p w14:paraId="0273668D" w14:textId="5B3D05B5" w:rsidR="00E4154A" w:rsidRPr="00D462F0" w:rsidRDefault="00E4154A" w:rsidP="0028717C">
            <w:pPr>
              <w:jc w:val="center"/>
              <w:rPr>
                <w:rFonts w:asciiTheme="majorHAnsi" w:hAnsiTheme="majorHAnsi" w:cstheme="majorHAnsi"/>
                <w:b/>
                <w:strike/>
                <w:color w:val="EE0000"/>
                <w:sz w:val="24"/>
                <w:szCs w:val="24"/>
              </w:rPr>
            </w:pPr>
            <w:r w:rsidRPr="00D462F0">
              <w:rPr>
                <w:rFonts w:asciiTheme="majorHAnsi" w:hAnsiTheme="majorHAnsi" w:cstheme="majorHAnsi"/>
                <w:b/>
                <w:color w:val="000000"/>
                <w:sz w:val="24"/>
                <w:szCs w:val="24"/>
              </w:rPr>
              <w:t>Termo de Ajustamento de Conduta</w:t>
            </w:r>
          </w:p>
        </w:tc>
        <w:tc>
          <w:tcPr>
            <w:tcW w:w="4074" w:type="dxa"/>
          </w:tcPr>
          <w:p w14:paraId="2031ED0A" w14:textId="77777777" w:rsidR="00E4154A" w:rsidRPr="00D462F0" w:rsidRDefault="00E4154A" w:rsidP="00D462F0">
            <w:pPr>
              <w:jc w:val="both"/>
              <w:rPr>
                <w:rFonts w:asciiTheme="majorHAnsi" w:hAnsiTheme="majorHAnsi" w:cstheme="majorHAnsi"/>
                <w:sz w:val="24"/>
                <w:szCs w:val="24"/>
              </w:rPr>
            </w:pPr>
          </w:p>
        </w:tc>
        <w:tc>
          <w:tcPr>
            <w:tcW w:w="4075" w:type="dxa"/>
          </w:tcPr>
          <w:p w14:paraId="365F6CDB" w14:textId="77777777" w:rsidR="00E4154A" w:rsidRPr="00D462F0" w:rsidRDefault="00E4154A" w:rsidP="00D462F0">
            <w:pPr>
              <w:jc w:val="both"/>
              <w:rPr>
                <w:rFonts w:asciiTheme="majorHAnsi" w:hAnsiTheme="majorHAnsi" w:cstheme="majorHAnsi"/>
                <w:bCs/>
                <w:sz w:val="24"/>
                <w:szCs w:val="24"/>
              </w:rPr>
            </w:pPr>
          </w:p>
        </w:tc>
      </w:tr>
      <w:tr w:rsidR="00CC77CB" w:rsidRPr="00C93770" w14:paraId="6C9EA93F" w14:textId="77777777" w:rsidTr="1756A420">
        <w:tc>
          <w:tcPr>
            <w:tcW w:w="4074" w:type="dxa"/>
          </w:tcPr>
          <w:p w14:paraId="1A2CC421" w14:textId="2A5FA873" w:rsidR="00CC77CB" w:rsidRPr="00D462F0" w:rsidRDefault="00CC77CB"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426CE7A0" w14:textId="713568C9" w:rsidR="00CC77CB" w:rsidRPr="00D462F0" w:rsidRDefault="00CC77CB" w:rsidP="0028717C">
            <w:pPr>
              <w:jc w:val="center"/>
              <w:rPr>
                <w:rFonts w:asciiTheme="majorHAnsi" w:hAnsiTheme="majorHAnsi" w:cstheme="majorHAnsi"/>
                <w:color w:val="EE0000"/>
                <w:sz w:val="24"/>
                <w:szCs w:val="24"/>
              </w:rPr>
            </w:pPr>
            <w:r w:rsidRPr="00D462F0">
              <w:rPr>
                <w:rFonts w:asciiTheme="majorHAnsi" w:hAnsiTheme="majorHAnsi" w:cstheme="majorHAnsi"/>
                <w:sz w:val="24"/>
                <w:szCs w:val="24"/>
              </w:rPr>
              <w:t>...</w:t>
            </w:r>
          </w:p>
        </w:tc>
        <w:tc>
          <w:tcPr>
            <w:tcW w:w="4074" w:type="dxa"/>
          </w:tcPr>
          <w:p w14:paraId="66FEC375" w14:textId="77777777" w:rsidR="00CC77CB" w:rsidRPr="00D462F0" w:rsidRDefault="00CC77CB" w:rsidP="00D462F0">
            <w:pPr>
              <w:jc w:val="both"/>
              <w:rPr>
                <w:rFonts w:asciiTheme="majorHAnsi" w:hAnsiTheme="majorHAnsi" w:cstheme="majorHAnsi"/>
                <w:sz w:val="24"/>
                <w:szCs w:val="24"/>
              </w:rPr>
            </w:pPr>
          </w:p>
        </w:tc>
        <w:tc>
          <w:tcPr>
            <w:tcW w:w="4075" w:type="dxa"/>
          </w:tcPr>
          <w:p w14:paraId="569D53A4" w14:textId="77777777" w:rsidR="00CC77CB" w:rsidRPr="00D462F0" w:rsidRDefault="00CC77CB" w:rsidP="00D462F0">
            <w:pPr>
              <w:jc w:val="both"/>
              <w:rPr>
                <w:rFonts w:asciiTheme="majorHAnsi" w:hAnsiTheme="majorHAnsi" w:cstheme="majorHAnsi"/>
                <w:bCs/>
                <w:sz w:val="24"/>
                <w:szCs w:val="24"/>
              </w:rPr>
            </w:pPr>
          </w:p>
        </w:tc>
      </w:tr>
      <w:tr w:rsidR="00EB19CA" w:rsidRPr="00C93770" w14:paraId="7A4E9CB4" w14:textId="77777777" w:rsidTr="1756A420">
        <w:tc>
          <w:tcPr>
            <w:tcW w:w="4074" w:type="dxa"/>
          </w:tcPr>
          <w:p w14:paraId="6A00D576" w14:textId="2CDB2CC0"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252. </w:t>
            </w:r>
            <w:r w:rsidRPr="00D462F0">
              <w:rPr>
                <w:rFonts w:asciiTheme="majorHAnsi" w:hAnsiTheme="majorHAnsi" w:cstheme="majorHAnsi"/>
                <w:bCs/>
                <w:color w:val="000000"/>
                <w:sz w:val="24"/>
                <w:szCs w:val="24"/>
              </w:rPr>
              <w:t xml:space="preserve">A propositura do Termo de Ajustamento de Conduta é prerrogativa do interessado em corrigir determinada </w:t>
            </w:r>
            <w:r w:rsidRPr="00D462F0">
              <w:rPr>
                <w:rFonts w:asciiTheme="majorHAnsi" w:hAnsiTheme="majorHAnsi" w:cstheme="majorHAnsi"/>
                <w:bCs/>
                <w:color w:val="000000"/>
                <w:sz w:val="24"/>
                <w:szCs w:val="24"/>
              </w:rPr>
              <w:lastRenderedPageBreak/>
              <w:t>conduta passível de autuação pela Previc</w:t>
            </w:r>
            <w:r w:rsidRPr="00D462F0">
              <w:rPr>
                <w:rFonts w:asciiTheme="majorHAnsi" w:hAnsiTheme="majorHAnsi" w:cstheme="majorHAnsi"/>
                <w:color w:val="000000"/>
                <w:sz w:val="24"/>
                <w:szCs w:val="24"/>
              </w:rPr>
              <w:t xml:space="preserve"> e constitui título executivo extrajudicial, nos 75 termos do § 6º do art. 5º da Lei nº 7.347, de 24 de julho de 1985, e do inciso IV do art. 784 do Código de Processo Civil.</w:t>
            </w:r>
          </w:p>
        </w:tc>
        <w:tc>
          <w:tcPr>
            <w:tcW w:w="4074" w:type="dxa"/>
          </w:tcPr>
          <w:p w14:paraId="38026A9D" w14:textId="450D88C4" w:rsidR="00EB19CA" w:rsidRPr="00D462F0" w:rsidRDefault="00EB19CA" w:rsidP="00D462F0">
            <w:pPr>
              <w:jc w:val="both"/>
              <w:rPr>
                <w:rFonts w:asciiTheme="majorHAnsi" w:hAnsiTheme="majorHAnsi" w:cstheme="majorHAnsi"/>
                <w:bCs/>
                <w:color w:val="EE0000"/>
                <w:sz w:val="24"/>
                <w:szCs w:val="24"/>
              </w:rPr>
            </w:pPr>
            <w:r w:rsidRPr="00D462F0">
              <w:rPr>
                <w:rFonts w:asciiTheme="majorHAnsi" w:hAnsiTheme="majorHAnsi" w:cstheme="majorHAnsi"/>
                <w:color w:val="EE0000"/>
                <w:sz w:val="24"/>
                <w:szCs w:val="24"/>
              </w:rPr>
              <w:lastRenderedPageBreak/>
              <w:t xml:space="preserve">Art. 252. </w:t>
            </w:r>
            <w:r w:rsidRPr="00D462F0">
              <w:rPr>
                <w:rFonts w:asciiTheme="majorHAnsi" w:hAnsiTheme="majorHAnsi" w:cstheme="majorHAnsi"/>
                <w:bCs/>
                <w:strike/>
                <w:color w:val="EE0000"/>
                <w:sz w:val="24"/>
                <w:szCs w:val="24"/>
              </w:rPr>
              <w:t xml:space="preserve">A propositura </w:t>
            </w:r>
            <w:proofErr w:type="spellStart"/>
            <w:r w:rsidRPr="004E06F1">
              <w:rPr>
                <w:rFonts w:asciiTheme="majorHAnsi" w:hAnsiTheme="majorHAnsi" w:cstheme="majorHAnsi"/>
                <w:bCs/>
                <w:strike/>
                <w:color w:val="FF0000"/>
                <w:sz w:val="24"/>
                <w:szCs w:val="24"/>
              </w:rPr>
              <w:t>do</w:t>
            </w:r>
            <w:r w:rsidR="00873D21" w:rsidRPr="00D462F0">
              <w:rPr>
                <w:rFonts w:asciiTheme="majorHAnsi" w:hAnsiTheme="majorHAnsi" w:cstheme="majorHAnsi"/>
                <w:bCs/>
                <w:color w:val="000000" w:themeColor="text1"/>
                <w:sz w:val="24"/>
                <w:szCs w:val="24"/>
              </w:rPr>
              <w:t>O</w:t>
            </w:r>
            <w:r w:rsidRPr="00D462F0">
              <w:rPr>
                <w:rFonts w:asciiTheme="majorHAnsi" w:hAnsiTheme="majorHAnsi" w:cstheme="majorHAnsi"/>
                <w:bCs/>
                <w:color w:val="000000" w:themeColor="text1"/>
                <w:sz w:val="24"/>
                <w:szCs w:val="24"/>
              </w:rPr>
              <w:t>Termo</w:t>
            </w:r>
            <w:proofErr w:type="spellEnd"/>
            <w:r w:rsidRPr="00D462F0">
              <w:rPr>
                <w:rFonts w:asciiTheme="majorHAnsi" w:hAnsiTheme="majorHAnsi" w:cstheme="majorHAnsi"/>
                <w:bCs/>
                <w:color w:val="000000" w:themeColor="text1"/>
                <w:sz w:val="24"/>
                <w:szCs w:val="24"/>
              </w:rPr>
              <w:t xml:space="preserve"> de Ajustamento de Conduta</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trike/>
                <w:color w:val="EE0000"/>
                <w:sz w:val="24"/>
                <w:szCs w:val="24"/>
              </w:rPr>
              <w:t xml:space="preserve">é prerrogativa do interessado em corrigir determinada </w:t>
            </w:r>
            <w:r w:rsidRPr="00D462F0">
              <w:rPr>
                <w:rFonts w:asciiTheme="majorHAnsi" w:hAnsiTheme="majorHAnsi" w:cstheme="majorHAnsi"/>
                <w:bCs/>
                <w:strike/>
                <w:color w:val="EE0000"/>
                <w:sz w:val="24"/>
                <w:szCs w:val="24"/>
              </w:rPr>
              <w:lastRenderedPageBreak/>
              <w:t>conduta passível de autuação</w:t>
            </w:r>
            <w:r w:rsidRPr="00D462F0">
              <w:rPr>
                <w:rFonts w:asciiTheme="majorHAnsi" w:hAnsiTheme="majorHAnsi" w:cstheme="majorHAnsi"/>
                <w:bCs/>
                <w:color w:val="EE0000"/>
                <w:sz w:val="24"/>
                <w:szCs w:val="24"/>
              </w:rPr>
              <w:t xml:space="preserve"> </w:t>
            </w:r>
            <w:r w:rsidR="00873D21" w:rsidRPr="00D462F0">
              <w:rPr>
                <w:rFonts w:asciiTheme="majorHAnsi" w:hAnsiTheme="majorHAnsi" w:cstheme="majorHAnsi"/>
                <w:bCs/>
                <w:color w:val="0000FF"/>
                <w:sz w:val="24"/>
                <w:szCs w:val="24"/>
              </w:rPr>
              <w:t xml:space="preserve">pode ser proposto de ofício </w:t>
            </w:r>
            <w:r w:rsidRPr="00D462F0">
              <w:rPr>
                <w:rFonts w:asciiTheme="majorHAnsi" w:hAnsiTheme="majorHAnsi" w:cstheme="majorHAnsi"/>
                <w:bCs/>
                <w:color w:val="000000" w:themeColor="text1"/>
                <w:sz w:val="24"/>
                <w:szCs w:val="24"/>
              </w:rPr>
              <w:t>pela Previc</w:t>
            </w:r>
            <w:r w:rsidR="00873D21" w:rsidRPr="00D462F0">
              <w:rPr>
                <w:rFonts w:asciiTheme="majorHAnsi" w:hAnsiTheme="majorHAnsi" w:cstheme="majorHAnsi"/>
                <w:bCs/>
                <w:color w:val="000000" w:themeColor="text1"/>
                <w:sz w:val="24"/>
                <w:szCs w:val="24"/>
              </w:rPr>
              <w:t xml:space="preserve"> </w:t>
            </w:r>
            <w:r w:rsidR="00873D21" w:rsidRPr="00D462F0">
              <w:rPr>
                <w:rFonts w:asciiTheme="majorHAnsi" w:hAnsiTheme="majorHAnsi" w:cstheme="majorHAnsi"/>
                <w:bCs/>
                <w:color w:val="0000FF"/>
                <w:sz w:val="24"/>
                <w:szCs w:val="24"/>
              </w:rPr>
              <w:t>ou mediante requerimento do interessado</w:t>
            </w:r>
            <w:r w:rsidRPr="00D462F0">
              <w:rPr>
                <w:rFonts w:asciiTheme="majorHAnsi" w:hAnsiTheme="majorHAnsi" w:cstheme="majorHAnsi"/>
                <w:color w:val="0000FF"/>
                <w:sz w:val="24"/>
                <w:szCs w:val="24"/>
              </w:rPr>
              <w:t xml:space="preserve"> </w:t>
            </w:r>
            <w:r w:rsidRPr="00D462F0">
              <w:rPr>
                <w:rFonts w:asciiTheme="majorHAnsi" w:hAnsiTheme="majorHAnsi" w:cstheme="majorHAnsi"/>
                <w:sz w:val="24"/>
                <w:szCs w:val="24"/>
              </w:rPr>
              <w:t>e</w:t>
            </w:r>
            <w:r w:rsidR="00873D21" w:rsidRPr="00D462F0">
              <w:rPr>
                <w:rFonts w:asciiTheme="majorHAnsi" w:hAnsiTheme="majorHAnsi" w:cstheme="majorHAnsi"/>
                <w:color w:val="EE0000"/>
                <w:sz w:val="24"/>
                <w:szCs w:val="24"/>
              </w:rPr>
              <w:t xml:space="preserve">, </w:t>
            </w:r>
            <w:r w:rsidR="00873D21" w:rsidRPr="00D462F0">
              <w:rPr>
                <w:rFonts w:asciiTheme="majorHAnsi" w:hAnsiTheme="majorHAnsi" w:cstheme="majorHAnsi"/>
                <w:color w:val="0000FF"/>
                <w:sz w:val="24"/>
                <w:szCs w:val="24"/>
              </w:rPr>
              <w:t>uma vez celebrado,</w:t>
            </w:r>
            <w:r w:rsidRPr="00D462F0">
              <w:rPr>
                <w:rFonts w:asciiTheme="majorHAnsi" w:hAnsiTheme="majorHAnsi" w:cstheme="majorHAnsi"/>
                <w:color w:val="0000FF"/>
                <w:sz w:val="24"/>
                <w:szCs w:val="24"/>
              </w:rPr>
              <w:t xml:space="preserve"> </w:t>
            </w:r>
            <w:r w:rsidRPr="00D462F0">
              <w:rPr>
                <w:rFonts w:asciiTheme="majorHAnsi" w:hAnsiTheme="majorHAnsi" w:cstheme="majorHAnsi"/>
                <w:color w:val="000000" w:themeColor="text1"/>
                <w:sz w:val="24"/>
                <w:szCs w:val="24"/>
              </w:rPr>
              <w:t>constitui título executivo extrajudicial, nos 75 termos do § 6º do art. 5º da Lei nº 7.347, de 24 de julho de 1985, e do inciso IV do art. 784 do Código de Processo Civil.</w:t>
            </w:r>
          </w:p>
          <w:p w14:paraId="3D09FE9D" w14:textId="78CDCF5D" w:rsidR="00EB19CA" w:rsidRPr="00D462F0" w:rsidRDefault="00EB19CA" w:rsidP="00D462F0">
            <w:pPr>
              <w:jc w:val="both"/>
              <w:rPr>
                <w:rFonts w:asciiTheme="majorHAnsi" w:hAnsiTheme="majorHAnsi" w:cstheme="majorHAnsi"/>
                <w:bCs/>
                <w:color w:val="000000"/>
                <w:sz w:val="24"/>
                <w:szCs w:val="24"/>
              </w:rPr>
            </w:pPr>
          </w:p>
        </w:tc>
        <w:tc>
          <w:tcPr>
            <w:tcW w:w="4074" w:type="dxa"/>
          </w:tcPr>
          <w:p w14:paraId="6E16AA1D"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Alteração para indicar que o TAC não é um direito do interessado, mas apenas </w:t>
            </w:r>
            <w:r w:rsidRPr="00D462F0">
              <w:rPr>
                <w:rFonts w:asciiTheme="majorHAnsi" w:hAnsiTheme="majorHAnsi" w:cstheme="majorHAnsi"/>
                <w:sz w:val="24"/>
                <w:szCs w:val="24"/>
              </w:rPr>
              <w:lastRenderedPageBreak/>
              <w:t>uma possibilidade, e uma prerrogativa da Previc.</w:t>
            </w:r>
          </w:p>
          <w:p w14:paraId="43799258" w14:textId="5BEB5487" w:rsidR="00EB19CA" w:rsidRPr="00D462F0" w:rsidRDefault="00EB19CA" w:rsidP="00D462F0">
            <w:pPr>
              <w:jc w:val="both"/>
              <w:rPr>
                <w:rFonts w:asciiTheme="majorHAnsi" w:hAnsiTheme="majorHAnsi" w:cstheme="majorHAnsi"/>
                <w:sz w:val="24"/>
                <w:szCs w:val="24"/>
              </w:rPr>
            </w:pPr>
          </w:p>
        </w:tc>
        <w:tc>
          <w:tcPr>
            <w:tcW w:w="4075" w:type="dxa"/>
          </w:tcPr>
          <w:p w14:paraId="17608B73"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Decreto nº 10.411, de 2020, art. 4º, inciso V, alínea “a”.</w:t>
            </w:r>
          </w:p>
          <w:p w14:paraId="6DD269FB" w14:textId="1942A71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 xml:space="preserve">Tal atualização pretende destacar o TAC como uma possibilidade ao interessado, e como uma prerrogativa da Previc para assegurar maior higidez tanto no âmbito da EFPC quanto do sistema de previdência complementar fechada. Considerando como componente da higidez o pilar da preservação da conformidade regulatória, o TAC oportuniza à EFPC a possibilidade de restaurar seu alinhamento com as normas da Previc, do CNPC e da legislação aplicável, e na governança e controles internos da entidade; funcionando como gatilho para o fortalecimento de práticas internas que sustentam a higidez. </w:t>
            </w:r>
          </w:p>
          <w:p w14:paraId="3C38ACA8"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Possibilitar à Previc papel ativo na proposição de TAC, reforça a dimensão preventiva e educativa da regulação.  </w:t>
            </w:r>
          </w:p>
          <w:p w14:paraId="29F0147C" w14:textId="6544873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CC77CB" w:rsidRPr="00C93770" w14:paraId="045E6306" w14:textId="77777777" w:rsidTr="1756A420">
        <w:tc>
          <w:tcPr>
            <w:tcW w:w="4074" w:type="dxa"/>
          </w:tcPr>
          <w:p w14:paraId="4E8C2A17" w14:textId="559A68A8" w:rsidR="00CC77CB" w:rsidRPr="00D462F0" w:rsidRDefault="00CC77CB"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72378294" w14:textId="22257AC1" w:rsidR="00CC77CB" w:rsidRPr="00D462F0" w:rsidRDefault="00CC77CB"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569959E1" w14:textId="77777777" w:rsidR="00CC77CB" w:rsidRPr="00D462F0" w:rsidRDefault="00CC77CB" w:rsidP="00D462F0">
            <w:pPr>
              <w:jc w:val="both"/>
              <w:rPr>
                <w:rFonts w:asciiTheme="majorHAnsi" w:hAnsiTheme="majorHAnsi" w:cstheme="majorHAnsi"/>
                <w:sz w:val="24"/>
                <w:szCs w:val="24"/>
              </w:rPr>
            </w:pPr>
          </w:p>
        </w:tc>
        <w:tc>
          <w:tcPr>
            <w:tcW w:w="4075" w:type="dxa"/>
          </w:tcPr>
          <w:p w14:paraId="5419FF27" w14:textId="77777777" w:rsidR="00CC77CB" w:rsidRPr="00D462F0" w:rsidRDefault="00CC77CB" w:rsidP="00D462F0">
            <w:pPr>
              <w:jc w:val="both"/>
              <w:rPr>
                <w:rFonts w:asciiTheme="majorHAnsi" w:hAnsiTheme="majorHAnsi" w:cstheme="majorHAnsi"/>
                <w:bCs/>
                <w:sz w:val="24"/>
                <w:szCs w:val="24"/>
              </w:rPr>
            </w:pPr>
          </w:p>
        </w:tc>
      </w:tr>
      <w:tr w:rsidR="00EB19CA" w:rsidRPr="00C93770" w14:paraId="1DF1F41B" w14:textId="77777777" w:rsidTr="1756A420">
        <w:tc>
          <w:tcPr>
            <w:tcW w:w="4074" w:type="dxa"/>
          </w:tcPr>
          <w:p w14:paraId="690D0257" w14:textId="0FC73FEC"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255. </w:t>
            </w:r>
            <w:r w:rsidR="00BC6F01"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O interessado pode manifestar sua intenção de celebrar o Termo de Ajustamento de Conduta até a decisão de primeira instância do julgamento do auto de infração.</w:t>
            </w:r>
          </w:p>
          <w:p w14:paraId="6D3B8954" w14:textId="2D4EDADA" w:rsidR="00EB19CA" w:rsidRPr="00D462F0" w:rsidRDefault="00EB19CA" w:rsidP="00D462F0">
            <w:pPr>
              <w:jc w:val="both"/>
              <w:rPr>
                <w:rFonts w:asciiTheme="majorHAnsi" w:hAnsiTheme="majorHAnsi" w:cstheme="majorHAnsi"/>
                <w:color w:val="000000"/>
                <w:sz w:val="24"/>
                <w:szCs w:val="24"/>
              </w:rPr>
            </w:pPr>
          </w:p>
        </w:tc>
        <w:tc>
          <w:tcPr>
            <w:tcW w:w="4074" w:type="dxa"/>
          </w:tcPr>
          <w:p w14:paraId="60D9197B" w14:textId="04EC08D3"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255. </w:t>
            </w:r>
            <w:r w:rsidR="00BC6F01" w:rsidRPr="00D462F0">
              <w:rPr>
                <w:rFonts w:asciiTheme="majorHAnsi" w:hAnsiTheme="majorHAnsi" w:cstheme="majorHAnsi"/>
                <w:bCs/>
                <w:color w:val="000000"/>
                <w:sz w:val="24"/>
                <w:szCs w:val="24"/>
              </w:rPr>
              <w:t xml:space="preserve"> ...</w:t>
            </w:r>
          </w:p>
          <w:p w14:paraId="20105161" w14:textId="77777777" w:rsidR="00EB19CA" w:rsidRPr="00D462F0" w:rsidRDefault="00EB19CA" w:rsidP="00D462F0">
            <w:pPr>
              <w:jc w:val="both"/>
              <w:rPr>
                <w:rFonts w:asciiTheme="majorHAnsi" w:hAnsiTheme="majorHAnsi" w:cstheme="majorHAnsi"/>
                <w:bCs/>
                <w:color w:val="000000"/>
                <w:sz w:val="24"/>
                <w:szCs w:val="24"/>
              </w:rPr>
            </w:pPr>
          </w:p>
        </w:tc>
        <w:tc>
          <w:tcPr>
            <w:tcW w:w="4074" w:type="dxa"/>
          </w:tcPr>
          <w:p w14:paraId="2D0EC570" w14:textId="77777777" w:rsidR="00EB19CA" w:rsidRPr="00D462F0" w:rsidRDefault="00EB19CA" w:rsidP="00D462F0">
            <w:pPr>
              <w:jc w:val="both"/>
              <w:rPr>
                <w:rFonts w:asciiTheme="majorHAnsi" w:hAnsiTheme="majorHAnsi" w:cstheme="majorHAnsi"/>
                <w:sz w:val="24"/>
                <w:szCs w:val="24"/>
              </w:rPr>
            </w:pPr>
          </w:p>
        </w:tc>
        <w:tc>
          <w:tcPr>
            <w:tcW w:w="4075" w:type="dxa"/>
          </w:tcPr>
          <w:p w14:paraId="2AB9334E" w14:textId="593CB22D" w:rsidR="00EB19CA" w:rsidRPr="00D462F0" w:rsidRDefault="00EB19CA" w:rsidP="00D462F0">
            <w:pPr>
              <w:jc w:val="both"/>
              <w:rPr>
                <w:rFonts w:asciiTheme="majorHAnsi" w:hAnsiTheme="majorHAnsi" w:cstheme="majorHAnsi"/>
                <w:bCs/>
                <w:sz w:val="24"/>
                <w:szCs w:val="24"/>
              </w:rPr>
            </w:pPr>
          </w:p>
        </w:tc>
      </w:tr>
      <w:tr w:rsidR="00873D21" w:rsidRPr="00C93770" w14:paraId="6D9C70D2" w14:textId="77777777" w:rsidTr="1756A420">
        <w:tc>
          <w:tcPr>
            <w:tcW w:w="4074" w:type="dxa"/>
          </w:tcPr>
          <w:p w14:paraId="452EAE58" w14:textId="36314ECD" w:rsidR="00873D21" w:rsidRPr="00D462F0" w:rsidRDefault="00873D21"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 1º A proposta de Termo de Ajustamento de Conduta deve ser apresentada pelo interessado, protocolada eletronicamente na Previc e dirigida à Diretoria de Fiscalização e </w:t>
            </w:r>
            <w:r w:rsidRPr="00D462F0">
              <w:rPr>
                <w:rFonts w:asciiTheme="majorHAnsi" w:hAnsiTheme="majorHAnsi" w:cstheme="majorHAnsi"/>
                <w:color w:val="000000"/>
                <w:sz w:val="24"/>
                <w:szCs w:val="24"/>
              </w:rPr>
              <w:lastRenderedPageBreak/>
              <w:t>Monitoramento, que decidirá ou não pelo seu cabimento, conveniência e oportunidade.</w:t>
            </w:r>
          </w:p>
          <w:p w14:paraId="0F09DEFC" w14:textId="7CAF92B4" w:rsidR="00873D21" w:rsidRPr="00D462F0" w:rsidRDefault="00873D21" w:rsidP="00D462F0">
            <w:pPr>
              <w:jc w:val="both"/>
              <w:rPr>
                <w:rFonts w:asciiTheme="majorHAnsi" w:hAnsiTheme="majorHAnsi" w:cstheme="majorHAnsi"/>
                <w:color w:val="000000"/>
                <w:sz w:val="24"/>
                <w:szCs w:val="24"/>
              </w:rPr>
            </w:pPr>
          </w:p>
        </w:tc>
        <w:tc>
          <w:tcPr>
            <w:tcW w:w="4074" w:type="dxa"/>
          </w:tcPr>
          <w:p w14:paraId="36FAF2AF" w14:textId="15FBD7E3" w:rsidR="00873D21" w:rsidRPr="00D462F0" w:rsidRDefault="00873D21" w:rsidP="00D462F0">
            <w:pPr>
              <w:jc w:val="both"/>
              <w:rPr>
                <w:rFonts w:asciiTheme="majorHAnsi" w:hAnsiTheme="majorHAnsi" w:cstheme="majorHAnsi"/>
                <w:color w:val="EE0000"/>
                <w:sz w:val="24"/>
                <w:szCs w:val="24"/>
              </w:rPr>
            </w:pPr>
            <w:r w:rsidRPr="00D462F0">
              <w:rPr>
                <w:rFonts w:asciiTheme="majorHAnsi" w:hAnsiTheme="majorHAnsi" w:cstheme="majorHAnsi"/>
                <w:color w:val="EE0000"/>
                <w:sz w:val="24"/>
                <w:szCs w:val="24"/>
              </w:rPr>
              <w:lastRenderedPageBreak/>
              <w:t xml:space="preserve">§ 1º </w:t>
            </w:r>
            <w:r w:rsidRPr="00D462F0">
              <w:rPr>
                <w:rFonts w:asciiTheme="majorHAnsi" w:hAnsiTheme="majorHAnsi" w:cstheme="majorHAnsi"/>
                <w:strike/>
                <w:color w:val="EE0000"/>
                <w:sz w:val="24"/>
                <w:szCs w:val="24"/>
              </w:rPr>
              <w:t>A proposta de</w:t>
            </w:r>
            <w:r w:rsidRPr="00D462F0">
              <w:rPr>
                <w:rFonts w:asciiTheme="majorHAnsi" w:hAnsiTheme="majorHAnsi" w:cstheme="majorHAnsi"/>
                <w:color w:val="EE0000"/>
                <w:sz w:val="24"/>
                <w:szCs w:val="24"/>
              </w:rPr>
              <w:t xml:space="preserve"> </w:t>
            </w:r>
            <w:r w:rsidR="00701360" w:rsidRPr="00D462F0">
              <w:rPr>
                <w:rFonts w:asciiTheme="majorHAnsi" w:hAnsiTheme="majorHAnsi" w:cstheme="majorHAnsi"/>
                <w:color w:val="0000FF"/>
                <w:sz w:val="24"/>
                <w:szCs w:val="24"/>
              </w:rPr>
              <w:t xml:space="preserve">O pedido de celebração de </w:t>
            </w:r>
            <w:r w:rsidRPr="00D462F0">
              <w:rPr>
                <w:rFonts w:asciiTheme="majorHAnsi" w:hAnsiTheme="majorHAnsi" w:cstheme="majorHAnsi"/>
                <w:sz w:val="24"/>
                <w:szCs w:val="24"/>
              </w:rPr>
              <w:t xml:space="preserve">Termo de Ajustamento de Conduta </w:t>
            </w:r>
            <w:r w:rsidRPr="00D462F0">
              <w:rPr>
                <w:rFonts w:asciiTheme="majorHAnsi" w:hAnsiTheme="majorHAnsi" w:cstheme="majorHAnsi"/>
                <w:strike/>
                <w:color w:val="EE0000"/>
                <w:sz w:val="24"/>
                <w:szCs w:val="24"/>
              </w:rPr>
              <w:t>deve ser apresentada</w:t>
            </w:r>
            <w:r w:rsidRPr="00D462F0">
              <w:rPr>
                <w:rFonts w:asciiTheme="majorHAnsi" w:hAnsiTheme="majorHAnsi" w:cstheme="majorHAnsi"/>
                <w:color w:val="EE0000"/>
                <w:sz w:val="24"/>
                <w:szCs w:val="24"/>
              </w:rPr>
              <w:t xml:space="preserve"> </w:t>
            </w:r>
            <w:r w:rsidR="00701360" w:rsidRPr="00D462F0">
              <w:rPr>
                <w:rFonts w:asciiTheme="majorHAnsi" w:hAnsiTheme="majorHAnsi" w:cstheme="majorHAnsi"/>
                <w:color w:val="0000FF"/>
                <w:sz w:val="24"/>
                <w:szCs w:val="24"/>
              </w:rPr>
              <w:t xml:space="preserve">apresentado </w:t>
            </w:r>
            <w:r w:rsidRPr="00D462F0">
              <w:rPr>
                <w:rFonts w:asciiTheme="majorHAnsi" w:hAnsiTheme="majorHAnsi" w:cstheme="majorHAnsi"/>
                <w:sz w:val="24"/>
                <w:szCs w:val="24"/>
              </w:rPr>
              <w:t>pelo interessado</w:t>
            </w:r>
            <w:r w:rsidR="00701360" w:rsidRPr="00D462F0">
              <w:rPr>
                <w:rFonts w:asciiTheme="majorHAnsi" w:hAnsiTheme="majorHAnsi" w:cstheme="majorHAnsi"/>
                <w:sz w:val="24"/>
                <w:szCs w:val="24"/>
              </w:rPr>
              <w:t xml:space="preserve"> </w:t>
            </w:r>
            <w:r w:rsidR="00701360" w:rsidRPr="00D462F0">
              <w:rPr>
                <w:rFonts w:asciiTheme="majorHAnsi" w:hAnsiTheme="majorHAnsi" w:cstheme="majorHAnsi"/>
                <w:color w:val="0000FF"/>
                <w:sz w:val="24"/>
                <w:szCs w:val="24"/>
              </w:rPr>
              <w:t>deve ser</w:t>
            </w:r>
            <w:r w:rsidRPr="00D462F0">
              <w:rPr>
                <w:rFonts w:asciiTheme="majorHAnsi" w:hAnsiTheme="majorHAnsi" w:cstheme="majorHAnsi"/>
                <w:strike/>
                <w:color w:val="EE0000"/>
                <w:sz w:val="24"/>
                <w:szCs w:val="24"/>
              </w:rPr>
              <w:t>, protocolada</w:t>
            </w:r>
            <w:r w:rsidRPr="00D462F0">
              <w:rPr>
                <w:rFonts w:asciiTheme="majorHAnsi" w:hAnsiTheme="majorHAnsi" w:cstheme="majorHAnsi"/>
                <w:color w:val="EE0000"/>
                <w:sz w:val="24"/>
                <w:szCs w:val="24"/>
              </w:rPr>
              <w:t xml:space="preserve"> </w:t>
            </w:r>
            <w:r w:rsidR="00701360" w:rsidRPr="00D462F0">
              <w:rPr>
                <w:rFonts w:asciiTheme="majorHAnsi" w:hAnsiTheme="majorHAnsi" w:cstheme="majorHAnsi"/>
                <w:color w:val="0000FF"/>
                <w:sz w:val="24"/>
                <w:szCs w:val="24"/>
              </w:rPr>
              <w:t xml:space="preserve">protocolado </w:t>
            </w:r>
            <w:r w:rsidRPr="00D462F0">
              <w:rPr>
                <w:rFonts w:asciiTheme="majorHAnsi" w:hAnsiTheme="majorHAnsi" w:cstheme="majorHAnsi"/>
                <w:sz w:val="24"/>
                <w:szCs w:val="24"/>
              </w:rPr>
              <w:lastRenderedPageBreak/>
              <w:t xml:space="preserve">eletronicamente na Previc e </w:t>
            </w:r>
            <w:r w:rsidRPr="00D462F0">
              <w:rPr>
                <w:rFonts w:asciiTheme="majorHAnsi" w:hAnsiTheme="majorHAnsi" w:cstheme="majorHAnsi"/>
                <w:strike/>
                <w:color w:val="EE0000"/>
                <w:sz w:val="24"/>
                <w:szCs w:val="24"/>
              </w:rPr>
              <w:t>dirigida</w:t>
            </w:r>
            <w:r w:rsidR="00701360" w:rsidRPr="00D462F0">
              <w:rPr>
                <w:rFonts w:asciiTheme="majorHAnsi" w:hAnsiTheme="majorHAnsi" w:cstheme="majorHAnsi"/>
                <w:color w:val="EE0000"/>
                <w:sz w:val="24"/>
                <w:szCs w:val="24"/>
              </w:rPr>
              <w:t xml:space="preserve"> </w:t>
            </w:r>
            <w:r w:rsidR="00701360" w:rsidRPr="00D462F0">
              <w:rPr>
                <w:rFonts w:asciiTheme="majorHAnsi" w:hAnsiTheme="majorHAnsi" w:cstheme="majorHAnsi"/>
                <w:color w:val="0000FF"/>
                <w:sz w:val="24"/>
                <w:szCs w:val="24"/>
              </w:rPr>
              <w:t>dirigido</w:t>
            </w:r>
            <w:r w:rsidRPr="00D462F0">
              <w:rPr>
                <w:rFonts w:asciiTheme="majorHAnsi" w:hAnsiTheme="majorHAnsi" w:cstheme="majorHAnsi"/>
                <w:color w:val="0000FF"/>
                <w:sz w:val="24"/>
                <w:szCs w:val="24"/>
              </w:rPr>
              <w:t xml:space="preserve"> </w:t>
            </w:r>
            <w:r w:rsidRPr="00D462F0">
              <w:rPr>
                <w:rFonts w:asciiTheme="majorHAnsi" w:hAnsiTheme="majorHAnsi" w:cstheme="majorHAnsi"/>
                <w:sz w:val="24"/>
                <w:szCs w:val="24"/>
              </w:rPr>
              <w:t xml:space="preserve">à Diretoria de Fiscalização e Monitoramento, que decidirá </w:t>
            </w:r>
            <w:r w:rsidRPr="00D462F0">
              <w:rPr>
                <w:rFonts w:asciiTheme="majorHAnsi" w:hAnsiTheme="majorHAnsi" w:cstheme="majorHAnsi"/>
                <w:strike/>
                <w:color w:val="EE0000"/>
                <w:sz w:val="24"/>
                <w:szCs w:val="24"/>
              </w:rPr>
              <w:t xml:space="preserve">ou não pelo </w:t>
            </w:r>
            <w:r w:rsidR="00701360" w:rsidRPr="00D462F0">
              <w:rPr>
                <w:rFonts w:asciiTheme="majorHAnsi" w:hAnsiTheme="majorHAnsi" w:cstheme="majorHAnsi"/>
                <w:color w:val="0000FF"/>
                <w:sz w:val="24"/>
                <w:szCs w:val="24"/>
              </w:rPr>
              <w:t>acerca do</w:t>
            </w:r>
            <w:r w:rsidR="00701360" w:rsidRPr="00D462F0">
              <w:rPr>
                <w:rFonts w:asciiTheme="majorHAnsi" w:hAnsiTheme="majorHAnsi" w:cstheme="majorHAnsi"/>
                <w:strike/>
                <w:color w:val="0000FF"/>
                <w:sz w:val="24"/>
                <w:szCs w:val="24"/>
              </w:rPr>
              <w:t xml:space="preserve"> </w:t>
            </w:r>
            <w:r w:rsidRPr="00D462F0">
              <w:rPr>
                <w:rFonts w:asciiTheme="majorHAnsi" w:hAnsiTheme="majorHAnsi" w:cstheme="majorHAnsi"/>
                <w:sz w:val="24"/>
                <w:szCs w:val="24"/>
              </w:rPr>
              <w:t>seu cabimento</w:t>
            </w:r>
            <w:r w:rsidR="00701360" w:rsidRPr="00D462F0">
              <w:rPr>
                <w:rFonts w:asciiTheme="majorHAnsi" w:hAnsiTheme="majorHAnsi" w:cstheme="majorHAnsi"/>
                <w:sz w:val="24"/>
                <w:szCs w:val="24"/>
              </w:rPr>
              <w:t xml:space="preserve"> </w:t>
            </w:r>
            <w:r w:rsidR="00701360" w:rsidRPr="00D462F0">
              <w:rPr>
                <w:rFonts w:asciiTheme="majorHAnsi" w:hAnsiTheme="majorHAnsi" w:cstheme="majorHAnsi"/>
                <w:color w:val="0000FF"/>
                <w:sz w:val="24"/>
                <w:szCs w:val="24"/>
              </w:rPr>
              <w:t>e</w:t>
            </w:r>
            <w:r w:rsidRPr="00D462F0">
              <w:rPr>
                <w:rFonts w:asciiTheme="majorHAnsi" w:hAnsiTheme="majorHAnsi" w:cstheme="majorHAnsi"/>
                <w:color w:val="0000FF"/>
                <w:sz w:val="24"/>
                <w:szCs w:val="24"/>
              </w:rPr>
              <w:t>,</w:t>
            </w:r>
            <w:r w:rsidR="00701360" w:rsidRPr="00D462F0">
              <w:rPr>
                <w:rFonts w:asciiTheme="majorHAnsi" w:hAnsiTheme="majorHAnsi" w:cstheme="majorHAnsi"/>
                <w:color w:val="0000FF"/>
                <w:sz w:val="24"/>
                <w:szCs w:val="24"/>
              </w:rPr>
              <w:t xml:space="preserve"> em juízo preliminar, quanto a sua</w:t>
            </w:r>
            <w:r w:rsidRPr="00D462F0">
              <w:rPr>
                <w:rFonts w:asciiTheme="majorHAnsi" w:hAnsiTheme="majorHAnsi" w:cstheme="majorHAnsi"/>
                <w:color w:val="0000FF"/>
                <w:sz w:val="24"/>
                <w:szCs w:val="24"/>
              </w:rPr>
              <w:t xml:space="preserve"> </w:t>
            </w:r>
            <w:r w:rsidRPr="00D462F0">
              <w:rPr>
                <w:rFonts w:asciiTheme="majorHAnsi" w:hAnsiTheme="majorHAnsi" w:cstheme="majorHAnsi"/>
                <w:sz w:val="24"/>
                <w:szCs w:val="24"/>
              </w:rPr>
              <w:t>conveniência e oportunidade.</w:t>
            </w:r>
          </w:p>
          <w:p w14:paraId="08BC2229" w14:textId="77777777" w:rsidR="00873D21" w:rsidRPr="00D462F0" w:rsidRDefault="00873D21" w:rsidP="00D462F0">
            <w:pPr>
              <w:jc w:val="both"/>
              <w:rPr>
                <w:rFonts w:asciiTheme="majorHAnsi" w:hAnsiTheme="majorHAnsi" w:cstheme="majorHAnsi"/>
                <w:strike/>
                <w:color w:val="EE0000"/>
                <w:sz w:val="24"/>
                <w:szCs w:val="24"/>
              </w:rPr>
            </w:pPr>
          </w:p>
        </w:tc>
        <w:tc>
          <w:tcPr>
            <w:tcW w:w="4074" w:type="dxa"/>
          </w:tcPr>
          <w:p w14:paraId="5518954C" w14:textId="77777777" w:rsidR="00873D21" w:rsidRPr="00D462F0" w:rsidRDefault="00873D21" w:rsidP="00D462F0">
            <w:pPr>
              <w:jc w:val="both"/>
              <w:rPr>
                <w:rFonts w:asciiTheme="majorHAnsi" w:hAnsiTheme="majorHAnsi" w:cstheme="majorHAnsi"/>
                <w:b/>
                <w:sz w:val="24"/>
                <w:szCs w:val="24"/>
              </w:rPr>
            </w:pPr>
            <w:r w:rsidRPr="00D462F0">
              <w:rPr>
                <w:rFonts w:asciiTheme="majorHAnsi" w:hAnsiTheme="majorHAnsi" w:cstheme="majorHAnsi"/>
                <w:sz w:val="24"/>
                <w:szCs w:val="24"/>
              </w:rPr>
              <w:lastRenderedPageBreak/>
              <w:t>Ajuste de redação, transformando a proposta em pedido, observando ser um “juízo preliminar” porque o art. 257 fala em “decisão discricionária final” pela DICOL</w:t>
            </w:r>
            <w:r w:rsidRPr="00D462F0">
              <w:rPr>
                <w:rFonts w:asciiTheme="majorHAnsi" w:hAnsiTheme="majorHAnsi" w:cstheme="majorHAnsi"/>
                <w:b/>
                <w:sz w:val="24"/>
                <w:szCs w:val="24"/>
              </w:rPr>
              <w:t>.</w:t>
            </w:r>
          </w:p>
          <w:p w14:paraId="3477337F" w14:textId="77777777" w:rsidR="00873D21" w:rsidRPr="00D462F0" w:rsidRDefault="00873D21" w:rsidP="00D462F0">
            <w:pPr>
              <w:jc w:val="both"/>
              <w:rPr>
                <w:rFonts w:asciiTheme="majorHAnsi" w:hAnsiTheme="majorHAnsi" w:cstheme="majorHAnsi"/>
                <w:sz w:val="24"/>
                <w:szCs w:val="24"/>
              </w:rPr>
            </w:pPr>
          </w:p>
        </w:tc>
        <w:tc>
          <w:tcPr>
            <w:tcW w:w="4075" w:type="dxa"/>
          </w:tcPr>
          <w:p w14:paraId="2E732600" w14:textId="77777777" w:rsidR="00873D21" w:rsidRPr="00D462F0" w:rsidRDefault="00873D2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Decreto nº 10.411, de 2020, art. 4º, inciso V, alínea “a”.</w:t>
            </w:r>
          </w:p>
          <w:p w14:paraId="1285A0CD" w14:textId="77777777" w:rsidR="00873D21" w:rsidRPr="00D462F0" w:rsidRDefault="00873D2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atualização pretende destacar que o TAC como é uma possibilidade ao interessado, e como uma prerrogativa </w:t>
            </w:r>
            <w:r w:rsidRPr="00D462F0">
              <w:rPr>
                <w:rFonts w:asciiTheme="majorHAnsi" w:hAnsiTheme="majorHAnsi" w:cstheme="majorHAnsi"/>
                <w:bCs/>
                <w:sz w:val="24"/>
                <w:szCs w:val="24"/>
              </w:rPr>
              <w:lastRenderedPageBreak/>
              <w:t xml:space="preserve">da Previc para assegurar maior higidez tanto no âmbito da EFPC quanto do sistema de previdência complementar fechada. Considerando como componente da higidez o pilar da preservação da conformidade regulatória, o TAC oportuniza à EFPC a possibilidade de restaurar seu alinhamento com as normas da Previc, do CNPC e da legislação aplicável, e na governança e controles internos da entidade; funcionando como gatilho para o fortalecimento de práticas internas que sustentam a higidez. </w:t>
            </w:r>
          </w:p>
          <w:p w14:paraId="2B7680EF" w14:textId="77777777" w:rsidR="00873D21" w:rsidRPr="00D462F0" w:rsidRDefault="00873D2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Possibilitar à Previc papel ativo na proposição de TAC, reforça a dimensão preventiva e educativa da regulação.  </w:t>
            </w:r>
          </w:p>
          <w:p w14:paraId="7C3D2DF5" w14:textId="77777777" w:rsidR="00873D21" w:rsidRPr="00D462F0" w:rsidRDefault="00873D2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p w14:paraId="5BFF563E" w14:textId="77777777" w:rsidR="00873D21" w:rsidRPr="00D462F0" w:rsidRDefault="00873D21" w:rsidP="00D462F0">
            <w:pPr>
              <w:jc w:val="both"/>
              <w:rPr>
                <w:rFonts w:asciiTheme="majorHAnsi" w:hAnsiTheme="majorHAnsi" w:cstheme="majorHAnsi"/>
                <w:bCs/>
                <w:sz w:val="24"/>
                <w:szCs w:val="24"/>
              </w:rPr>
            </w:pPr>
          </w:p>
        </w:tc>
      </w:tr>
      <w:tr w:rsidR="00EB19CA" w:rsidRPr="00C93770" w14:paraId="02DA02CF" w14:textId="77777777" w:rsidTr="1756A420">
        <w:tc>
          <w:tcPr>
            <w:tcW w:w="4074" w:type="dxa"/>
          </w:tcPr>
          <w:p w14:paraId="71E23B65"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 xml:space="preserve">§ 2º Em caso positivo, </w:t>
            </w:r>
            <w:r w:rsidRPr="00D462F0">
              <w:rPr>
                <w:rFonts w:asciiTheme="majorHAnsi" w:hAnsiTheme="majorHAnsi" w:cstheme="majorHAnsi"/>
                <w:bCs/>
                <w:color w:val="000000"/>
                <w:sz w:val="24"/>
                <w:szCs w:val="24"/>
              </w:rPr>
              <w:t>a proposta será submetida a comitê</w:t>
            </w:r>
            <w:r w:rsidRPr="00D462F0">
              <w:rPr>
                <w:rFonts w:asciiTheme="majorHAnsi" w:hAnsiTheme="majorHAnsi" w:cstheme="majorHAnsi"/>
                <w:color w:val="000000"/>
                <w:sz w:val="24"/>
                <w:szCs w:val="24"/>
              </w:rPr>
              <w:t xml:space="preserve"> composto por três servidores indicados pela Diretoria de Fiscalização e Monitoramento, pela Diretoria de Licenciamento e pela Diretoria de Normas.</w:t>
            </w:r>
          </w:p>
          <w:p w14:paraId="5663A2CF" w14:textId="77777777" w:rsidR="00EB19CA" w:rsidRPr="00D462F0" w:rsidRDefault="00EB19CA" w:rsidP="00D462F0">
            <w:pPr>
              <w:jc w:val="both"/>
              <w:rPr>
                <w:rFonts w:asciiTheme="majorHAnsi" w:hAnsiTheme="majorHAnsi" w:cstheme="majorHAnsi"/>
                <w:color w:val="000000"/>
                <w:sz w:val="24"/>
                <w:szCs w:val="24"/>
              </w:rPr>
            </w:pPr>
          </w:p>
        </w:tc>
        <w:tc>
          <w:tcPr>
            <w:tcW w:w="4074" w:type="dxa"/>
          </w:tcPr>
          <w:p w14:paraId="4131B30D" w14:textId="46EFD89F"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 2º Em caso positivo, </w:t>
            </w:r>
            <w:r w:rsidRPr="00D462F0">
              <w:rPr>
                <w:rFonts w:asciiTheme="majorHAnsi" w:hAnsiTheme="majorHAnsi" w:cstheme="majorHAnsi"/>
                <w:bCs/>
                <w:strike/>
                <w:color w:val="EE0000"/>
                <w:sz w:val="24"/>
                <w:szCs w:val="24"/>
              </w:rPr>
              <w:t>a proposta será submetida a comitê</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o pedido será submetido ao Comitê</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00"/>
                <w:sz w:val="24"/>
                <w:szCs w:val="24"/>
              </w:rPr>
              <w:t>composto por três servidores indicados pela Diretoria de Fiscalização e Monitoramento, pela Diretoria de Licenciamento e pela Diretoria de Normas.</w:t>
            </w:r>
          </w:p>
          <w:p w14:paraId="4769D463" w14:textId="77777777" w:rsidR="00EB19CA" w:rsidRPr="00D462F0" w:rsidRDefault="00EB19CA" w:rsidP="00D462F0">
            <w:pPr>
              <w:jc w:val="both"/>
              <w:rPr>
                <w:rFonts w:asciiTheme="majorHAnsi" w:hAnsiTheme="majorHAnsi" w:cstheme="majorHAnsi"/>
                <w:strike/>
                <w:color w:val="EE0000"/>
                <w:sz w:val="24"/>
                <w:szCs w:val="24"/>
              </w:rPr>
            </w:pPr>
          </w:p>
        </w:tc>
        <w:tc>
          <w:tcPr>
            <w:tcW w:w="4074" w:type="dxa"/>
          </w:tcPr>
          <w:p w14:paraId="4205B71A" w14:textId="77777777" w:rsidR="00EB19CA" w:rsidRPr="00D462F0" w:rsidRDefault="00EB19CA" w:rsidP="00D462F0">
            <w:pPr>
              <w:jc w:val="both"/>
              <w:rPr>
                <w:rFonts w:asciiTheme="majorHAnsi" w:hAnsiTheme="majorHAnsi" w:cstheme="majorHAnsi"/>
                <w:sz w:val="24"/>
                <w:szCs w:val="24"/>
              </w:rPr>
            </w:pPr>
          </w:p>
        </w:tc>
        <w:tc>
          <w:tcPr>
            <w:tcW w:w="4075" w:type="dxa"/>
          </w:tcPr>
          <w:p w14:paraId="704E31D1" w14:textId="77777777" w:rsidR="00EB19CA" w:rsidRPr="00D462F0" w:rsidRDefault="00EB19CA" w:rsidP="00D462F0">
            <w:pPr>
              <w:jc w:val="both"/>
              <w:rPr>
                <w:rFonts w:asciiTheme="majorHAnsi" w:hAnsiTheme="majorHAnsi" w:cstheme="majorHAnsi"/>
                <w:bCs/>
                <w:sz w:val="24"/>
                <w:szCs w:val="24"/>
              </w:rPr>
            </w:pPr>
          </w:p>
        </w:tc>
      </w:tr>
      <w:tr w:rsidR="00EB19CA" w:rsidRPr="00C93770" w14:paraId="00439CBB" w14:textId="77777777" w:rsidTr="1756A420">
        <w:tc>
          <w:tcPr>
            <w:tcW w:w="4074" w:type="dxa"/>
          </w:tcPr>
          <w:p w14:paraId="769BEDB6"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 3º Em caso negativo, a Diretoria de Fiscalização e Monitoramento comunicará ao interessado o indeferimento </w:t>
            </w:r>
            <w:r w:rsidRPr="00D462F0">
              <w:rPr>
                <w:rFonts w:asciiTheme="majorHAnsi" w:hAnsiTheme="majorHAnsi" w:cstheme="majorHAnsi"/>
                <w:bCs/>
                <w:color w:val="000000"/>
                <w:sz w:val="24"/>
                <w:szCs w:val="24"/>
              </w:rPr>
              <w:t>da proposta</w:t>
            </w:r>
            <w:r w:rsidRPr="00D462F0">
              <w:rPr>
                <w:rFonts w:asciiTheme="majorHAnsi" w:hAnsiTheme="majorHAnsi" w:cstheme="majorHAnsi"/>
                <w:color w:val="000000"/>
                <w:sz w:val="24"/>
                <w:szCs w:val="24"/>
              </w:rPr>
              <w:t xml:space="preserve"> de Termo de Ajustamento de Conduta.</w:t>
            </w:r>
          </w:p>
          <w:p w14:paraId="3D57863F" w14:textId="2E7A589D" w:rsidR="00EB19CA" w:rsidRPr="00D462F0" w:rsidRDefault="00EB19CA" w:rsidP="00D462F0">
            <w:pPr>
              <w:jc w:val="both"/>
              <w:rPr>
                <w:rFonts w:asciiTheme="majorHAnsi" w:hAnsiTheme="majorHAnsi" w:cstheme="majorHAnsi"/>
                <w:color w:val="000000"/>
                <w:sz w:val="24"/>
                <w:szCs w:val="24"/>
              </w:rPr>
            </w:pPr>
          </w:p>
        </w:tc>
        <w:tc>
          <w:tcPr>
            <w:tcW w:w="4074" w:type="dxa"/>
          </w:tcPr>
          <w:p w14:paraId="64B0D5EF" w14:textId="45606C59"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 3º Em caso negativo, a Diretoria de Fiscalização e Monitoramento comunicará ao interessado o indeferimento </w:t>
            </w:r>
            <w:r w:rsidRPr="00D462F0">
              <w:rPr>
                <w:rFonts w:asciiTheme="majorHAnsi" w:hAnsiTheme="majorHAnsi" w:cstheme="majorHAnsi"/>
                <w:bCs/>
                <w:strike/>
                <w:color w:val="EE0000"/>
                <w:sz w:val="24"/>
                <w:szCs w:val="24"/>
              </w:rPr>
              <w:t>da proposta</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do pedido</w:t>
            </w:r>
            <w:r w:rsidRPr="00D462F0">
              <w:rPr>
                <w:rFonts w:asciiTheme="majorHAnsi" w:hAnsiTheme="majorHAnsi" w:cstheme="majorHAnsi"/>
                <w:bCs/>
                <w:color w:val="000000"/>
                <w:sz w:val="24"/>
                <w:szCs w:val="24"/>
              </w:rPr>
              <w:t xml:space="preserve"> de Termo de Ajustamento de Conduta.</w:t>
            </w:r>
          </w:p>
          <w:p w14:paraId="61C600AB" w14:textId="77777777" w:rsidR="00EB19CA" w:rsidRPr="00D462F0" w:rsidRDefault="00EB19CA" w:rsidP="00D462F0">
            <w:pPr>
              <w:jc w:val="both"/>
              <w:rPr>
                <w:rFonts w:asciiTheme="majorHAnsi" w:hAnsiTheme="majorHAnsi" w:cstheme="majorHAnsi"/>
                <w:strike/>
                <w:color w:val="EE0000"/>
                <w:sz w:val="24"/>
                <w:szCs w:val="24"/>
              </w:rPr>
            </w:pPr>
          </w:p>
        </w:tc>
        <w:tc>
          <w:tcPr>
            <w:tcW w:w="4074" w:type="dxa"/>
          </w:tcPr>
          <w:p w14:paraId="04147B8A" w14:textId="77777777" w:rsidR="00EB19CA" w:rsidRPr="00D462F0" w:rsidRDefault="00EB19CA" w:rsidP="00D462F0">
            <w:pPr>
              <w:jc w:val="both"/>
              <w:rPr>
                <w:rFonts w:asciiTheme="majorHAnsi" w:hAnsiTheme="majorHAnsi" w:cstheme="majorHAnsi"/>
                <w:sz w:val="24"/>
                <w:szCs w:val="24"/>
              </w:rPr>
            </w:pPr>
          </w:p>
        </w:tc>
        <w:tc>
          <w:tcPr>
            <w:tcW w:w="4075" w:type="dxa"/>
          </w:tcPr>
          <w:p w14:paraId="20D40153" w14:textId="77777777" w:rsidR="00EB19CA" w:rsidRPr="00D462F0" w:rsidRDefault="00EB19CA" w:rsidP="00D462F0">
            <w:pPr>
              <w:jc w:val="both"/>
              <w:rPr>
                <w:rFonts w:asciiTheme="majorHAnsi" w:hAnsiTheme="majorHAnsi" w:cstheme="majorHAnsi"/>
                <w:bCs/>
                <w:sz w:val="24"/>
                <w:szCs w:val="24"/>
              </w:rPr>
            </w:pPr>
          </w:p>
        </w:tc>
      </w:tr>
      <w:tr w:rsidR="00B41846" w:rsidRPr="00C93770" w14:paraId="5512467B" w14:textId="77777777" w:rsidTr="1756A420">
        <w:tc>
          <w:tcPr>
            <w:tcW w:w="4074" w:type="dxa"/>
          </w:tcPr>
          <w:p w14:paraId="62F421E0" w14:textId="6BE02E0E" w:rsidR="00B41846" w:rsidRPr="00D462F0" w:rsidRDefault="00B41846"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4AC46BCF" w14:textId="34BD2245" w:rsidR="00B41846" w:rsidRPr="00D462F0" w:rsidRDefault="00B41846" w:rsidP="00D462F0">
            <w:pPr>
              <w:jc w:val="both"/>
              <w:rPr>
                <w:rFonts w:asciiTheme="majorHAnsi" w:hAnsiTheme="majorHAnsi" w:cstheme="majorHAnsi"/>
                <w:color w:val="EE0000"/>
                <w:sz w:val="24"/>
                <w:szCs w:val="24"/>
              </w:rPr>
            </w:pPr>
            <w:r w:rsidRPr="00D462F0">
              <w:rPr>
                <w:rFonts w:asciiTheme="majorHAnsi" w:hAnsiTheme="majorHAnsi" w:cstheme="majorHAnsi"/>
                <w:sz w:val="24"/>
                <w:szCs w:val="24"/>
              </w:rPr>
              <w:t>...</w:t>
            </w:r>
          </w:p>
        </w:tc>
        <w:tc>
          <w:tcPr>
            <w:tcW w:w="4074" w:type="dxa"/>
          </w:tcPr>
          <w:p w14:paraId="6C68D171" w14:textId="77777777" w:rsidR="00B41846" w:rsidRPr="00D462F0" w:rsidRDefault="00B41846" w:rsidP="00D462F0">
            <w:pPr>
              <w:jc w:val="both"/>
              <w:rPr>
                <w:rFonts w:asciiTheme="majorHAnsi" w:hAnsiTheme="majorHAnsi" w:cstheme="majorHAnsi"/>
                <w:sz w:val="24"/>
                <w:szCs w:val="24"/>
              </w:rPr>
            </w:pPr>
          </w:p>
        </w:tc>
        <w:tc>
          <w:tcPr>
            <w:tcW w:w="4075" w:type="dxa"/>
          </w:tcPr>
          <w:p w14:paraId="0C37D5D0" w14:textId="77777777" w:rsidR="00B41846" w:rsidRPr="00D462F0" w:rsidRDefault="00B41846" w:rsidP="00D462F0">
            <w:pPr>
              <w:jc w:val="both"/>
              <w:rPr>
                <w:rFonts w:asciiTheme="majorHAnsi" w:hAnsiTheme="majorHAnsi" w:cstheme="majorHAnsi"/>
                <w:bCs/>
                <w:sz w:val="24"/>
                <w:szCs w:val="24"/>
              </w:rPr>
            </w:pPr>
          </w:p>
        </w:tc>
      </w:tr>
      <w:tr w:rsidR="00EB19CA" w:rsidRPr="00C93770" w14:paraId="52108730" w14:textId="77777777" w:rsidTr="1756A420">
        <w:tc>
          <w:tcPr>
            <w:tcW w:w="4074" w:type="dxa"/>
          </w:tcPr>
          <w:p w14:paraId="39AB7FF7" w14:textId="2D82079D"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256. </w:t>
            </w:r>
            <w:r w:rsidR="003A62EF"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O comitê poderá, antes da elaboração do seu parecer, negociar com o proponente as condições da proposta que lhe pareçam mais adequadas.</w:t>
            </w:r>
          </w:p>
        </w:tc>
        <w:tc>
          <w:tcPr>
            <w:tcW w:w="4074" w:type="dxa"/>
          </w:tcPr>
          <w:p w14:paraId="6C3BC295" w14:textId="047281F4" w:rsidR="00EB19CA" w:rsidRPr="00D462F0" w:rsidRDefault="00EB19CA" w:rsidP="00D462F0">
            <w:pPr>
              <w:jc w:val="both"/>
              <w:rPr>
                <w:rFonts w:asciiTheme="majorHAnsi" w:hAnsiTheme="majorHAnsi" w:cstheme="majorHAnsi"/>
                <w:strike/>
                <w:color w:val="EE0000"/>
                <w:sz w:val="24"/>
                <w:szCs w:val="24"/>
              </w:rPr>
            </w:pPr>
            <w:r w:rsidRPr="00D462F0">
              <w:rPr>
                <w:rFonts w:asciiTheme="majorHAnsi" w:hAnsiTheme="majorHAnsi" w:cstheme="majorHAnsi"/>
                <w:strike/>
                <w:color w:val="EE0000"/>
                <w:sz w:val="24"/>
                <w:szCs w:val="24"/>
              </w:rPr>
              <w:t>Art. 256. O comitê poderá, antes da elaboração do seu parecer, negociar com o proponente as condições da proposta que lhe pareçam mais adequadas.</w:t>
            </w:r>
          </w:p>
          <w:p w14:paraId="58D056FB" w14:textId="77777777" w:rsidR="00B570A5" w:rsidRPr="00D462F0" w:rsidRDefault="00B570A5" w:rsidP="00D462F0">
            <w:pPr>
              <w:jc w:val="both"/>
              <w:rPr>
                <w:rFonts w:asciiTheme="majorHAnsi" w:hAnsiTheme="majorHAnsi" w:cstheme="majorHAnsi"/>
                <w:bCs/>
                <w:strike/>
                <w:color w:val="EE0000"/>
                <w:sz w:val="24"/>
                <w:szCs w:val="24"/>
              </w:rPr>
            </w:pPr>
          </w:p>
          <w:p w14:paraId="035909B7" w14:textId="14787561"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Art. 256.  Compete ao Comitê a análise técnica do pedido formulado, bem como a negociação dos termos do TAC, indicando as condições para sua formalização.</w:t>
            </w:r>
          </w:p>
        </w:tc>
        <w:tc>
          <w:tcPr>
            <w:tcW w:w="4074" w:type="dxa"/>
          </w:tcPr>
          <w:p w14:paraId="229A2C60"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Compete à Previc harmonizar as atividades das EFPC com as normas e políticas estabelecidas para o segmento. Assim, primando pelo princípio da eficiência, cabe-lhe indicar expressamente as medidas a serem implementadas pelo interessado.</w:t>
            </w:r>
          </w:p>
          <w:p w14:paraId="09D662F0" w14:textId="073BF7B2" w:rsidR="00EB19CA" w:rsidRPr="00D462F0" w:rsidRDefault="00EB19CA" w:rsidP="00D462F0">
            <w:pPr>
              <w:jc w:val="both"/>
              <w:rPr>
                <w:rFonts w:asciiTheme="majorHAnsi" w:hAnsiTheme="majorHAnsi" w:cstheme="majorHAnsi"/>
                <w:sz w:val="24"/>
                <w:szCs w:val="24"/>
              </w:rPr>
            </w:pPr>
          </w:p>
        </w:tc>
        <w:tc>
          <w:tcPr>
            <w:tcW w:w="4075" w:type="dxa"/>
          </w:tcPr>
          <w:p w14:paraId="5BCFDD6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506CAE1A"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atualização pretende destacar o TAC uma possibilidade ao interessado, e uma prerrogativa da Previc para assegurar maior higidez tanto no âmbito da EFPC quanto do sistema de previdência complementar fechada. Considerando como componente da higidez o pilar da preservação da conformidade regulatória, o TAC oportuniza à EFPC a possibilidade de restaurar seu alinhamento com as normas da Previc, do CNPC e da legislação aplicável, e na governança e controles internos da entidade; funcionando como gatilho para o fortalecimento de práticas internas que sustentam a higidez. </w:t>
            </w:r>
          </w:p>
          <w:p w14:paraId="745FE97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Possibilitar à Previc papel ativo na proposição de TAC, reforça a dimensão preventiva e educativa da regulação.  </w:t>
            </w:r>
          </w:p>
          <w:p w14:paraId="009E402C" w14:textId="1E8B97A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EB19CA" w:rsidRPr="00C93770" w14:paraId="5698EFD5" w14:textId="77777777" w:rsidTr="1756A420">
        <w:tc>
          <w:tcPr>
            <w:tcW w:w="4074" w:type="dxa"/>
          </w:tcPr>
          <w:p w14:paraId="1722C29B" w14:textId="6F849476"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 1º </w:t>
            </w:r>
            <w:r w:rsidR="003A62EF"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A negociação entre o comitê e o proponente deverá ser concluída no prazo máximo de 60 (sessenta) dias, sendo facultado ao proponente, ao término das negociações, aditar os termos de sua proposta inicial, no prazo assinalado pelo comitê.</w:t>
            </w:r>
          </w:p>
        </w:tc>
        <w:tc>
          <w:tcPr>
            <w:tcW w:w="4074" w:type="dxa"/>
          </w:tcPr>
          <w:p w14:paraId="2B907593" w14:textId="06F0E524"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 1º  A negociação entre o </w:t>
            </w:r>
            <w:r w:rsidR="003D63E3" w:rsidRPr="00D462F0">
              <w:rPr>
                <w:rFonts w:asciiTheme="majorHAnsi" w:hAnsiTheme="majorHAnsi" w:cstheme="majorHAnsi"/>
                <w:strike/>
                <w:color w:val="EE0000"/>
                <w:sz w:val="24"/>
                <w:szCs w:val="24"/>
              </w:rPr>
              <w:t>comitê</w:t>
            </w:r>
            <w:r w:rsidR="003D63E3" w:rsidRPr="00D462F0">
              <w:rPr>
                <w:rFonts w:asciiTheme="majorHAnsi" w:hAnsiTheme="majorHAnsi" w:cstheme="majorHAnsi"/>
                <w:color w:val="EE0000"/>
                <w:sz w:val="24"/>
                <w:szCs w:val="24"/>
              </w:rPr>
              <w:t xml:space="preserve"> </w:t>
            </w:r>
            <w:proofErr w:type="spellStart"/>
            <w:r w:rsidRPr="00D462F0">
              <w:rPr>
                <w:rFonts w:asciiTheme="majorHAnsi" w:hAnsiTheme="majorHAnsi" w:cstheme="majorHAnsi"/>
                <w:bCs/>
                <w:color w:val="0000FF"/>
                <w:sz w:val="24"/>
                <w:szCs w:val="24"/>
              </w:rPr>
              <w:t>Comitê</w:t>
            </w:r>
            <w:proofErr w:type="spellEnd"/>
            <w:r w:rsidRPr="00D462F0">
              <w:rPr>
                <w:rFonts w:asciiTheme="majorHAnsi" w:hAnsiTheme="majorHAnsi" w:cstheme="majorHAnsi"/>
                <w:bCs/>
                <w:color w:val="0000FF"/>
                <w:sz w:val="24"/>
                <w:szCs w:val="24"/>
              </w:rPr>
              <w:t xml:space="preserve"> e o proponente deverá ser concluída no prazo máximo de</w:t>
            </w:r>
            <w:r w:rsidR="003D63E3" w:rsidRPr="00D462F0">
              <w:rPr>
                <w:rFonts w:asciiTheme="majorHAnsi" w:hAnsiTheme="majorHAnsi" w:cstheme="majorHAnsi"/>
                <w:bCs/>
                <w:color w:val="0000FF"/>
                <w:sz w:val="24"/>
                <w:szCs w:val="24"/>
              </w:rPr>
              <w:t xml:space="preserve"> </w:t>
            </w:r>
            <w:r w:rsidR="003D63E3" w:rsidRPr="00D462F0">
              <w:rPr>
                <w:rFonts w:asciiTheme="majorHAnsi" w:hAnsiTheme="majorHAnsi" w:cstheme="majorHAnsi"/>
                <w:bCs/>
                <w:strike/>
                <w:color w:val="EE0000"/>
                <w:sz w:val="24"/>
                <w:szCs w:val="24"/>
              </w:rPr>
              <w:t>60 (sessenta)</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sessenta dias</w:t>
            </w:r>
            <w:r w:rsidRPr="00D462F0">
              <w:rPr>
                <w:rFonts w:asciiTheme="majorHAnsi" w:hAnsiTheme="majorHAnsi" w:cstheme="majorHAnsi"/>
                <w:bCs/>
                <w:strike/>
                <w:color w:val="EE0000"/>
                <w:sz w:val="24"/>
                <w:szCs w:val="24"/>
              </w:rPr>
              <w:t xml:space="preserve">, </w:t>
            </w:r>
            <w:r w:rsidRPr="00D462F0">
              <w:rPr>
                <w:rFonts w:asciiTheme="majorHAnsi" w:hAnsiTheme="majorHAnsi" w:cstheme="majorHAnsi"/>
                <w:strike/>
                <w:color w:val="EE0000"/>
                <w:sz w:val="24"/>
                <w:szCs w:val="24"/>
              </w:rPr>
              <w:t>sendo facultado ao proponente, ao término das negociações, aditar os termos de sua proposta inicial, no prazo assinalado pelo comitê</w:t>
            </w:r>
            <w:r w:rsidRPr="00D462F0">
              <w:rPr>
                <w:rFonts w:asciiTheme="majorHAnsi" w:hAnsiTheme="majorHAnsi" w:cstheme="majorHAnsi"/>
                <w:color w:val="000000"/>
                <w:sz w:val="24"/>
                <w:szCs w:val="24"/>
              </w:rPr>
              <w:t>.</w:t>
            </w:r>
          </w:p>
        </w:tc>
        <w:tc>
          <w:tcPr>
            <w:tcW w:w="4074" w:type="dxa"/>
          </w:tcPr>
          <w:p w14:paraId="4F979AD8"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Supressão da “proposta” do interessado, já que os termos do TAC emergirão da negociação.</w:t>
            </w:r>
          </w:p>
          <w:p w14:paraId="5FFB43E5" w14:textId="0EB1A1C4" w:rsidR="00EB19CA" w:rsidRPr="00D462F0" w:rsidRDefault="00EB19CA" w:rsidP="00D462F0">
            <w:pPr>
              <w:jc w:val="both"/>
              <w:rPr>
                <w:rFonts w:asciiTheme="majorHAnsi" w:hAnsiTheme="majorHAnsi" w:cstheme="majorHAnsi"/>
                <w:sz w:val="24"/>
                <w:szCs w:val="24"/>
              </w:rPr>
            </w:pPr>
          </w:p>
        </w:tc>
        <w:tc>
          <w:tcPr>
            <w:tcW w:w="4075" w:type="dxa"/>
          </w:tcPr>
          <w:p w14:paraId="4303CC1B"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03E8A680"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Definição da análise e prazo do Comitê do TAC.</w:t>
            </w:r>
          </w:p>
          <w:p w14:paraId="0F4823D7"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Considerando como componente da higidez o pilar da preservação da conformidade regulatória, o TAC oportuniza à EFPC a possibilidade de restaurar seu alinhamento com as </w:t>
            </w:r>
            <w:r w:rsidRPr="00D462F0">
              <w:rPr>
                <w:rFonts w:asciiTheme="majorHAnsi" w:hAnsiTheme="majorHAnsi" w:cstheme="majorHAnsi"/>
                <w:bCs/>
                <w:sz w:val="24"/>
                <w:szCs w:val="24"/>
              </w:rPr>
              <w:lastRenderedPageBreak/>
              <w:t xml:space="preserve">normas da Previc, do CNPC e da legislação aplicável, e na governança e controles internos da entidade; funcionando como gatilho para o fortalecimento de práticas internas que sustentam a higidez. </w:t>
            </w:r>
          </w:p>
          <w:p w14:paraId="5D93B07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Possibilitar à Previc papel ativo na proposição de TAC, reforça a dimensão preventiva e educativa da regulação.  </w:t>
            </w:r>
          </w:p>
          <w:p w14:paraId="45688A92" w14:textId="05E4C7E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EB19CA" w:rsidRPr="00C93770" w14:paraId="698BDAD1" w14:textId="77777777" w:rsidTr="1756A420">
        <w:tc>
          <w:tcPr>
            <w:tcW w:w="4074" w:type="dxa"/>
          </w:tcPr>
          <w:p w14:paraId="1A13CCA3" w14:textId="190AA5AF" w:rsidR="00EB19CA" w:rsidRPr="0028717C" w:rsidRDefault="00EB19CA" w:rsidP="00D462F0">
            <w:pPr>
              <w:jc w:val="both"/>
              <w:rPr>
                <w:rFonts w:asciiTheme="majorHAnsi" w:hAnsiTheme="majorHAnsi" w:cstheme="majorHAnsi"/>
                <w:color w:val="000000"/>
                <w:sz w:val="24"/>
                <w:szCs w:val="24"/>
              </w:rPr>
            </w:pPr>
            <w:r w:rsidRPr="0028717C">
              <w:rPr>
                <w:rFonts w:asciiTheme="majorHAnsi" w:hAnsiTheme="majorHAnsi" w:cstheme="majorHAnsi"/>
                <w:color w:val="000000"/>
                <w:sz w:val="24"/>
                <w:szCs w:val="24"/>
              </w:rPr>
              <w:lastRenderedPageBreak/>
              <w:t xml:space="preserve">§ 2º </w:t>
            </w:r>
            <w:r w:rsidR="003A62EF" w:rsidRPr="0028717C">
              <w:rPr>
                <w:rFonts w:asciiTheme="majorHAnsi" w:hAnsiTheme="majorHAnsi" w:cstheme="majorHAnsi"/>
                <w:color w:val="000000"/>
                <w:sz w:val="24"/>
                <w:szCs w:val="24"/>
              </w:rPr>
              <w:t xml:space="preserve"> </w:t>
            </w:r>
            <w:r w:rsidRPr="0028717C">
              <w:rPr>
                <w:rFonts w:asciiTheme="majorHAnsi" w:hAnsiTheme="majorHAnsi" w:cstheme="majorHAnsi"/>
                <w:color w:val="000000"/>
                <w:sz w:val="24"/>
                <w:szCs w:val="24"/>
              </w:rPr>
              <w:t>Na hipótese do § 1º, o prazo para elaboração de parecer pelo comitê será contado da data em que concluída a negociação ou apresentado o aditamento à proposta inicial, conforme o caso.</w:t>
            </w:r>
          </w:p>
        </w:tc>
        <w:tc>
          <w:tcPr>
            <w:tcW w:w="4074" w:type="dxa"/>
          </w:tcPr>
          <w:p w14:paraId="1BE557A8" w14:textId="1F197171" w:rsidR="003D63E3" w:rsidRPr="00D462F0" w:rsidRDefault="00EB19CA" w:rsidP="00D462F0">
            <w:pPr>
              <w:jc w:val="both"/>
              <w:rPr>
                <w:rFonts w:asciiTheme="majorHAnsi" w:hAnsiTheme="majorHAnsi" w:cstheme="majorHAnsi"/>
                <w:strike/>
                <w:color w:val="EE0000"/>
                <w:sz w:val="24"/>
                <w:szCs w:val="24"/>
              </w:rPr>
            </w:pPr>
            <w:r w:rsidRPr="00D462F0">
              <w:rPr>
                <w:rFonts w:asciiTheme="majorHAnsi" w:hAnsiTheme="majorHAnsi" w:cstheme="majorHAnsi"/>
                <w:strike/>
                <w:color w:val="EE0000"/>
                <w:sz w:val="24"/>
                <w:szCs w:val="24"/>
              </w:rPr>
              <w:t>§ 2º Na hipótese do § 1º, o prazo para elaboração de parecer pelo comitê será contado da data em que concluída a negociação ou apresentado o aditamento à proposta inicial, conforme o caso.</w:t>
            </w:r>
          </w:p>
          <w:p w14:paraId="049E514D" w14:textId="66BCED77"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2º  Concluídas as negociações, no prazo de quinze dias o Comitê elaborará a minuta do TAC e emitirá parecer sobre a viabilidade técnica, operacional e financeira do ajuste.</w:t>
            </w:r>
          </w:p>
        </w:tc>
        <w:tc>
          <w:tcPr>
            <w:tcW w:w="4074" w:type="dxa"/>
          </w:tcPr>
          <w:p w14:paraId="32703BF3"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 elaboração da minuta do TAC pela Previc propicia maior padronização das cláusulas, bem como potencializa o poder de polícia da Autarquia, para impor os atos que reputar necessários.</w:t>
            </w:r>
          </w:p>
          <w:p w14:paraId="48A1A068" w14:textId="77777777" w:rsidR="00EB19CA" w:rsidRPr="00D462F0" w:rsidRDefault="00EB19CA" w:rsidP="00D462F0">
            <w:pPr>
              <w:jc w:val="both"/>
              <w:rPr>
                <w:rFonts w:asciiTheme="majorHAnsi" w:hAnsiTheme="majorHAnsi" w:cstheme="majorHAnsi"/>
                <w:sz w:val="24"/>
                <w:szCs w:val="24"/>
              </w:rPr>
            </w:pPr>
          </w:p>
        </w:tc>
        <w:tc>
          <w:tcPr>
            <w:tcW w:w="4075" w:type="dxa"/>
          </w:tcPr>
          <w:p w14:paraId="42CF5F89"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10473BB7"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Definição da análise e prazo do Comitê do TAC.</w:t>
            </w:r>
          </w:p>
          <w:p w14:paraId="2890E9B5" w14:textId="0532FE0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Considerando como componente da higidez o pilar da preservação da conformidade regulatória, o TAC oportuniza à EFPC a possibilidade de restaurar seu alinhamento com as normas da Previc, do CNPC e da legislação aplicável, e na governança e controles internos da entidade; funcionando como gatilho para o fortalecimento de práticas internas que sustentam a higidez. </w:t>
            </w:r>
          </w:p>
          <w:p w14:paraId="5A62948D"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Possibilitar à Previc papel ativo na proposição de TAC, reforça a dimensão preventiva e educativa da regulação.  </w:t>
            </w:r>
          </w:p>
          <w:p w14:paraId="7B93A0C7" w14:textId="12E9D03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Por isso, o artigo em questão se enquadra na dispensa de análise de impacto regulatório, por visar preservar a liquidez, solvência ou higidez, </w:t>
            </w:r>
            <w:r w:rsidRPr="00D462F0">
              <w:rPr>
                <w:rFonts w:asciiTheme="majorHAnsi" w:hAnsiTheme="majorHAnsi" w:cstheme="majorHAnsi"/>
                <w:bCs/>
                <w:sz w:val="24"/>
                <w:szCs w:val="24"/>
              </w:rPr>
              <w:lastRenderedPageBreak/>
              <w:t>conforme art. 4º, inciso V, alínea “a”, do Decreto nº 10.411, de 2020.</w:t>
            </w:r>
          </w:p>
        </w:tc>
      </w:tr>
      <w:tr w:rsidR="003A62EF" w:rsidRPr="00C93770" w14:paraId="0BD1DAFD" w14:textId="77777777" w:rsidTr="1756A420">
        <w:tc>
          <w:tcPr>
            <w:tcW w:w="4074" w:type="dxa"/>
          </w:tcPr>
          <w:p w14:paraId="38410602" w14:textId="2F2BCB8D" w:rsidR="003A62EF" w:rsidRPr="00D462F0" w:rsidRDefault="003A62EF" w:rsidP="000E01B8">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31904309" w14:textId="2E6D234A" w:rsidR="003A62EF" w:rsidRPr="00D462F0" w:rsidRDefault="003A62EF" w:rsidP="000E01B8">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06686E9D" w14:textId="77777777" w:rsidR="003A62EF" w:rsidRPr="00D462F0" w:rsidRDefault="003A62EF" w:rsidP="00D462F0">
            <w:pPr>
              <w:jc w:val="both"/>
              <w:rPr>
                <w:rFonts w:asciiTheme="majorHAnsi" w:hAnsiTheme="majorHAnsi" w:cstheme="majorHAnsi"/>
                <w:sz w:val="24"/>
                <w:szCs w:val="24"/>
              </w:rPr>
            </w:pPr>
          </w:p>
        </w:tc>
        <w:tc>
          <w:tcPr>
            <w:tcW w:w="4075" w:type="dxa"/>
          </w:tcPr>
          <w:p w14:paraId="6F68354E" w14:textId="77777777" w:rsidR="003A62EF" w:rsidRPr="00D462F0" w:rsidRDefault="003A62EF" w:rsidP="00D462F0">
            <w:pPr>
              <w:jc w:val="both"/>
              <w:rPr>
                <w:rFonts w:asciiTheme="majorHAnsi" w:hAnsiTheme="majorHAnsi" w:cstheme="majorHAnsi"/>
                <w:bCs/>
                <w:sz w:val="24"/>
                <w:szCs w:val="24"/>
              </w:rPr>
            </w:pPr>
          </w:p>
        </w:tc>
      </w:tr>
      <w:tr w:rsidR="00EB19CA" w:rsidRPr="00C93770" w14:paraId="3630A442" w14:textId="77777777" w:rsidTr="1756A420">
        <w:tc>
          <w:tcPr>
            <w:tcW w:w="4074" w:type="dxa"/>
          </w:tcPr>
          <w:p w14:paraId="13B8F984" w14:textId="6992BD06"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Art. 257.</w:t>
            </w:r>
            <w:r w:rsidR="002701A9"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 A proposta de celebração de TAC, acompanhada de parecer do comitê e da Procuradoria Federal, será submetida à deliberação da Diretoria Colegiada, para decisão discricionária final, por maioria simples. </w:t>
            </w:r>
          </w:p>
        </w:tc>
        <w:tc>
          <w:tcPr>
            <w:tcW w:w="4074" w:type="dxa"/>
          </w:tcPr>
          <w:p w14:paraId="3A48F8BF" w14:textId="6D2777FF"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257. </w:t>
            </w:r>
            <w:r w:rsidR="002701A9" w:rsidRPr="00D462F0">
              <w:rPr>
                <w:rFonts w:asciiTheme="majorHAnsi" w:hAnsiTheme="majorHAnsi" w:cstheme="majorHAnsi"/>
                <w:bCs/>
                <w:color w:val="000000"/>
                <w:sz w:val="24"/>
                <w:szCs w:val="24"/>
              </w:rPr>
              <w:t xml:space="preserve"> ...</w:t>
            </w:r>
          </w:p>
        </w:tc>
        <w:tc>
          <w:tcPr>
            <w:tcW w:w="4074" w:type="dxa"/>
          </w:tcPr>
          <w:p w14:paraId="1C7B8F48" w14:textId="6E4BC95B" w:rsidR="00EB19CA" w:rsidRPr="00D462F0" w:rsidRDefault="002701A9"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4B34731B" w14:textId="7843D8D4" w:rsidR="00EB19CA" w:rsidRPr="00D462F0" w:rsidRDefault="00EB19CA" w:rsidP="00D462F0">
            <w:pPr>
              <w:jc w:val="both"/>
              <w:rPr>
                <w:rFonts w:asciiTheme="majorHAnsi" w:hAnsiTheme="majorHAnsi" w:cstheme="majorHAnsi"/>
                <w:bCs/>
                <w:sz w:val="24"/>
                <w:szCs w:val="24"/>
              </w:rPr>
            </w:pPr>
          </w:p>
        </w:tc>
      </w:tr>
      <w:tr w:rsidR="000F15E0" w:rsidRPr="00C93770" w14:paraId="45205686" w14:textId="77777777" w:rsidTr="1756A420">
        <w:tc>
          <w:tcPr>
            <w:tcW w:w="4074" w:type="dxa"/>
          </w:tcPr>
          <w:p w14:paraId="308E12CA" w14:textId="0571D909" w:rsidR="000F15E0" w:rsidRPr="00D462F0" w:rsidRDefault="000F15E0"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55739943" w14:textId="7B59DC1F" w:rsidR="000F15E0" w:rsidRPr="00D462F0" w:rsidRDefault="000F15E0"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4ECB7CED" w14:textId="77777777" w:rsidR="000F15E0" w:rsidRPr="00D462F0" w:rsidRDefault="000F15E0" w:rsidP="00D462F0">
            <w:pPr>
              <w:jc w:val="both"/>
              <w:rPr>
                <w:rFonts w:asciiTheme="majorHAnsi" w:hAnsiTheme="majorHAnsi" w:cstheme="majorHAnsi"/>
                <w:sz w:val="24"/>
                <w:szCs w:val="24"/>
              </w:rPr>
            </w:pPr>
          </w:p>
        </w:tc>
        <w:tc>
          <w:tcPr>
            <w:tcW w:w="4075" w:type="dxa"/>
          </w:tcPr>
          <w:p w14:paraId="6F8464EA" w14:textId="77777777" w:rsidR="000F15E0" w:rsidRPr="00D462F0" w:rsidRDefault="000F15E0" w:rsidP="00D462F0">
            <w:pPr>
              <w:jc w:val="both"/>
              <w:rPr>
                <w:rFonts w:asciiTheme="majorHAnsi" w:hAnsiTheme="majorHAnsi" w:cstheme="majorHAnsi"/>
                <w:bCs/>
                <w:sz w:val="24"/>
                <w:szCs w:val="24"/>
              </w:rPr>
            </w:pPr>
          </w:p>
        </w:tc>
      </w:tr>
      <w:tr w:rsidR="00EB19CA" w:rsidRPr="00C93770" w14:paraId="41D207AB" w14:textId="77777777" w:rsidTr="1756A420">
        <w:tc>
          <w:tcPr>
            <w:tcW w:w="4074" w:type="dxa"/>
          </w:tcPr>
          <w:p w14:paraId="3666B37A" w14:textId="3C408B1F"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3º</w:t>
            </w:r>
            <w:r w:rsidR="002701A9"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 O controle e o acompanhamento da execução do TAC devem ser efetuados pela unidade regional.</w:t>
            </w:r>
          </w:p>
        </w:tc>
        <w:tc>
          <w:tcPr>
            <w:tcW w:w="4074" w:type="dxa"/>
          </w:tcPr>
          <w:p w14:paraId="1D002591" w14:textId="2671F235"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 3º </w:t>
            </w:r>
            <w:r w:rsidR="002701A9"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00"/>
                <w:sz w:val="24"/>
                <w:szCs w:val="24"/>
              </w:rPr>
              <w:t xml:space="preserve">O controle e o acompanhamento da execução do TAC devem ser efetuados pela </w:t>
            </w:r>
            <w:r w:rsidRPr="00D462F0">
              <w:rPr>
                <w:rFonts w:asciiTheme="majorHAnsi" w:hAnsiTheme="majorHAnsi" w:cstheme="majorHAnsi"/>
                <w:bCs/>
                <w:strike/>
                <w:color w:val="EE0000"/>
                <w:sz w:val="24"/>
                <w:szCs w:val="24"/>
              </w:rPr>
              <w:t>unidade regional</w:t>
            </w:r>
            <w:r w:rsidRPr="00D462F0">
              <w:rPr>
                <w:rFonts w:asciiTheme="majorHAnsi" w:hAnsiTheme="majorHAnsi" w:cstheme="majorHAnsi"/>
                <w:color w:val="EE0000"/>
                <w:sz w:val="24"/>
                <w:szCs w:val="24"/>
              </w:rPr>
              <w:t xml:space="preserve"> </w:t>
            </w:r>
            <w:r w:rsidRPr="00D462F0">
              <w:rPr>
                <w:rFonts w:asciiTheme="majorHAnsi" w:hAnsiTheme="majorHAnsi" w:cstheme="majorHAnsi"/>
                <w:bCs/>
                <w:color w:val="0000FF"/>
                <w:sz w:val="24"/>
                <w:szCs w:val="24"/>
              </w:rPr>
              <w:t>Coordenação-Geral de Fiscalização Direta.</w:t>
            </w:r>
          </w:p>
        </w:tc>
        <w:tc>
          <w:tcPr>
            <w:tcW w:w="4074" w:type="dxa"/>
          </w:tcPr>
          <w:p w14:paraId="6CF5CD2D"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do nome adequado da unidade competente.</w:t>
            </w:r>
          </w:p>
          <w:p w14:paraId="29ADE1C7" w14:textId="77777777" w:rsidR="00EB19CA" w:rsidRPr="00D462F0" w:rsidRDefault="00EB19CA" w:rsidP="00D462F0">
            <w:pPr>
              <w:jc w:val="both"/>
              <w:rPr>
                <w:rFonts w:asciiTheme="majorHAnsi" w:hAnsiTheme="majorHAnsi" w:cstheme="majorHAnsi"/>
                <w:sz w:val="24"/>
                <w:szCs w:val="24"/>
              </w:rPr>
            </w:pPr>
          </w:p>
        </w:tc>
        <w:tc>
          <w:tcPr>
            <w:tcW w:w="4075" w:type="dxa"/>
          </w:tcPr>
          <w:p w14:paraId="2CCD23EC"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54E7CFDA"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alteração de impacto operacional interno, pois atualiza a unidade responsável.</w:t>
            </w:r>
          </w:p>
          <w:p w14:paraId="0EBB4851" w14:textId="5C1DC41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se tratar de artigo de natureza administrativa, com efeitos diretos à Previc, o caso se enquadra em não aplicabilidade para a realização de AIR.</w:t>
            </w:r>
          </w:p>
        </w:tc>
      </w:tr>
      <w:tr w:rsidR="002773EE" w:rsidRPr="00C93770" w14:paraId="17D90436" w14:textId="77777777" w:rsidTr="1756A420">
        <w:tc>
          <w:tcPr>
            <w:tcW w:w="4074" w:type="dxa"/>
          </w:tcPr>
          <w:p w14:paraId="72CFF7BD" w14:textId="44EEE6C3" w:rsidR="002773EE" w:rsidRPr="00D462F0" w:rsidRDefault="002773EE"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F600878" w14:textId="1E597964" w:rsidR="002773EE" w:rsidRPr="00D462F0" w:rsidRDefault="002773EE"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1231B259" w14:textId="77777777" w:rsidR="002773EE" w:rsidRPr="00D462F0" w:rsidRDefault="002773EE" w:rsidP="00D462F0">
            <w:pPr>
              <w:jc w:val="both"/>
              <w:rPr>
                <w:rFonts w:asciiTheme="majorHAnsi" w:hAnsiTheme="majorHAnsi" w:cstheme="majorHAnsi"/>
                <w:sz w:val="24"/>
                <w:szCs w:val="24"/>
              </w:rPr>
            </w:pPr>
          </w:p>
        </w:tc>
        <w:tc>
          <w:tcPr>
            <w:tcW w:w="4075" w:type="dxa"/>
          </w:tcPr>
          <w:p w14:paraId="1793B024" w14:textId="77777777" w:rsidR="002773EE" w:rsidRPr="00D462F0" w:rsidRDefault="002773EE" w:rsidP="00D462F0">
            <w:pPr>
              <w:jc w:val="both"/>
              <w:rPr>
                <w:rFonts w:asciiTheme="majorHAnsi" w:hAnsiTheme="majorHAnsi" w:cstheme="majorHAnsi"/>
                <w:bCs/>
                <w:sz w:val="24"/>
                <w:szCs w:val="24"/>
              </w:rPr>
            </w:pPr>
          </w:p>
        </w:tc>
      </w:tr>
      <w:tr w:rsidR="00EB19CA" w:rsidRPr="00C93770" w14:paraId="0A7FF8C4" w14:textId="77777777" w:rsidTr="1756A420">
        <w:tc>
          <w:tcPr>
            <w:tcW w:w="4074" w:type="dxa"/>
          </w:tcPr>
          <w:p w14:paraId="1CBEE576" w14:textId="196DAC55"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261. </w:t>
            </w:r>
            <w:r w:rsidR="002701A9"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O procedimento ou processo administrativo em curso que tiver por objeto apurar a conduta abrangida pelo Termo de Ajustamento de Conduta deve ser suspenso durante a sua vigência.</w:t>
            </w:r>
          </w:p>
        </w:tc>
        <w:tc>
          <w:tcPr>
            <w:tcW w:w="4074" w:type="dxa"/>
          </w:tcPr>
          <w:p w14:paraId="398D5201" w14:textId="77777777" w:rsidR="003D63E3" w:rsidRPr="00D462F0" w:rsidRDefault="003D63E3" w:rsidP="00D462F0">
            <w:pPr>
              <w:jc w:val="both"/>
              <w:rPr>
                <w:rFonts w:asciiTheme="majorHAnsi" w:hAnsiTheme="majorHAnsi" w:cstheme="majorHAnsi"/>
                <w:strike/>
                <w:color w:val="EE0000"/>
                <w:sz w:val="24"/>
                <w:szCs w:val="24"/>
              </w:rPr>
            </w:pPr>
            <w:r w:rsidRPr="00D462F0">
              <w:rPr>
                <w:rFonts w:asciiTheme="majorHAnsi" w:hAnsiTheme="majorHAnsi" w:cstheme="majorHAnsi"/>
                <w:strike/>
                <w:color w:val="EE0000"/>
                <w:sz w:val="24"/>
                <w:szCs w:val="24"/>
              </w:rPr>
              <w:t>Art. 261.  O procedimento ou processo administrativo em curso que tiver por objeto apurar a conduta abrangida pelo Termo de Ajustamento de Conduta deve ser suspenso durante a sua vigência.</w:t>
            </w:r>
          </w:p>
          <w:p w14:paraId="1E2B58D7" w14:textId="77777777" w:rsidR="003D63E3" w:rsidRPr="00D462F0" w:rsidRDefault="003D63E3" w:rsidP="00D462F0">
            <w:pPr>
              <w:jc w:val="both"/>
              <w:rPr>
                <w:rFonts w:asciiTheme="majorHAnsi" w:hAnsiTheme="majorHAnsi" w:cstheme="majorHAnsi"/>
                <w:color w:val="000000"/>
                <w:sz w:val="24"/>
                <w:szCs w:val="24"/>
              </w:rPr>
            </w:pPr>
          </w:p>
          <w:p w14:paraId="6275AF97" w14:textId="4D2DA62F"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261.  </w:t>
            </w:r>
            <w:r w:rsidRPr="00D462F0">
              <w:rPr>
                <w:rFonts w:asciiTheme="majorHAnsi" w:hAnsiTheme="majorHAnsi" w:cstheme="majorHAnsi"/>
                <w:bCs/>
                <w:color w:val="0000FF"/>
                <w:sz w:val="24"/>
                <w:szCs w:val="24"/>
              </w:rPr>
              <w:t>Com a admissão do pedido d</w:t>
            </w:r>
            <w:r w:rsidR="003D63E3" w:rsidRPr="00D462F0">
              <w:rPr>
                <w:rFonts w:asciiTheme="majorHAnsi" w:hAnsiTheme="majorHAnsi" w:cstheme="majorHAnsi"/>
                <w:bCs/>
                <w:color w:val="0000FF"/>
                <w:sz w:val="24"/>
                <w:szCs w:val="24"/>
              </w:rPr>
              <w:t>o Termo de Ajustamento de Conduta</w:t>
            </w:r>
            <w:r w:rsidRPr="00D462F0">
              <w:rPr>
                <w:rFonts w:asciiTheme="majorHAnsi" w:hAnsiTheme="majorHAnsi" w:cstheme="majorHAnsi"/>
                <w:bCs/>
                <w:color w:val="0000FF"/>
                <w:sz w:val="24"/>
                <w:szCs w:val="24"/>
              </w:rPr>
              <w:t xml:space="preserve"> pela Diretoria de Fiscalização e Monitoramento, os processos administrativos que tenham por objeto condutas admitidas no juízo preliminar serão suspensos até o fim da vigência do ajuste.</w:t>
            </w:r>
          </w:p>
        </w:tc>
        <w:tc>
          <w:tcPr>
            <w:tcW w:w="4074" w:type="dxa"/>
          </w:tcPr>
          <w:p w14:paraId="718D7992"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 suspensão dos processos correlatos deve se dar já a partir da admissão do pedido de TAC, sob pena de se permitir a prática de atos conflitantes nos dois processos (TAC e investigatório).</w:t>
            </w:r>
          </w:p>
          <w:p w14:paraId="683A8F0F" w14:textId="08564B2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 redação proposta está mais aderente ao texto legal, que prescreve “qualquer ato inequívoco que importe em manifestação expressa de tentativa de solução conciliatória”</w:t>
            </w:r>
          </w:p>
          <w:p w14:paraId="57DE17E2" w14:textId="0646E136" w:rsidR="00EB19CA" w:rsidRPr="00D462F0" w:rsidRDefault="00EB19CA" w:rsidP="00D462F0">
            <w:pPr>
              <w:jc w:val="both"/>
              <w:rPr>
                <w:rFonts w:asciiTheme="majorHAnsi" w:hAnsiTheme="majorHAnsi" w:cstheme="majorHAnsi"/>
                <w:sz w:val="24"/>
                <w:szCs w:val="24"/>
              </w:rPr>
            </w:pPr>
          </w:p>
        </w:tc>
        <w:tc>
          <w:tcPr>
            <w:tcW w:w="4075" w:type="dxa"/>
          </w:tcPr>
          <w:p w14:paraId="27CCB7B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73AFB719" w14:textId="67CCD0B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alteração de impacto operacional interno, pois define a suspensão do andamento de eventuais processos administrativos na Previc até a conclusão do TAC.</w:t>
            </w:r>
          </w:p>
          <w:p w14:paraId="7E4725BE" w14:textId="371023F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se tratar de artigo de natureza administrativa, com efeitos diretos à Previc, o caso se enquadra em não aplicabilidade para a realização de AIR.</w:t>
            </w:r>
          </w:p>
        </w:tc>
      </w:tr>
      <w:tr w:rsidR="002701A9" w:rsidRPr="00C93770" w14:paraId="188F6594" w14:textId="77777777" w:rsidTr="1756A420">
        <w:tc>
          <w:tcPr>
            <w:tcW w:w="4074" w:type="dxa"/>
          </w:tcPr>
          <w:p w14:paraId="7B182FFC" w14:textId="18283A2F" w:rsidR="002701A9" w:rsidRPr="00D462F0" w:rsidRDefault="002701A9"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69F5D27A" w14:textId="3F9BD452" w:rsidR="002701A9" w:rsidRPr="008F3FAE" w:rsidRDefault="002701A9" w:rsidP="008F3FAE">
            <w:pPr>
              <w:jc w:val="center"/>
              <w:rPr>
                <w:rFonts w:asciiTheme="majorHAnsi" w:hAnsiTheme="majorHAnsi" w:cstheme="majorHAnsi"/>
                <w:bCs/>
                <w:color w:val="EE0000"/>
                <w:sz w:val="24"/>
                <w:szCs w:val="24"/>
              </w:rPr>
            </w:pPr>
            <w:r w:rsidRPr="008F3FAE">
              <w:rPr>
                <w:rFonts w:asciiTheme="majorHAnsi" w:hAnsiTheme="majorHAnsi" w:cstheme="majorHAnsi"/>
                <w:bCs/>
                <w:sz w:val="24"/>
                <w:szCs w:val="24"/>
              </w:rPr>
              <w:t>...</w:t>
            </w:r>
          </w:p>
        </w:tc>
        <w:tc>
          <w:tcPr>
            <w:tcW w:w="4074" w:type="dxa"/>
          </w:tcPr>
          <w:p w14:paraId="16987CF2" w14:textId="77777777" w:rsidR="002701A9" w:rsidRPr="00D462F0" w:rsidRDefault="002701A9" w:rsidP="00D462F0">
            <w:pPr>
              <w:jc w:val="both"/>
              <w:rPr>
                <w:rFonts w:asciiTheme="majorHAnsi" w:hAnsiTheme="majorHAnsi" w:cstheme="majorHAnsi"/>
                <w:sz w:val="24"/>
                <w:szCs w:val="24"/>
              </w:rPr>
            </w:pPr>
          </w:p>
        </w:tc>
        <w:tc>
          <w:tcPr>
            <w:tcW w:w="4075" w:type="dxa"/>
          </w:tcPr>
          <w:p w14:paraId="72FE1598" w14:textId="77777777" w:rsidR="002701A9" w:rsidRPr="00D462F0" w:rsidRDefault="002701A9" w:rsidP="00D462F0">
            <w:pPr>
              <w:jc w:val="both"/>
              <w:rPr>
                <w:rFonts w:asciiTheme="majorHAnsi" w:hAnsiTheme="majorHAnsi" w:cstheme="majorHAnsi"/>
                <w:bCs/>
                <w:sz w:val="24"/>
                <w:szCs w:val="24"/>
              </w:rPr>
            </w:pPr>
          </w:p>
        </w:tc>
      </w:tr>
      <w:tr w:rsidR="00EB19CA" w:rsidRPr="00C93770" w14:paraId="004ED847" w14:textId="77777777" w:rsidTr="1756A420">
        <w:tc>
          <w:tcPr>
            <w:tcW w:w="4074" w:type="dxa"/>
          </w:tcPr>
          <w:p w14:paraId="476066C6" w14:textId="789CF2E9"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 2º A celebração do Termo de Ajustamento de Conduta interrompe a prescrição administrativa na data de sua assinatura, nos termos do inciso IV do art. 2º da Lei nº 9.873, de 23 de novembro de 1999.</w:t>
            </w:r>
          </w:p>
        </w:tc>
        <w:tc>
          <w:tcPr>
            <w:tcW w:w="4074" w:type="dxa"/>
          </w:tcPr>
          <w:p w14:paraId="686C6D81" w14:textId="0D7F8FC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trike/>
                <w:color w:val="EE0000"/>
                <w:sz w:val="24"/>
                <w:szCs w:val="24"/>
              </w:rPr>
              <w:t xml:space="preserve">§ 2º A celebração </w:t>
            </w:r>
            <w:r w:rsidR="003D63E3" w:rsidRPr="00D462F0">
              <w:rPr>
                <w:rFonts w:asciiTheme="majorHAnsi" w:hAnsiTheme="majorHAnsi" w:cstheme="majorHAnsi"/>
                <w:bCs/>
                <w:color w:val="0000FF"/>
                <w:sz w:val="24"/>
                <w:szCs w:val="24"/>
              </w:rPr>
              <w:t xml:space="preserve">O pedido de celebração </w:t>
            </w:r>
            <w:r w:rsidR="003D63E3" w:rsidRPr="00D462F0">
              <w:rPr>
                <w:rFonts w:asciiTheme="majorHAnsi" w:hAnsiTheme="majorHAnsi" w:cstheme="majorHAnsi"/>
                <w:bCs/>
                <w:sz w:val="24"/>
                <w:szCs w:val="24"/>
              </w:rPr>
              <w:t xml:space="preserve">de </w:t>
            </w:r>
            <w:r w:rsidR="003D63E3" w:rsidRPr="00D462F0">
              <w:rPr>
                <w:rFonts w:asciiTheme="majorHAnsi" w:hAnsiTheme="majorHAnsi" w:cstheme="majorHAnsi"/>
                <w:bCs/>
                <w:strike/>
                <w:color w:val="EE0000"/>
                <w:sz w:val="24"/>
                <w:szCs w:val="24"/>
              </w:rPr>
              <w:t xml:space="preserve">do </w:t>
            </w:r>
            <w:r w:rsidRPr="00D462F0">
              <w:rPr>
                <w:rFonts w:asciiTheme="majorHAnsi" w:hAnsiTheme="majorHAnsi" w:cstheme="majorHAnsi"/>
                <w:bCs/>
                <w:sz w:val="24"/>
                <w:szCs w:val="24"/>
              </w:rPr>
              <w:t>Termo de Ajustamento de Conduta</w:t>
            </w:r>
            <w:r w:rsidR="003D63E3" w:rsidRPr="00D462F0">
              <w:rPr>
                <w:rFonts w:asciiTheme="majorHAnsi" w:hAnsiTheme="majorHAnsi" w:cstheme="majorHAnsi"/>
                <w:bCs/>
                <w:sz w:val="24"/>
                <w:szCs w:val="24"/>
              </w:rPr>
              <w:t xml:space="preserve"> </w:t>
            </w:r>
            <w:r w:rsidR="003D63E3" w:rsidRPr="00D462F0">
              <w:rPr>
                <w:rFonts w:asciiTheme="majorHAnsi" w:hAnsiTheme="majorHAnsi" w:cstheme="majorHAnsi"/>
                <w:bCs/>
                <w:color w:val="0000FF"/>
                <w:sz w:val="24"/>
                <w:szCs w:val="24"/>
              </w:rPr>
              <w:t xml:space="preserve">constitui manifestação expressa de tentativa de solução conciliatória e interrompe o prazo de </w:t>
            </w:r>
            <w:r w:rsidRPr="00D462F0">
              <w:rPr>
                <w:rFonts w:asciiTheme="majorHAnsi" w:hAnsiTheme="majorHAnsi" w:cstheme="majorHAnsi"/>
                <w:bCs/>
                <w:strike/>
                <w:color w:val="EE0000"/>
                <w:sz w:val="24"/>
                <w:szCs w:val="24"/>
              </w:rPr>
              <w:t xml:space="preserve">interrompe a </w:t>
            </w:r>
            <w:r w:rsidRPr="00D462F0">
              <w:rPr>
                <w:rFonts w:asciiTheme="majorHAnsi" w:hAnsiTheme="majorHAnsi" w:cstheme="majorHAnsi"/>
                <w:bCs/>
                <w:sz w:val="24"/>
                <w:szCs w:val="24"/>
              </w:rPr>
              <w:t>prescrição</w:t>
            </w:r>
            <w:r w:rsidRPr="00D462F0">
              <w:rPr>
                <w:rFonts w:asciiTheme="majorHAnsi" w:hAnsiTheme="majorHAnsi" w:cstheme="majorHAnsi"/>
                <w:bCs/>
                <w:strike/>
                <w:sz w:val="24"/>
                <w:szCs w:val="24"/>
              </w:rPr>
              <w:t xml:space="preserve"> </w:t>
            </w:r>
            <w:r w:rsidRPr="00D462F0">
              <w:rPr>
                <w:rFonts w:asciiTheme="majorHAnsi" w:hAnsiTheme="majorHAnsi" w:cstheme="majorHAnsi"/>
                <w:bCs/>
                <w:strike/>
                <w:color w:val="EE0000"/>
                <w:sz w:val="24"/>
                <w:szCs w:val="24"/>
              </w:rPr>
              <w:t xml:space="preserve">administrativa na data de sua assinatura, </w:t>
            </w:r>
            <w:r w:rsidR="003D63E3" w:rsidRPr="00D462F0">
              <w:rPr>
                <w:rFonts w:asciiTheme="majorHAnsi" w:hAnsiTheme="majorHAnsi" w:cstheme="majorHAnsi"/>
                <w:bCs/>
                <w:color w:val="0000FF"/>
                <w:sz w:val="24"/>
                <w:szCs w:val="24"/>
              </w:rPr>
              <w:t xml:space="preserve">da pretensão punitiva, </w:t>
            </w:r>
            <w:r w:rsidRPr="00D462F0">
              <w:rPr>
                <w:rFonts w:asciiTheme="majorHAnsi" w:hAnsiTheme="majorHAnsi" w:cstheme="majorHAnsi"/>
                <w:bCs/>
                <w:sz w:val="24"/>
                <w:szCs w:val="24"/>
              </w:rPr>
              <w:t>nos termos do inciso IV do art. 2º da Lei nº 9.873, de 23 de novembro de 1999.</w:t>
            </w:r>
          </w:p>
          <w:p w14:paraId="58539471" w14:textId="7A1C949D" w:rsidR="00EB19CA" w:rsidRPr="00D462F0" w:rsidRDefault="00EB19CA" w:rsidP="00D462F0">
            <w:pPr>
              <w:jc w:val="both"/>
              <w:rPr>
                <w:rFonts w:asciiTheme="majorHAnsi" w:hAnsiTheme="majorHAnsi" w:cstheme="majorHAnsi"/>
                <w:bCs/>
                <w:color w:val="000000"/>
                <w:sz w:val="24"/>
                <w:szCs w:val="24"/>
              </w:rPr>
            </w:pPr>
          </w:p>
        </w:tc>
        <w:tc>
          <w:tcPr>
            <w:tcW w:w="4074" w:type="dxa"/>
          </w:tcPr>
          <w:p w14:paraId="19729D14" w14:textId="77777777" w:rsidR="00EB19CA" w:rsidRPr="00D462F0" w:rsidRDefault="00EB19CA" w:rsidP="00D462F0">
            <w:pPr>
              <w:jc w:val="both"/>
              <w:rPr>
                <w:rFonts w:asciiTheme="majorHAnsi" w:hAnsiTheme="majorHAnsi" w:cstheme="majorHAnsi"/>
                <w:sz w:val="24"/>
                <w:szCs w:val="24"/>
              </w:rPr>
            </w:pPr>
          </w:p>
        </w:tc>
        <w:tc>
          <w:tcPr>
            <w:tcW w:w="4075" w:type="dxa"/>
          </w:tcPr>
          <w:p w14:paraId="316DA38D"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5D00BC90" w14:textId="77777777" w:rsidR="00EB19CA" w:rsidRPr="00D462F0" w:rsidRDefault="00EB19CA" w:rsidP="00D462F0">
            <w:pPr>
              <w:jc w:val="both"/>
              <w:rPr>
                <w:rFonts w:asciiTheme="majorHAnsi" w:hAnsiTheme="majorHAnsi" w:cstheme="majorHAnsi"/>
                <w:bCs/>
                <w:sz w:val="24"/>
                <w:szCs w:val="24"/>
              </w:rPr>
            </w:pPr>
          </w:p>
        </w:tc>
      </w:tr>
      <w:tr w:rsidR="002773EE" w:rsidRPr="00C93770" w14:paraId="6A53C89A" w14:textId="77777777" w:rsidTr="1756A420">
        <w:tc>
          <w:tcPr>
            <w:tcW w:w="4074" w:type="dxa"/>
          </w:tcPr>
          <w:p w14:paraId="5B5A21CA" w14:textId="4D6EE7D8" w:rsidR="002773EE" w:rsidRPr="00D462F0" w:rsidRDefault="002773EE"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BCF193A" w14:textId="24918C91" w:rsidR="002773EE" w:rsidRPr="00D462F0" w:rsidRDefault="002773EE"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43078D8D" w14:textId="77777777" w:rsidR="002773EE" w:rsidRPr="00D462F0" w:rsidRDefault="002773EE" w:rsidP="00D462F0">
            <w:pPr>
              <w:jc w:val="both"/>
              <w:rPr>
                <w:rFonts w:asciiTheme="majorHAnsi" w:hAnsiTheme="majorHAnsi" w:cstheme="majorHAnsi"/>
                <w:sz w:val="24"/>
                <w:szCs w:val="24"/>
              </w:rPr>
            </w:pPr>
          </w:p>
        </w:tc>
        <w:tc>
          <w:tcPr>
            <w:tcW w:w="4075" w:type="dxa"/>
          </w:tcPr>
          <w:p w14:paraId="13CE3F01" w14:textId="77777777" w:rsidR="002773EE" w:rsidRPr="00D462F0" w:rsidRDefault="002773EE" w:rsidP="00D462F0">
            <w:pPr>
              <w:jc w:val="both"/>
              <w:rPr>
                <w:rFonts w:asciiTheme="majorHAnsi" w:hAnsiTheme="majorHAnsi" w:cstheme="majorHAnsi"/>
                <w:bCs/>
                <w:sz w:val="24"/>
                <w:szCs w:val="24"/>
              </w:rPr>
            </w:pPr>
          </w:p>
        </w:tc>
      </w:tr>
      <w:tr w:rsidR="00EB19CA" w:rsidRPr="00C93770" w14:paraId="06B3E984" w14:textId="77777777" w:rsidTr="1756A420">
        <w:tc>
          <w:tcPr>
            <w:tcW w:w="4074" w:type="dxa"/>
          </w:tcPr>
          <w:p w14:paraId="4C11B957" w14:textId="727EBF19"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264. </w:t>
            </w:r>
            <w:r w:rsidR="002701A9"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A decisão sobre o cumprimento ou descumprimento do Termo de Ajustamento de Conduta é de competência da Diretoria Colegiada da Previc. </w:t>
            </w:r>
          </w:p>
        </w:tc>
        <w:tc>
          <w:tcPr>
            <w:tcW w:w="4074" w:type="dxa"/>
          </w:tcPr>
          <w:p w14:paraId="38987DD1" w14:textId="64C0AB44"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264.  ... </w:t>
            </w:r>
          </w:p>
          <w:p w14:paraId="5F0025A1" w14:textId="2775EBC6" w:rsidR="00EB19CA" w:rsidRPr="00D462F0" w:rsidRDefault="00EB19CA" w:rsidP="00D462F0">
            <w:pPr>
              <w:jc w:val="both"/>
              <w:rPr>
                <w:rFonts w:asciiTheme="majorHAnsi" w:hAnsiTheme="majorHAnsi" w:cstheme="majorHAnsi"/>
                <w:bCs/>
                <w:color w:val="000000"/>
                <w:sz w:val="24"/>
                <w:szCs w:val="24"/>
              </w:rPr>
            </w:pPr>
          </w:p>
        </w:tc>
        <w:tc>
          <w:tcPr>
            <w:tcW w:w="4074" w:type="dxa"/>
          </w:tcPr>
          <w:p w14:paraId="23B08854" w14:textId="73A3D689" w:rsidR="00EB19CA" w:rsidRPr="00D462F0" w:rsidRDefault="002701A9"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466AB523" w14:textId="2FD0B377" w:rsidR="00EB19CA" w:rsidRPr="00D462F0" w:rsidRDefault="00EB19CA" w:rsidP="00D462F0">
            <w:pPr>
              <w:jc w:val="both"/>
              <w:rPr>
                <w:rFonts w:asciiTheme="majorHAnsi" w:hAnsiTheme="majorHAnsi" w:cstheme="majorHAnsi"/>
                <w:bCs/>
                <w:sz w:val="24"/>
                <w:szCs w:val="24"/>
              </w:rPr>
            </w:pPr>
          </w:p>
        </w:tc>
      </w:tr>
      <w:tr w:rsidR="00EB19CA" w:rsidRPr="00C93770" w14:paraId="2692EC90" w14:textId="77777777" w:rsidTr="1756A420">
        <w:tc>
          <w:tcPr>
            <w:tcW w:w="4074" w:type="dxa"/>
          </w:tcPr>
          <w:p w14:paraId="11057F06" w14:textId="45A24F93"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1º A unidade regional responsável pelo controle e acompanhamento da execução do Termo de Ajustamento de Conduta, quando constatar descumprimento dos compromissos assumidos, deve submeter manifestação à Diretoria Colegiada da Previc</w:t>
            </w:r>
          </w:p>
        </w:tc>
        <w:tc>
          <w:tcPr>
            <w:tcW w:w="4074" w:type="dxa"/>
          </w:tcPr>
          <w:p w14:paraId="60F8871B" w14:textId="77777777"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 1º  A </w:t>
            </w:r>
            <w:r w:rsidRPr="00D462F0">
              <w:rPr>
                <w:rFonts w:asciiTheme="majorHAnsi" w:hAnsiTheme="majorHAnsi" w:cstheme="majorHAnsi"/>
                <w:bCs/>
                <w:color w:val="0000FF"/>
                <w:sz w:val="24"/>
                <w:szCs w:val="24"/>
              </w:rPr>
              <w:t>unidade responsável</w:t>
            </w:r>
            <w:r w:rsidRPr="00D462F0">
              <w:rPr>
                <w:rFonts w:asciiTheme="majorHAnsi" w:hAnsiTheme="majorHAnsi" w:cstheme="majorHAnsi"/>
                <w:bCs/>
                <w:color w:val="000000"/>
                <w:sz w:val="24"/>
                <w:szCs w:val="24"/>
              </w:rPr>
              <w:t xml:space="preserve"> pelo controle e acompanhamento da execução do Termo de Ajustamento de Conduta, quando constatar descumprimento dos compromissos assumidos, deve submeter manifestação à Diretoria Colegiada da Previc. </w:t>
            </w:r>
          </w:p>
          <w:p w14:paraId="1AE6CF04"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23A08B05" w14:textId="2727BDC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Ajustar a redação para a previsão proposta para o §3º do art. 257, com a competência da Coordenação-Geral de Fiscalização Direta. </w:t>
            </w:r>
          </w:p>
        </w:tc>
        <w:tc>
          <w:tcPr>
            <w:tcW w:w="4075" w:type="dxa"/>
          </w:tcPr>
          <w:p w14:paraId="3AA8D82F"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Decreto nº 10.411, de 2020, art. 3º, § 2º, inciso I </w:t>
            </w:r>
          </w:p>
          <w:p w14:paraId="7A7A48D4"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alteração de impacto operacional interno, pois atualiza a unidade responsável.</w:t>
            </w:r>
          </w:p>
          <w:p w14:paraId="61020BFE" w14:textId="4048F15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se tratar de artigo de natureza administrativa, com efeitos diretos à Previc, o caso se enquadra em não aplicabilidade para a realização de AIR.</w:t>
            </w:r>
          </w:p>
        </w:tc>
      </w:tr>
      <w:tr w:rsidR="00EB19CA" w:rsidRPr="00C93770" w14:paraId="537B8757" w14:textId="77777777" w:rsidTr="1756A420">
        <w:tc>
          <w:tcPr>
            <w:tcW w:w="4074" w:type="dxa"/>
          </w:tcPr>
          <w:p w14:paraId="2D27F417" w14:textId="73C7DA91"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2º A unidade regional responsável pelo controle e acompanhamento da execução do Termo de Ajustamento de Conduta deve analisar o cumprimento dos compromissos assumidos, submetendo manifestação à Diretoria Colegiada da Previc.</w:t>
            </w:r>
          </w:p>
        </w:tc>
        <w:tc>
          <w:tcPr>
            <w:tcW w:w="4074" w:type="dxa"/>
          </w:tcPr>
          <w:p w14:paraId="70CBE27B" w14:textId="2A1F83B3"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00"/>
                <w:sz w:val="24"/>
                <w:szCs w:val="24"/>
              </w:rPr>
              <w:t>§ 2º</w:t>
            </w:r>
            <w:r w:rsidRPr="00D462F0">
              <w:rPr>
                <w:rFonts w:asciiTheme="majorHAnsi" w:hAnsiTheme="majorHAnsi" w:cstheme="majorHAnsi"/>
                <w:bCs/>
                <w:sz w:val="24"/>
                <w:szCs w:val="24"/>
              </w:rPr>
              <w:t xml:space="preserve">  A unidade </w:t>
            </w:r>
            <w:r w:rsidRPr="00D462F0">
              <w:rPr>
                <w:rFonts w:asciiTheme="majorHAnsi" w:hAnsiTheme="majorHAnsi" w:cstheme="majorHAnsi"/>
                <w:bCs/>
                <w:strike/>
                <w:color w:val="EE0000"/>
                <w:sz w:val="24"/>
                <w:szCs w:val="24"/>
              </w:rPr>
              <w:t>regional</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responsável</w:t>
            </w:r>
            <w:r w:rsidRPr="00D462F0">
              <w:rPr>
                <w:rFonts w:asciiTheme="majorHAnsi" w:hAnsiTheme="majorHAnsi" w:cstheme="majorHAnsi"/>
                <w:bCs/>
                <w:color w:val="000000"/>
                <w:sz w:val="24"/>
                <w:szCs w:val="24"/>
              </w:rPr>
              <w:t xml:space="preserve"> pelo controle e acompanhamento da execução do Termo de Ajustamento de Conduta deve analisar o cumprimento dos compromissos assumidos, submetendo manifestação à Diretoria Colegiada da Previc.</w:t>
            </w:r>
          </w:p>
        </w:tc>
        <w:tc>
          <w:tcPr>
            <w:tcW w:w="4074" w:type="dxa"/>
          </w:tcPr>
          <w:p w14:paraId="58BC7780" w14:textId="77777777" w:rsidR="00EB19CA" w:rsidRPr="00D462F0" w:rsidRDefault="00EB19CA" w:rsidP="00D462F0">
            <w:pPr>
              <w:jc w:val="both"/>
              <w:rPr>
                <w:rFonts w:asciiTheme="majorHAnsi" w:hAnsiTheme="majorHAnsi" w:cstheme="majorHAnsi"/>
                <w:sz w:val="24"/>
                <w:szCs w:val="24"/>
              </w:rPr>
            </w:pPr>
          </w:p>
        </w:tc>
        <w:tc>
          <w:tcPr>
            <w:tcW w:w="4075" w:type="dxa"/>
          </w:tcPr>
          <w:p w14:paraId="0D993D4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Decreto nº 10.411, de 2020, art. 3º, § 2º, inciso I </w:t>
            </w:r>
          </w:p>
          <w:p w14:paraId="51415C37" w14:textId="77777777" w:rsidR="00EB19CA" w:rsidRPr="00D462F0" w:rsidRDefault="00EB19CA" w:rsidP="00D462F0">
            <w:pPr>
              <w:jc w:val="both"/>
              <w:rPr>
                <w:rFonts w:asciiTheme="majorHAnsi" w:hAnsiTheme="majorHAnsi" w:cstheme="majorHAnsi"/>
                <w:bCs/>
                <w:sz w:val="24"/>
                <w:szCs w:val="24"/>
              </w:rPr>
            </w:pPr>
          </w:p>
        </w:tc>
      </w:tr>
      <w:tr w:rsidR="00EB19CA" w:rsidRPr="00C93770" w14:paraId="088C6015" w14:textId="77777777" w:rsidTr="1756A420">
        <w:tc>
          <w:tcPr>
            <w:tcW w:w="4074" w:type="dxa"/>
          </w:tcPr>
          <w:p w14:paraId="28AF6C48" w14:textId="6593EAD1" w:rsidR="00EB19CA" w:rsidRPr="00D462F0" w:rsidRDefault="00EB19CA"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6CD9DEB8" w14:textId="1767BCBE" w:rsidR="00EB19CA" w:rsidRPr="00D462F0" w:rsidRDefault="00EB19CA" w:rsidP="008F3FAE">
            <w:pPr>
              <w:jc w:val="center"/>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w:t>
            </w:r>
          </w:p>
        </w:tc>
        <w:tc>
          <w:tcPr>
            <w:tcW w:w="4074" w:type="dxa"/>
          </w:tcPr>
          <w:p w14:paraId="7D422D81" w14:textId="77777777" w:rsidR="00EB19CA" w:rsidRPr="00D462F0" w:rsidRDefault="00EB19CA" w:rsidP="00D462F0">
            <w:pPr>
              <w:jc w:val="both"/>
              <w:rPr>
                <w:rFonts w:asciiTheme="majorHAnsi" w:hAnsiTheme="majorHAnsi" w:cstheme="majorHAnsi"/>
                <w:sz w:val="24"/>
                <w:szCs w:val="24"/>
              </w:rPr>
            </w:pPr>
          </w:p>
        </w:tc>
        <w:tc>
          <w:tcPr>
            <w:tcW w:w="4075" w:type="dxa"/>
          </w:tcPr>
          <w:p w14:paraId="6ED8A705" w14:textId="77777777" w:rsidR="00EB19CA" w:rsidRPr="00D462F0" w:rsidRDefault="00EB19CA" w:rsidP="00D462F0">
            <w:pPr>
              <w:jc w:val="both"/>
              <w:rPr>
                <w:rFonts w:asciiTheme="majorHAnsi" w:hAnsiTheme="majorHAnsi" w:cstheme="majorHAnsi"/>
                <w:bCs/>
                <w:sz w:val="24"/>
                <w:szCs w:val="24"/>
              </w:rPr>
            </w:pPr>
          </w:p>
        </w:tc>
      </w:tr>
      <w:tr w:rsidR="002773EE" w:rsidRPr="00C93770" w14:paraId="1BBADE72" w14:textId="77777777" w:rsidTr="1756A420">
        <w:tc>
          <w:tcPr>
            <w:tcW w:w="4074" w:type="dxa"/>
          </w:tcPr>
          <w:p w14:paraId="4D7546C4" w14:textId="77777777" w:rsidR="002773EE" w:rsidRPr="00D462F0" w:rsidRDefault="002773EE" w:rsidP="008F3FAE">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III</w:t>
            </w:r>
          </w:p>
          <w:p w14:paraId="19CF4FBB" w14:textId="17C14878" w:rsidR="002773EE" w:rsidRPr="00D462F0" w:rsidRDefault="002773EE" w:rsidP="008F3FAE">
            <w:pPr>
              <w:jc w:val="center"/>
              <w:rPr>
                <w:rFonts w:asciiTheme="majorHAnsi" w:hAnsiTheme="majorHAnsi" w:cstheme="majorHAnsi"/>
                <w:color w:val="000000"/>
                <w:sz w:val="24"/>
                <w:szCs w:val="24"/>
              </w:rPr>
            </w:pPr>
            <w:r w:rsidRPr="00D462F0">
              <w:rPr>
                <w:rFonts w:asciiTheme="majorHAnsi" w:hAnsiTheme="majorHAnsi" w:cstheme="majorHAnsi"/>
                <w:b/>
                <w:color w:val="000000"/>
                <w:sz w:val="24"/>
                <w:szCs w:val="24"/>
              </w:rPr>
              <w:lastRenderedPageBreak/>
              <w:t>Procedimentos Relacionados à Administração Especial, Intervenção e Liquidação</w:t>
            </w:r>
          </w:p>
        </w:tc>
        <w:tc>
          <w:tcPr>
            <w:tcW w:w="4074" w:type="dxa"/>
          </w:tcPr>
          <w:p w14:paraId="3B8A5BB7" w14:textId="77777777" w:rsidR="002773EE" w:rsidRPr="00D462F0" w:rsidRDefault="002773EE" w:rsidP="008F3FAE">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lastRenderedPageBreak/>
              <w:t>Seção III</w:t>
            </w:r>
          </w:p>
          <w:p w14:paraId="4132770D" w14:textId="45ED4D27" w:rsidR="002773EE" w:rsidRPr="00D462F0" w:rsidRDefault="002773EE" w:rsidP="008F3FAE">
            <w:pPr>
              <w:jc w:val="center"/>
              <w:rPr>
                <w:rFonts w:asciiTheme="majorHAnsi" w:hAnsiTheme="majorHAnsi" w:cstheme="majorHAnsi"/>
                <w:bCs/>
                <w:color w:val="0000FF"/>
                <w:sz w:val="24"/>
                <w:szCs w:val="24"/>
              </w:rPr>
            </w:pPr>
            <w:r w:rsidRPr="00D462F0">
              <w:rPr>
                <w:rFonts w:asciiTheme="majorHAnsi" w:hAnsiTheme="majorHAnsi" w:cstheme="majorHAnsi"/>
                <w:b/>
                <w:color w:val="000000"/>
                <w:sz w:val="24"/>
                <w:szCs w:val="24"/>
              </w:rPr>
              <w:lastRenderedPageBreak/>
              <w:t>Procedimentos Relacionados à Administração Especial, Intervenção e Liquidação</w:t>
            </w:r>
          </w:p>
        </w:tc>
        <w:tc>
          <w:tcPr>
            <w:tcW w:w="4074" w:type="dxa"/>
          </w:tcPr>
          <w:p w14:paraId="480DF774" w14:textId="77777777" w:rsidR="002773EE" w:rsidRPr="00D462F0" w:rsidRDefault="002773EE" w:rsidP="00D462F0">
            <w:pPr>
              <w:jc w:val="both"/>
              <w:rPr>
                <w:rFonts w:asciiTheme="majorHAnsi" w:hAnsiTheme="majorHAnsi" w:cstheme="majorHAnsi"/>
                <w:sz w:val="24"/>
                <w:szCs w:val="24"/>
              </w:rPr>
            </w:pPr>
          </w:p>
        </w:tc>
        <w:tc>
          <w:tcPr>
            <w:tcW w:w="4075" w:type="dxa"/>
          </w:tcPr>
          <w:p w14:paraId="5ADAECCA" w14:textId="77777777" w:rsidR="002773EE" w:rsidRPr="00D462F0" w:rsidRDefault="002773EE" w:rsidP="00D462F0">
            <w:pPr>
              <w:jc w:val="both"/>
              <w:rPr>
                <w:rFonts w:asciiTheme="majorHAnsi" w:hAnsiTheme="majorHAnsi" w:cstheme="majorHAnsi"/>
                <w:bCs/>
                <w:sz w:val="24"/>
                <w:szCs w:val="24"/>
              </w:rPr>
            </w:pPr>
          </w:p>
        </w:tc>
      </w:tr>
      <w:tr w:rsidR="002773EE" w:rsidRPr="00C93770" w14:paraId="2491E82F" w14:textId="77777777" w:rsidTr="1756A420">
        <w:tc>
          <w:tcPr>
            <w:tcW w:w="4074" w:type="dxa"/>
          </w:tcPr>
          <w:p w14:paraId="09E2DF15" w14:textId="3D7BFD25" w:rsidR="002773EE" w:rsidRPr="00D462F0" w:rsidRDefault="002773EE"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5F94CD58" w14:textId="1E88D384" w:rsidR="002773EE" w:rsidRPr="00D462F0" w:rsidRDefault="002773EE" w:rsidP="008F3FAE">
            <w:pPr>
              <w:jc w:val="center"/>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w:t>
            </w:r>
          </w:p>
        </w:tc>
        <w:tc>
          <w:tcPr>
            <w:tcW w:w="4074" w:type="dxa"/>
          </w:tcPr>
          <w:p w14:paraId="6A9682F5" w14:textId="77777777" w:rsidR="002773EE" w:rsidRPr="00D462F0" w:rsidRDefault="002773EE" w:rsidP="00D462F0">
            <w:pPr>
              <w:jc w:val="both"/>
              <w:rPr>
                <w:rFonts w:asciiTheme="majorHAnsi" w:hAnsiTheme="majorHAnsi" w:cstheme="majorHAnsi"/>
                <w:sz w:val="24"/>
                <w:szCs w:val="24"/>
              </w:rPr>
            </w:pPr>
          </w:p>
        </w:tc>
        <w:tc>
          <w:tcPr>
            <w:tcW w:w="4075" w:type="dxa"/>
          </w:tcPr>
          <w:p w14:paraId="2B2AD09D" w14:textId="77777777" w:rsidR="002773EE" w:rsidRPr="00D462F0" w:rsidRDefault="002773EE" w:rsidP="00D462F0">
            <w:pPr>
              <w:jc w:val="both"/>
              <w:rPr>
                <w:rFonts w:asciiTheme="majorHAnsi" w:hAnsiTheme="majorHAnsi" w:cstheme="majorHAnsi"/>
                <w:bCs/>
                <w:sz w:val="24"/>
                <w:szCs w:val="24"/>
              </w:rPr>
            </w:pPr>
          </w:p>
        </w:tc>
      </w:tr>
      <w:tr w:rsidR="00EB19CA" w:rsidRPr="00C93770" w14:paraId="34970046" w14:textId="77777777" w:rsidTr="1756A420">
        <w:tc>
          <w:tcPr>
            <w:tcW w:w="4074" w:type="dxa"/>
          </w:tcPr>
          <w:p w14:paraId="4F3A5089" w14:textId="15D3DE0B"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3AAB5DE0"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Art. 268-A.  Serão requisitos mínimos a serem observados para a nomeação de Administrador Especial, Interventor ou Liquidante:</w:t>
            </w:r>
          </w:p>
          <w:p w14:paraId="0B308804" w14:textId="3D91BAF0" w:rsidR="00EB19CA" w:rsidRPr="00D462F0" w:rsidRDefault="00EB19CA" w:rsidP="00D462F0">
            <w:pPr>
              <w:jc w:val="both"/>
              <w:rPr>
                <w:rFonts w:asciiTheme="majorHAnsi" w:hAnsiTheme="majorHAnsi" w:cstheme="majorHAnsi"/>
                <w:bCs/>
                <w:color w:val="000000"/>
                <w:sz w:val="24"/>
                <w:szCs w:val="24"/>
              </w:rPr>
            </w:pPr>
          </w:p>
        </w:tc>
        <w:tc>
          <w:tcPr>
            <w:tcW w:w="4074" w:type="dxa"/>
          </w:tcPr>
          <w:p w14:paraId="070FF76D"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Definir requisitos mínimos de qualificação e formação para os responsáveis nomeados para a condução dos Regimes Especiais decretados pela Previc.</w:t>
            </w:r>
          </w:p>
          <w:p w14:paraId="5FDEB8AC" w14:textId="3F60FE7E" w:rsidR="00EB19CA" w:rsidRPr="00D462F0" w:rsidRDefault="00EB19CA" w:rsidP="00D462F0">
            <w:pPr>
              <w:jc w:val="both"/>
              <w:rPr>
                <w:rFonts w:asciiTheme="majorHAnsi" w:hAnsiTheme="majorHAnsi" w:cstheme="majorHAnsi"/>
                <w:sz w:val="24"/>
                <w:szCs w:val="24"/>
              </w:rPr>
            </w:pPr>
          </w:p>
        </w:tc>
        <w:tc>
          <w:tcPr>
            <w:tcW w:w="4075" w:type="dxa"/>
          </w:tcPr>
          <w:p w14:paraId="7408763E"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03AD1EFD"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O artigo em questão pretende definir requisitos mínimos de qualificação e formação para os responsáveis nomeados para a condução dos Regimes Especiais.</w:t>
            </w:r>
          </w:p>
          <w:p w14:paraId="238A8A22" w14:textId="77777777" w:rsidR="00EB19CA" w:rsidRPr="00D462F0" w:rsidRDefault="00EB19CA"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w:t>
            </w:r>
          </w:p>
          <w:p w14:paraId="14E1F300"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Conceitualmente higidez é a condição de uma entidade que demonstra equilíbrio atuarial, sustentabilidade de longo prazo e conformidade regulatória.  Nesse sentido, trata-se de componente da higidez de uma EFPC a gestão prudencial dos recursos expressa na administração segura e eficiente dos ativos financeiros.</w:t>
            </w:r>
          </w:p>
          <w:p w14:paraId="3B3406C4"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estabelecimento de requisitos mínimos pretende mitigar riscos na administração segura e eficiente dos ativos, assegurando inclusive que o ocupante do cargo de Administrador Especial, Interventor ou Liquidante seja qualificado e idôneo para o exercício da função. </w:t>
            </w:r>
          </w:p>
          <w:p w14:paraId="7E5F99AA" w14:textId="55F456C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EB19CA" w:rsidRPr="00C93770" w14:paraId="2A6C5980" w14:textId="77777777" w:rsidTr="1756A420">
        <w:tc>
          <w:tcPr>
            <w:tcW w:w="4074" w:type="dxa"/>
          </w:tcPr>
          <w:p w14:paraId="05DE4176" w14:textId="0CABD1E8"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1ABD6EDE"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 – ter comprovada experiência de, no mínimo, três anos no exercício de </w:t>
            </w:r>
            <w:r w:rsidRPr="00D462F0">
              <w:rPr>
                <w:rFonts w:asciiTheme="majorHAnsi" w:hAnsiTheme="majorHAnsi" w:cstheme="majorHAnsi"/>
                <w:bCs/>
                <w:color w:val="0000FF"/>
                <w:sz w:val="24"/>
                <w:szCs w:val="24"/>
              </w:rPr>
              <w:lastRenderedPageBreak/>
              <w:t>atividades nas áreas financeira, administrativa, contábil, jurídica, de fiscalização, de atuária, de previdência complementar ou de auditoria;</w:t>
            </w:r>
          </w:p>
          <w:p w14:paraId="3A81F3F4" w14:textId="3BDB2AD4" w:rsidR="00EB19CA" w:rsidRPr="00D462F0" w:rsidRDefault="00EB19CA" w:rsidP="00D462F0">
            <w:pPr>
              <w:jc w:val="both"/>
              <w:rPr>
                <w:rFonts w:asciiTheme="majorHAnsi" w:hAnsiTheme="majorHAnsi" w:cstheme="majorHAnsi"/>
                <w:bCs/>
                <w:color w:val="0000FF"/>
                <w:sz w:val="24"/>
                <w:szCs w:val="24"/>
              </w:rPr>
            </w:pPr>
          </w:p>
        </w:tc>
        <w:tc>
          <w:tcPr>
            <w:tcW w:w="4074" w:type="dxa"/>
          </w:tcPr>
          <w:p w14:paraId="2678B84D" w14:textId="77777777" w:rsidR="00EB19CA" w:rsidRPr="00D462F0" w:rsidRDefault="00EB19CA" w:rsidP="00D462F0">
            <w:pPr>
              <w:jc w:val="both"/>
              <w:rPr>
                <w:rFonts w:asciiTheme="majorHAnsi" w:hAnsiTheme="majorHAnsi" w:cstheme="majorHAnsi"/>
                <w:sz w:val="24"/>
                <w:szCs w:val="24"/>
              </w:rPr>
            </w:pPr>
          </w:p>
        </w:tc>
        <w:tc>
          <w:tcPr>
            <w:tcW w:w="4075" w:type="dxa"/>
          </w:tcPr>
          <w:p w14:paraId="00432197" w14:textId="4464328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EB19CA" w:rsidRPr="00C93770" w14:paraId="58EA506E" w14:textId="77777777" w:rsidTr="1756A420">
        <w:tc>
          <w:tcPr>
            <w:tcW w:w="4074" w:type="dxa"/>
          </w:tcPr>
          <w:p w14:paraId="19B24D75" w14:textId="36A078C4"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68524E14" w14:textId="45AB6600"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II – não ter sofrido penalidade administrativa por infração à legislação da seguridade nos últimos cinco anos;</w:t>
            </w:r>
          </w:p>
        </w:tc>
        <w:tc>
          <w:tcPr>
            <w:tcW w:w="4074" w:type="dxa"/>
          </w:tcPr>
          <w:p w14:paraId="388A4788" w14:textId="77777777" w:rsidR="00EB19CA" w:rsidRPr="00D462F0" w:rsidRDefault="00EB19CA" w:rsidP="00D462F0">
            <w:pPr>
              <w:jc w:val="both"/>
              <w:rPr>
                <w:rFonts w:asciiTheme="majorHAnsi" w:hAnsiTheme="majorHAnsi" w:cstheme="majorHAnsi"/>
                <w:sz w:val="24"/>
                <w:szCs w:val="24"/>
              </w:rPr>
            </w:pPr>
          </w:p>
        </w:tc>
        <w:tc>
          <w:tcPr>
            <w:tcW w:w="4075" w:type="dxa"/>
          </w:tcPr>
          <w:p w14:paraId="2BE70652" w14:textId="52F4376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EB19CA" w:rsidRPr="00C93770" w14:paraId="1845948E" w14:textId="77777777" w:rsidTr="1756A420">
        <w:tc>
          <w:tcPr>
            <w:tcW w:w="4074" w:type="dxa"/>
          </w:tcPr>
          <w:p w14:paraId="301C613B" w14:textId="4545B59E"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4BCAE308" w14:textId="1EBAB73C"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III – não ter sofrido condenação criminal transitada em julgado nos últimos cinco anos;</w:t>
            </w:r>
          </w:p>
        </w:tc>
        <w:tc>
          <w:tcPr>
            <w:tcW w:w="4074" w:type="dxa"/>
          </w:tcPr>
          <w:p w14:paraId="41749880" w14:textId="77777777" w:rsidR="00EB19CA" w:rsidRPr="00D462F0" w:rsidRDefault="00EB19CA" w:rsidP="00D462F0">
            <w:pPr>
              <w:jc w:val="both"/>
              <w:rPr>
                <w:rFonts w:asciiTheme="majorHAnsi" w:hAnsiTheme="majorHAnsi" w:cstheme="majorHAnsi"/>
                <w:sz w:val="24"/>
                <w:szCs w:val="24"/>
              </w:rPr>
            </w:pPr>
          </w:p>
        </w:tc>
        <w:tc>
          <w:tcPr>
            <w:tcW w:w="4075" w:type="dxa"/>
          </w:tcPr>
          <w:p w14:paraId="310B443D" w14:textId="7DFEE8C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EB19CA" w:rsidRPr="00C93770" w14:paraId="5B9D08C6" w14:textId="77777777" w:rsidTr="1756A420">
        <w:tc>
          <w:tcPr>
            <w:tcW w:w="4074" w:type="dxa"/>
          </w:tcPr>
          <w:p w14:paraId="4060CE7F" w14:textId="1E555401"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5B74F5C6"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IV – não constar da relação de devedores da Fazenda Nacional;</w:t>
            </w:r>
          </w:p>
          <w:p w14:paraId="5CDEBFD7" w14:textId="1D0DA9E3" w:rsidR="00EB19CA" w:rsidRPr="00D462F0" w:rsidRDefault="00EB19CA" w:rsidP="00D462F0">
            <w:pPr>
              <w:jc w:val="both"/>
              <w:rPr>
                <w:rFonts w:asciiTheme="majorHAnsi" w:hAnsiTheme="majorHAnsi" w:cstheme="majorHAnsi"/>
                <w:bCs/>
                <w:color w:val="0000FF"/>
                <w:sz w:val="24"/>
                <w:szCs w:val="24"/>
              </w:rPr>
            </w:pPr>
          </w:p>
        </w:tc>
        <w:tc>
          <w:tcPr>
            <w:tcW w:w="4074" w:type="dxa"/>
          </w:tcPr>
          <w:p w14:paraId="687295E9" w14:textId="77777777" w:rsidR="00EB19CA" w:rsidRPr="00D462F0" w:rsidRDefault="00EB19CA" w:rsidP="00D462F0">
            <w:pPr>
              <w:jc w:val="both"/>
              <w:rPr>
                <w:rFonts w:asciiTheme="majorHAnsi" w:hAnsiTheme="majorHAnsi" w:cstheme="majorHAnsi"/>
                <w:sz w:val="24"/>
                <w:szCs w:val="24"/>
              </w:rPr>
            </w:pPr>
          </w:p>
        </w:tc>
        <w:tc>
          <w:tcPr>
            <w:tcW w:w="4075" w:type="dxa"/>
          </w:tcPr>
          <w:p w14:paraId="0EEE00B0" w14:textId="3735CDA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EB19CA" w:rsidRPr="00C93770" w14:paraId="7B5BA97F" w14:textId="77777777" w:rsidTr="1756A420">
        <w:tc>
          <w:tcPr>
            <w:tcW w:w="4074" w:type="dxa"/>
          </w:tcPr>
          <w:p w14:paraId="32666D8C" w14:textId="4A84698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303B191F"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V – não participar da gerência ou administração de empresa privada ou de sociedade civil, bem como não exercer o comércio; e</w:t>
            </w:r>
          </w:p>
          <w:p w14:paraId="1E8550A1" w14:textId="42B7DB1F" w:rsidR="00EB19CA" w:rsidRPr="00D462F0" w:rsidRDefault="00EB19CA" w:rsidP="00D462F0">
            <w:pPr>
              <w:jc w:val="both"/>
              <w:rPr>
                <w:rFonts w:asciiTheme="majorHAnsi" w:hAnsiTheme="majorHAnsi" w:cstheme="majorHAnsi"/>
                <w:bCs/>
                <w:color w:val="0000FF"/>
                <w:sz w:val="24"/>
                <w:szCs w:val="24"/>
              </w:rPr>
            </w:pPr>
          </w:p>
        </w:tc>
        <w:tc>
          <w:tcPr>
            <w:tcW w:w="4074" w:type="dxa"/>
          </w:tcPr>
          <w:p w14:paraId="7B72EFE0" w14:textId="77777777" w:rsidR="00EB19CA" w:rsidRPr="00D462F0" w:rsidRDefault="00EB19CA" w:rsidP="00D462F0">
            <w:pPr>
              <w:jc w:val="both"/>
              <w:rPr>
                <w:rFonts w:asciiTheme="majorHAnsi" w:hAnsiTheme="majorHAnsi" w:cstheme="majorHAnsi"/>
                <w:sz w:val="24"/>
                <w:szCs w:val="24"/>
              </w:rPr>
            </w:pPr>
          </w:p>
        </w:tc>
        <w:tc>
          <w:tcPr>
            <w:tcW w:w="4075" w:type="dxa"/>
          </w:tcPr>
          <w:p w14:paraId="036957D8" w14:textId="261F36B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EB19CA" w:rsidRPr="00C93770" w14:paraId="6058C359" w14:textId="77777777" w:rsidTr="1756A420">
        <w:tc>
          <w:tcPr>
            <w:tcW w:w="4074" w:type="dxa"/>
          </w:tcPr>
          <w:p w14:paraId="0682578A" w14:textId="54D13E9A"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5164F9E9" w14:textId="225DFF91"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VI – ter formação de nível superior.</w:t>
            </w:r>
          </w:p>
        </w:tc>
        <w:tc>
          <w:tcPr>
            <w:tcW w:w="4074" w:type="dxa"/>
          </w:tcPr>
          <w:p w14:paraId="29D44300" w14:textId="77777777" w:rsidR="00EB19CA" w:rsidRPr="00D462F0" w:rsidRDefault="00EB19CA" w:rsidP="00D462F0">
            <w:pPr>
              <w:jc w:val="both"/>
              <w:rPr>
                <w:rFonts w:asciiTheme="majorHAnsi" w:hAnsiTheme="majorHAnsi" w:cstheme="majorHAnsi"/>
                <w:sz w:val="24"/>
                <w:szCs w:val="24"/>
              </w:rPr>
            </w:pPr>
          </w:p>
        </w:tc>
        <w:tc>
          <w:tcPr>
            <w:tcW w:w="4075" w:type="dxa"/>
          </w:tcPr>
          <w:p w14:paraId="4F1B2B4B" w14:textId="1683DDE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EB19CA" w:rsidRPr="00C93770" w14:paraId="53E90B69" w14:textId="77777777" w:rsidTr="1756A420">
        <w:tc>
          <w:tcPr>
            <w:tcW w:w="4074" w:type="dxa"/>
          </w:tcPr>
          <w:p w14:paraId="35BB1474" w14:textId="22C8E86F"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650C82E6" w14:textId="19B2F7BC"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Art. 268-B.  O Interventor deverá encaminhar para a Coordenação-Geral de Regimes Especiais – CGRE, com antecedência mínima de trinta dias, contados da data prevista para o encerramento do Regime Especial, um plano de recuperação da entidade ou do plano de benefícios, para deliberação da Diretoria Colegiada da Previc.</w:t>
            </w:r>
          </w:p>
        </w:tc>
        <w:tc>
          <w:tcPr>
            <w:tcW w:w="4074" w:type="dxa"/>
          </w:tcPr>
          <w:p w14:paraId="6D3DAB92"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Definir prazo suficiente para análise da Diretoria Colegiada dos procedimentos que deverão ser adotados pela gestão da entidade, após o encerramento do Regime Especial.</w:t>
            </w:r>
          </w:p>
          <w:p w14:paraId="2C06ACD0" w14:textId="27BF3414" w:rsidR="00EB19CA" w:rsidRPr="00D462F0" w:rsidRDefault="00EB19CA" w:rsidP="00D462F0">
            <w:pPr>
              <w:jc w:val="both"/>
              <w:rPr>
                <w:rFonts w:asciiTheme="majorHAnsi" w:hAnsiTheme="majorHAnsi" w:cstheme="majorHAnsi"/>
                <w:sz w:val="24"/>
                <w:szCs w:val="24"/>
              </w:rPr>
            </w:pPr>
          </w:p>
        </w:tc>
        <w:tc>
          <w:tcPr>
            <w:tcW w:w="4075" w:type="dxa"/>
          </w:tcPr>
          <w:p w14:paraId="77670B4F"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4729C7D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artigo em questão pretende assegurar prazo suficiente para análise da Diretoria Colegiada dos procedimentos que deverão ser adotados pela gestão da entidade, após o encerramento do Regime Especial. </w:t>
            </w:r>
          </w:p>
          <w:p w14:paraId="28E368FB"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à medida que estabelece prazos seguros para a avaliação dos procedimentos a serem adotados pela entidade no referido contexto. </w:t>
            </w:r>
          </w:p>
          <w:p w14:paraId="373F26AC"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Conceitualmente higidez é a condição de uma entidade que demonstra equilíbrio atuarial, sustentabilidade de </w:t>
            </w:r>
            <w:r w:rsidRPr="00D462F0">
              <w:rPr>
                <w:rFonts w:asciiTheme="majorHAnsi" w:hAnsiTheme="majorHAnsi" w:cstheme="majorHAnsi"/>
                <w:bCs/>
                <w:sz w:val="24"/>
                <w:szCs w:val="24"/>
              </w:rPr>
              <w:lastRenderedPageBreak/>
              <w:t>longo prazo e conformidade regulatória. Nesse sentido, trata-se de componente da higidez a governança e controles internos, tendo como pilar as boas práticas de gestão e fiscalização dos processos decisórios.</w:t>
            </w:r>
          </w:p>
          <w:p w14:paraId="172079B0" w14:textId="0CBB64E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EB19CA" w:rsidRPr="00C93770" w14:paraId="6AED2AD1" w14:textId="77777777" w:rsidTr="1756A420">
        <w:tc>
          <w:tcPr>
            <w:tcW w:w="4074" w:type="dxa"/>
          </w:tcPr>
          <w:p w14:paraId="204D0B79" w14:textId="1089A9CB"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46BDE0A5" w14:textId="239E26A0"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Art. 268-C.  Ao final dos trabalhos do Interventor nomeado pela Previc, será indicada uma Governança Provisória, com mandato de seis meses, com a atribuição principal de implementar o Plano de Recuperação da Entidade e de conduzir o processo ordinário de definição da estrutura de governança definitiva.</w:t>
            </w:r>
          </w:p>
        </w:tc>
        <w:tc>
          <w:tcPr>
            <w:tcW w:w="4074" w:type="dxa"/>
          </w:tcPr>
          <w:p w14:paraId="19E43CF7"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Definir responsabilidades para a nova Gestão da Entidade.</w:t>
            </w:r>
          </w:p>
          <w:p w14:paraId="7D6002EA" w14:textId="74486F56" w:rsidR="00EB19CA" w:rsidRPr="00D462F0" w:rsidRDefault="00EB19CA" w:rsidP="00D462F0">
            <w:pPr>
              <w:jc w:val="both"/>
              <w:rPr>
                <w:rFonts w:asciiTheme="majorHAnsi" w:hAnsiTheme="majorHAnsi" w:cstheme="majorHAnsi"/>
                <w:sz w:val="24"/>
                <w:szCs w:val="24"/>
              </w:rPr>
            </w:pPr>
          </w:p>
        </w:tc>
        <w:tc>
          <w:tcPr>
            <w:tcW w:w="4075" w:type="dxa"/>
          </w:tcPr>
          <w:p w14:paraId="4D9C4E7D"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5ED9BF24"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O artigo em questão pretende definir responsabilidades para a nova Gestão da Entidade.</w:t>
            </w:r>
          </w:p>
          <w:p w14:paraId="62869F11" w14:textId="77777777" w:rsidR="00EB19CA" w:rsidRPr="00D462F0" w:rsidRDefault="00EB19CA"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w:t>
            </w:r>
          </w:p>
          <w:p w14:paraId="61914AF5"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Conceitualmente higidez é a condição de uma entidade que demonstra equilíbrio atuarial, sustentabilidade de longo prazo e conformidade regulatória.  Nesse sentido, trata-se de componente da higidez de uma EFPC a gestão prudencial dos recursos expressa na administração segura e eficiente dos ativos financeiros.</w:t>
            </w:r>
          </w:p>
          <w:p w14:paraId="675CB734" w14:textId="160A6C5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EB19CA" w:rsidRPr="00C93770" w14:paraId="322DB3CF" w14:textId="77777777" w:rsidTr="1756A420">
        <w:tc>
          <w:tcPr>
            <w:tcW w:w="4074" w:type="dxa"/>
          </w:tcPr>
          <w:p w14:paraId="6C06B76D" w14:textId="361C65BD"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58B7B659" w14:textId="764FE578"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Parágrafo único.  A indicação dos membros que comporão a Governança Provisória deverá observar a </w:t>
            </w:r>
            <w:r w:rsidRPr="00D462F0">
              <w:rPr>
                <w:rFonts w:asciiTheme="majorHAnsi" w:hAnsiTheme="majorHAnsi" w:cstheme="majorHAnsi"/>
                <w:bCs/>
                <w:color w:val="0000FF"/>
                <w:sz w:val="24"/>
                <w:szCs w:val="24"/>
              </w:rPr>
              <w:lastRenderedPageBreak/>
              <w:t>representação dos participantes e assistidos da EPFC.</w:t>
            </w:r>
          </w:p>
        </w:tc>
        <w:tc>
          <w:tcPr>
            <w:tcW w:w="4074" w:type="dxa"/>
          </w:tcPr>
          <w:p w14:paraId="13B3368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Definir a forma de composição da Governança Provisória.</w:t>
            </w:r>
          </w:p>
          <w:p w14:paraId="1ADB67F3" w14:textId="091F6004" w:rsidR="00EB19CA" w:rsidRPr="00D462F0" w:rsidRDefault="00EB19CA" w:rsidP="00D462F0">
            <w:pPr>
              <w:jc w:val="both"/>
              <w:rPr>
                <w:rFonts w:asciiTheme="majorHAnsi" w:hAnsiTheme="majorHAnsi" w:cstheme="majorHAnsi"/>
                <w:sz w:val="24"/>
                <w:szCs w:val="24"/>
              </w:rPr>
            </w:pPr>
          </w:p>
        </w:tc>
        <w:tc>
          <w:tcPr>
            <w:tcW w:w="4075" w:type="dxa"/>
          </w:tcPr>
          <w:p w14:paraId="007BE629"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3DA50E6C"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O artigo em questão pretende definir a forma de composição da Governança Provisória.</w:t>
            </w:r>
          </w:p>
          <w:p w14:paraId="00272838" w14:textId="77777777" w:rsidR="00EB19CA" w:rsidRPr="00D462F0" w:rsidRDefault="00EB19CA"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w:t>
            </w:r>
          </w:p>
          <w:p w14:paraId="793E9DCB"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Conceitualmente higidez é a condição de uma entidade que demonstra equilíbrio atuarial, sustentabilidade de longo prazo e conformidade regulatória.  Nesse sentido, trata-se de componente da higidez de uma EFPC a gestão prudencial dos recursos expressa na administração segura e eficiente dos ativos financeiros.</w:t>
            </w:r>
          </w:p>
          <w:p w14:paraId="72387074"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estabelecimento de forma de composição da governança provisória  pretende fortalecer a governança interna da EFPC no referido contexto. </w:t>
            </w:r>
          </w:p>
          <w:p w14:paraId="6E2F932A" w14:textId="29F8185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EB19CA" w:rsidRPr="00C93770" w14:paraId="37C7CECD" w14:textId="77777777" w:rsidTr="1756A420">
        <w:tc>
          <w:tcPr>
            <w:tcW w:w="4074" w:type="dxa"/>
          </w:tcPr>
          <w:p w14:paraId="40BE5FEF" w14:textId="7A77E1D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62731B74" w14:textId="1C27BB2D"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Art. 268-D. </w:t>
            </w:r>
            <w:r w:rsidR="002701A9"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Após o encerramento do Regime Especial de Intervenção, a EFPC será incluída no programa anual de fiscalização e submetida ao processo de fiscalização de Acompanhamento Especial.</w:t>
            </w:r>
          </w:p>
        </w:tc>
        <w:tc>
          <w:tcPr>
            <w:tcW w:w="4074" w:type="dxa"/>
          </w:tcPr>
          <w:p w14:paraId="36D9DF43"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Definir que a entidade, após o encerramento da intervenção, seja incluída no PAF.</w:t>
            </w:r>
          </w:p>
          <w:p w14:paraId="74F123DA" w14:textId="5A20C95D" w:rsidR="00EB19CA" w:rsidRPr="00D462F0" w:rsidRDefault="00EB19CA" w:rsidP="00D462F0">
            <w:pPr>
              <w:jc w:val="both"/>
              <w:rPr>
                <w:rFonts w:asciiTheme="majorHAnsi" w:hAnsiTheme="majorHAnsi" w:cstheme="majorHAnsi"/>
                <w:sz w:val="24"/>
                <w:szCs w:val="24"/>
              </w:rPr>
            </w:pPr>
          </w:p>
        </w:tc>
        <w:tc>
          <w:tcPr>
            <w:tcW w:w="4075" w:type="dxa"/>
          </w:tcPr>
          <w:p w14:paraId="2C3950B8"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53BA08BB"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O artigo em questão pretende definir que a entidade, após o encerramento da intervenção, seja incluída no PAF e submetida ao processo de fiscalização de Acompanhamento Especial.</w:t>
            </w:r>
          </w:p>
          <w:p w14:paraId="22EDC1B5" w14:textId="77777777" w:rsidR="00EB19CA" w:rsidRPr="00D462F0" w:rsidRDefault="00EB19CA"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w:t>
            </w:r>
          </w:p>
          <w:p w14:paraId="162CF314"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 xml:space="preserve">Conceitualmente higidez é a condição de uma entidade que demonstra equilíbrio atuarial, sustentabilidade de longo prazo e conformidade regulatória.  Nesse </w:t>
            </w:r>
            <w:r w:rsidRPr="00D462F0">
              <w:rPr>
                <w:rFonts w:asciiTheme="majorHAnsi" w:hAnsiTheme="majorHAnsi" w:cstheme="majorHAnsi"/>
                <w:bCs/>
                <w:sz w:val="24"/>
                <w:szCs w:val="24"/>
              </w:rPr>
              <w:lastRenderedPageBreak/>
              <w:t>sentido, trata-se de componente da higidez de uma EFPC a gestão prudencial dos recursos expressa na administração segura e eficiente dos ativos financeiros.</w:t>
            </w:r>
          </w:p>
          <w:p w14:paraId="55761431"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inclusão da EFPC no PAF e submissão da mesma pretende mitigar riscos e promover acompanhamento cuidados da entidade nesse contexto, contribuindo assim para a preservação da higidez no âmbito da entidade. </w:t>
            </w:r>
          </w:p>
          <w:p w14:paraId="61F965EB" w14:textId="2DF1720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DD2A8A" w:rsidRPr="00C93770" w14:paraId="77E975F6" w14:textId="77777777" w:rsidTr="1756A420">
        <w:tc>
          <w:tcPr>
            <w:tcW w:w="4074" w:type="dxa"/>
          </w:tcPr>
          <w:p w14:paraId="201F2F3E" w14:textId="51205125" w:rsidR="00DD2A8A" w:rsidRPr="00D462F0" w:rsidRDefault="00DD2A8A"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6764308B" w14:textId="46B9DA7F" w:rsidR="00DD2A8A" w:rsidRPr="00D462F0" w:rsidRDefault="00DD2A8A"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09A7283B" w14:textId="77777777" w:rsidR="00DD2A8A" w:rsidRPr="00D462F0" w:rsidRDefault="00DD2A8A" w:rsidP="00D462F0">
            <w:pPr>
              <w:jc w:val="both"/>
              <w:rPr>
                <w:rFonts w:asciiTheme="majorHAnsi" w:hAnsiTheme="majorHAnsi" w:cstheme="majorHAnsi"/>
                <w:sz w:val="24"/>
                <w:szCs w:val="24"/>
              </w:rPr>
            </w:pPr>
          </w:p>
        </w:tc>
        <w:tc>
          <w:tcPr>
            <w:tcW w:w="4075" w:type="dxa"/>
          </w:tcPr>
          <w:p w14:paraId="6CBF09D7" w14:textId="77777777" w:rsidR="00DD2A8A" w:rsidRPr="00D462F0" w:rsidRDefault="00DD2A8A" w:rsidP="00D462F0">
            <w:pPr>
              <w:jc w:val="both"/>
              <w:rPr>
                <w:rFonts w:asciiTheme="majorHAnsi" w:hAnsiTheme="majorHAnsi" w:cstheme="majorHAnsi"/>
                <w:bCs/>
                <w:sz w:val="24"/>
                <w:szCs w:val="24"/>
              </w:rPr>
            </w:pPr>
          </w:p>
        </w:tc>
      </w:tr>
      <w:tr w:rsidR="00EB19CA" w:rsidRPr="00C93770" w14:paraId="034ED2CF" w14:textId="77777777" w:rsidTr="1756A420">
        <w:tc>
          <w:tcPr>
            <w:tcW w:w="4074" w:type="dxa"/>
          </w:tcPr>
          <w:p w14:paraId="6DBA5147" w14:textId="73292A53"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272. </w:t>
            </w:r>
            <w:r w:rsidR="00DD2A8A"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Os limites para a remuneração e a indenização de despesas referentes à hospedagem, alimentação e deslocamento dos administradores especiais, interventores e liquidantes nomeados pela Previc </w:t>
            </w:r>
            <w:r w:rsidRPr="00D462F0">
              <w:rPr>
                <w:rFonts w:asciiTheme="majorHAnsi" w:hAnsiTheme="majorHAnsi" w:cstheme="majorHAnsi"/>
                <w:bCs/>
                <w:color w:val="000000"/>
                <w:sz w:val="24"/>
                <w:szCs w:val="24"/>
              </w:rPr>
              <w:t>será</w:t>
            </w:r>
            <w:r w:rsidRPr="00D462F0">
              <w:rPr>
                <w:rFonts w:asciiTheme="majorHAnsi" w:hAnsiTheme="majorHAnsi" w:cstheme="majorHAnsi"/>
                <w:color w:val="000000"/>
                <w:sz w:val="24"/>
                <w:szCs w:val="24"/>
              </w:rPr>
              <w:t xml:space="preserve"> fixado em Portaria do Diretor Superintendente.</w:t>
            </w:r>
          </w:p>
        </w:tc>
        <w:tc>
          <w:tcPr>
            <w:tcW w:w="4074" w:type="dxa"/>
          </w:tcPr>
          <w:p w14:paraId="1FCCF978" w14:textId="581CBFE0"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272.  Os limites para a remuneração e a indenização de despesas referentes à hospedagem, alimentação e deslocamento, </w:t>
            </w:r>
            <w:r w:rsidRPr="00D462F0">
              <w:rPr>
                <w:rFonts w:asciiTheme="majorHAnsi" w:hAnsiTheme="majorHAnsi" w:cstheme="majorHAnsi"/>
                <w:bCs/>
                <w:color w:val="0000FF"/>
                <w:sz w:val="24"/>
                <w:szCs w:val="24"/>
              </w:rPr>
              <w:t>bem como as questões operacionais relativas à posse</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00"/>
                <w:sz w:val="24"/>
                <w:szCs w:val="24"/>
              </w:rPr>
              <w:t xml:space="preserve">dos administradores especiais, interventores e liquidantes nomeados pela Previc </w:t>
            </w:r>
            <w:r w:rsidRPr="00D462F0">
              <w:rPr>
                <w:rFonts w:asciiTheme="majorHAnsi" w:hAnsiTheme="majorHAnsi" w:cstheme="majorHAnsi"/>
                <w:bCs/>
                <w:strike/>
                <w:color w:val="EE0000"/>
                <w:sz w:val="24"/>
                <w:szCs w:val="24"/>
              </w:rPr>
              <w:t>será fixado</w:t>
            </w:r>
            <w:r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FF"/>
                <w:sz w:val="24"/>
                <w:szCs w:val="24"/>
              </w:rPr>
              <w:t>serão</w:t>
            </w:r>
            <w:r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FF"/>
                <w:sz w:val="24"/>
                <w:szCs w:val="24"/>
              </w:rPr>
              <w:t>fixados</w:t>
            </w:r>
            <w:r w:rsidRPr="00D462F0">
              <w:rPr>
                <w:rFonts w:asciiTheme="majorHAnsi" w:hAnsiTheme="majorHAnsi" w:cstheme="majorHAnsi"/>
                <w:bCs/>
                <w:color w:val="000000"/>
                <w:sz w:val="24"/>
                <w:szCs w:val="24"/>
              </w:rPr>
              <w:t xml:space="preserve"> em Portaria do Diretor-Superintendente.</w:t>
            </w:r>
          </w:p>
        </w:tc>
        <w:tc>
          <w:tcPr>
            <w:tcW w:w="4074" w:type="dxa"/>
          </w:tcPr>
          <w:p w14:paraId="158B40FF" w14:textId="0CBFE4F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Necessidade de revogar Portaria Previc nº 859, de 29 de outubro de 2010, editada há quase 15 anos, para efeito de atualização normativa. </w:t>
            </w:r>
          </w:p>
        </w:tc>
        <w:tc>
          <w:tcPr>
            <w:tcW w:w="4075" w:type="dxa"/>
          </w:tcPr>
          <w:p w14:paraId="6CEDF7AC" w14:textId="742DD12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00437780" w14:textId="4BF5FEE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alteração de impacto operacional interno.</w:t>
            </w:r>
          </w:p>
          <w:p w14:paraId="1A49264B" w14:textId="374C204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se tratar de artigo de natureza administrativa, com efeitos diretos à Previc, o caso se enquadra em não aplicabilidade para a realização de AIR.</w:t>
            </w:r>
          </w:p>
        </w:tc>
      </w:tr>
      <w:tr w:rsidR="00DD2A8A" w:rsidRPr="00C93770" w14:paraId="14BBF33E" w14:textId="77777777" w:rsidTr="1756A420">
        <w:tc>
          <w:tcPr>
            <w:tcW w:w="4074" w:type="dxa"/>
          </w:tcPr>
          <w:p w14:paraId="480AE198" w14:textId="67337A48" w:rsidR="00DD2A8A" w:rsidRPr="00D462F0" w:rsidRDefault="00DD2A8A" w:rsidP="008F3FAE">
            <w:pPr>
              <w:tabs>
                <w:tab w:val="left" w:pos="0"/>
              </w:tabs>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w:t>
            </w:r>
          </w:p>
        </w:tc>
        <w:tc>
          <w:tcPr>
            <w:tcW w:w="4074" w:type="dxa"/>
          </w:tcPr>
          <w:p w14:paraId="647D676C" w14:textId="686ED300" w:rsidR="00DD2A8A" w:rsidRPr="00D462F0" w:rsidRDefault="00DD2A8A" w:rsidP="008F3FAE">
            <w:pPr>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w:t>
            </w:r>
          </w:p>
        </w:tc>
        <w:tc>
          <w:tcPr>
            <w:tcW w:w="4074" w:type="dxa"/>
            <w:vAlign w:val="center"/>
          </w:tcPr>
          <w:p w14:paraId="39F586F5" w14:textId="77777777" w:rsidR="00DD2A8A" w:rsidRPr="00D462F0" w:rsidRDefault="00DD2A8A" w:rsidP="00D462F0">
            <w:pPr>
              <w:jc w:val="both"/>
              <w:rPr>
                <w:rFonts w:asciiTheme="majorHAnsi" w:hAnsiTheme="majorHAnsi" w:cstheme="majorHAnsi"/>
                <w:sz w:val="24"/>
                <w:szCs w:val="24"/>
              </w:rPr>
            </w:pPr>
          </w:p>
        </w:tc>
        <w:tc>
          <w:tcPr>
            <w:tcW w:w="4075" w:type="dxa"/>
          </w:tcPr>
          <w:p w14:paraId="1B472DFD" w14:textId="77777777" w:rsidR="00DD2A8A" w:rsidRPr="00D462F0" w:rsidRDefault="00DD2A8A" w:rsidP="00D462F0">
            <w:pPr>
              <w:jc w:val="both"/>
              <w:rPr>
                <w:rFonts w:asciiTheme="majorHAnsi" w:hAnsiTheme="majorHAnsi" w:cstheme="majorHAnsi"/>
                <w:bCs/>
                <w:sz w:val="24"/>
                <w:szCs w:val="24"/>
              </w:rPr>
            </w:pPr>
          </w:p>
        </w:tc>
      </w:tr>
      <w:tr w:rsidR="00815BB1" w:rsidRPr="00C93770" w14:paraId="27B51D21" w14:textId="77777777" w:rsidTr="1756A420">
        <w:tc>
          <w:tcPr>
            <w:tcW w:w="4074" w:type="dxa"/>
          </w:tcPr>
          <w:p w14:paraId="6C776467" w14:textId="77777777" w:rsidR="00815BB1" w:rsidRPr="00D462F0" w:rsidRDefault="00815BB1" w:rsidP="008F3FAE">
            <w:pPr>
              <w:tabs>
                <w:tab w:val="left" w:pos="0"/>
              </w:tabs>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CAPÍTULO XII</w:t>
            </w:r>
          </w:p>
          <w:p w14:paraId="10B4366C" w14:textId="5F81D95C" w:rsidR="00815BB1" w:rsidRPr="00D462F0" w:rsidRDefault="00815BB1" w:rsidP="008F3FAE">
            <w:pPr>
              <w:tabs>
                <w:tab w:val="left" w:pos="0"/>
              </w:tabs>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DOS DADOS A SEREM ENVIADOS À PREVIC</w:t>
            </w:r>
          </w:p>
        </w:tc>
        <w:tc>
          <w:tcPr>
            <w:tcW w:w="4074" w:type="dxa"/>
          </w:tcPr>
          <w:p w14:paraId="5877A5D3" w14:textId="77777777" w:rsidR="00815BB1" w:rsidRPr="00D462F0" w:rsidRDefault="00815BB1" w:rsidP="008F3FAE">
            <w:pPr>
              <w:tabs>
                <w:tab w:val="left" w:pos="0"/>
              </w:tabs>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CAPÍTULO XII</w:t>
            </w:r>
          </w:p>
          <w:p w14:paraId="6C9891CB" w14:textId="01217901" w:rsidR="00815BB1" w:rsidRPr="00D462F0" w:rsidRDefault="00815BB1" w:rsidP="008F3FAE">
            <w:pPr>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DOS DADOS A SEREM ENVIADOS À PREVIC</w:t>
            </w:r>
          </w:p>
        </w:tc>
        <w:tc>
          <w:tcPr>
            <w:tcW w:w="4074" w:type="dxa"/>
            <w:vAlign w:val="center"/>
          </w:tcPr>
          <w:p w14:paraId="341DFA4E" w14:textId="77777777" w:rsidR="00815BB1" w:rsidRPr="00D462F0" w:rsidRDefault="00815BB1" w:rsidP="00D462F0">
            <w:pPr>
              <w:jc w:val="both"/>
              <w:rPr>
                <w:rFonts w:asciiTheme="majorHAnsi" w:hAnsiTheme="majorHAnsi" w:cstheme="majorHAnsi"/>
                <w:sz w:val="24"/>
                <w:szCs w:val="24"/>
              </w:rPr>
            </w:pPr>
          </w:p>
        </w:tc>
        <w:tc>
          <w:tcPr>
            <w:tcW w:w="4075" w:type="dxa"/>
          </w:tcPr>
          <w:p w14:paraId="7D1848FD" w14:textId="77777777" w:rsidR="00815BB1" w:rsidRPr="00D462F0" w:rsidRDefault="00815BB1" w:rsidP="00D462F0">
            <w:pPr>
              <w:jc w:val="both"/>
              <w:rPr>
                <w:rFonts w:asciiTheme="majorHAnsi" w:hAnsiTheme="majorHAnsi" w:cstheme="majorHAnsi"/>
                <w:bCs/>
                <w:sz w:val="24"/>
                <w:szCs w:val="24"/>
              </w:rPr>
            </w:pPr>
          </w:p>
        </w:tc>
      </w:tr>
      <w:tr w:rsidR="00815BB1" w:rsidRPr="00C93770" w14:paraId="285BA208" w14:textId="77777777" w:rsidTr="1756A420">
        <w:tc>
          <w:tcPr>
            <w:tcW w:w="4074" w:type="dxa"/>
          </w:tcPr>
          <w:p w14:paraId="212F9E64" w14:textId="77777777" w:rsidR="00815BB1" w:rsidRPr="00D462F0" w:rsidRDefault="00815BB1" w:rsidP="008F3FAE">
            <w:pPr>
              <w:tabs>
                <w:tab w:val="left" w:pos="0"/>
              </w:tabs>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Seção I</w:t>
            </w:r>
          </w:p>
          <w:p w14:paraId="57A1677C" w14:textId="37A0765E" w:rsidR="00815BB1" w:rsidRPr="00D462F0" w:rsidRDefault="00815BB1" w:rsidP="008F3FAE">
            <w:pPr>
              <w:tabs>
                <w:tab w:val="left" w:pos="0"/>
              </w:tabs>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Informações Atuariais</w:t>
            </w:r>
          </w:p>
        </w:tc>
        <w:tc>
          <w:tcPr>
            <w:tcW w:w="4074" w:type="dxa"/>
          </w:tcPr>
          <w:p w14:paraId="7C2BDDAC" w14:textId="77777777" w:rsidR="00815BB1" w:rsidRPr="00D462F0" w:rsidRDefault="00815BB1" w:rsidP="008F3FAE">
            <w:pPr>
              <w:tabs>
                <w:tab w:val="left" w:pos="0"/>
              </w:tabs>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Seção I</w:t>
            </w:r>
          </w:p>
          <w:p w14:paraId="660BE499" w14:textId="39E4062C" w:rsidR="00815BB1" w:rsidRPr="00D462F0" w:rsidRDefault="00815BB1" w:rsidP="008F3FAE">
            <w:pPr>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Informações Atuariais</w:t>
            </w:r>
          </w:p>
        </w:tc>
        <w:tc>
          <w:tcPr>
            <w:tcW w:w="4074" w:type="dxa"/>
            <w:vAlign w:val="center"/>
          </w:tcPr>
          <w:p w14:paraId="714DB8A4" w14:textId="77777777" w:rsidR="00815BB1" w:rsidRPr="00D462F0" w:rsidRDefault="00815BB1" w:rsidP="00D462F0">
            <w:pPr>
              <w:jc w:val="both"/>
              <w:rPr>
                <w:rFonts w:asciiTheme="majorHAnsi" w:hAnsiTheme="majorHAnsi" w:cstheme="majorHAnsi"/>
                <w:sz w:val="24"/>
                <w:szCs w:val="24"/>
              </w:rPr>
            </w:pPr>
          </w:p>
        </w:tc>
        <w:tc>
          <w:tcPr>
            <w:tcW w:w="4075" w:type="dxa"/>
          </w:tcPr>
          <w:p w14:paraId="4DB15D78" w14:textId="77777777" w:rsidR="00815BB1" w:rsidRPr="00D462F0" w:rsidRDefault="00815BB1" w:rsidP="00D462F0">
            <w:pPr>
              <w:jc w:val="both"/>
              <w:rPr>
                <w:rFonts w:asciiTheme="majorHAnsi" w:hAnsiTheme="majorHAnsi" w:cstheme="majorHAnsi"/>
                <w:bCs/>
                <w:sz w:val="24"/>
                <w:szCs w:val="24"/>
              </w:rPr>
            </w:pPr>
          </w:p>
        </w:tc>
      </w:tr>
      <w:tr w:rsidR="00815BB1" w:rsidRPr="00C93770" w14:paraId="29F39652" w14:textId="77777777" w:rsidTr="1756A420">
        <w:tc>
          <w:tcPr>
            <w:tcW w:w="4074" w:type="dxa"/>
          </w:tcPr>
          <w:p w14:paraId="253A4962" w14:textId="77777777" w:rsidR="00815BB1" w:rsidRPr="00D462F0" w:rsidRDefault="00815BB1" w:rsidP="008F3FAE">
            <w:pPr>
              <w:tabs>
                <w:tab w:val="left" w:pos="0"/>
              </w:tabs>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Subseção I</w:t>
            </w:r>
          </w:p>
          <w:p w14:paraId="429190E9" w14:textId="213D6D20" w:rsidR="00815BB1" w:rsidRPr="00D462F0" w:rsidRDefault="00815BB1" w:rsidP="008F3FAE">
            <w:pPr>
              <w:tabs>
                <w:tab w:val="left" w:pos="0"/>
              </w:tabs>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Demonstrações Atuariais</w:t>
            </w:r>
          </w:p>
        </w:tc>
        <w:tc>
          <w:tcPr>
            <w:tcW w:w="4074" w:type="dxa"/>
          </w:tcPr>
          <w:p w14:paraId="7BCDA092" w14:textId="77777777" w:rsidR="00815BB1" w:rsidRPr="00D462F0" w:rsidRDefault="00815BB1" w:rsidP="008F3FAE">
            <w:pPr>
              <w:tabs>
                <w:tab w:val="left" w:pos="0"/>
              </w:tabs>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Subseção I</w:t>
            </w:r>
          </w:p>
          <w:p w14:paraId="657121E5" w14:textId="1A95F209" w:rsidR="00815BB1" w:rsidRPr="00D462F0" w:rsidRDefault="00815BB1" w:rsidP="008F3FAE">
            <w:pPr>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Demonstrações Atuariais</w:t>
            </w:r>
          </w:p>
        </w:tc>
        <w:tc>
          <w:tcPr>
            <w:tcW w:w="4074" w:type="dxa"/>
            <w:vAlign w:val="center"/>
          </w:tcPr>
          <w:p w14:paraId="402E3392" w14:textId="77777777" w:rsidR="00815BB1" w:rsidRPr="00D462F0" w:rsidRDefault="00815BB1" w:rsidP="00D462F0">
            <w:pPr>
              <w:jc w:val="both"/>
              <w:rPr>
                <w:rFonts w:asciiTheme="majorHAnsi" w:hAnsiTheme="majorHAnsi" w:cstheme="majorHAnsi"/>
                <w:sz w:val="24"/>
                <w:szCs w:val="24"/>
              </w:rPr>
            </w:pPr>
          </w:p>
        </w:tc>
        <w:tc>
          <w:tcPr>
            <w:tcW w:w="4075" w:type="dxa"/>
          </w:tcPr>
          <w:p w14:paraId="477D38A9" w14:textId="77777777" w:rsidR="00815BB1" w:rsidRPr="00D462F0" w:rsidRDefault="00815BB1" w:rsidP="00D462F0">
            <w:pPr>
              <w:jc w:val="both"/>
              <w:rPr>
                <w:rFonts w:asciiTheme="majorHAnsi" w:hAnsiTheme="majorHAnsi" w:cstheme="majorHAnsi"/>
                <w:bCs/>
                <w:sz w:val="24"/>
                <w:szCs w:val="24"/>
              </w:rPr>
            </w:pPr>
          </w:p>
        </w:tc>
      </w:tr>
      <w:tr w:rsidR="00815BB1" w:rsidRPr="00C93770" w14:paraId="43F23A02" w14:textId="77777777" w:rsidTr="1756A420">
        <w:tc>
          <w:tcPr>
            <w:tcW w:w="4074" w:type="dxa"/>
          </w:tcPr>
          <w:p w14:paraId="0DE0B53E" w14:textId="74708AED" w:rsidR="00815BB1" w:rsidRPr="00D462F0" w:rsidRDefault="00815BB1" w:rsidP="008F3FAE">
            <w:pPr>
              <w:tabs>
                <w:tab w:val="left" w:pos="0"/>
              </w:tabs>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w:t>
            </w:r>
          </w:p>
        </w:tc>
        <w:tc>
          <w:tcPr>
            <w:tcW w:w="4074" w:type="dxa"/>
          </w:tcPr>
          <w:p w14:paraId="0095C1ED" w14:textId="30D90B41" w:rsidR="00815BB1" w:rsidRPr="00D462F0" w:rsidRDefault="00815BB1" w:rsidP="008F3FAE">
            <w:pPr>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w:t>
            </w:r>
          </w:p>
        </w:tc>
        <w:tc>
          <w:tcPr>
            <w:tcW w:w="4074" w:type="dxa"/>
            <w:vAlign w:val="center"/>
          </w:tcPr>
          <w:p w14:paraId="0C3D4FA2" w14:textId="77777777" w:rsidR="00815BB1" w:rsidRPr="00D462F0" w:rsidRDefault="00815BB1" w:rsidP="00D462F0">
            <w:pPr>
              <w:jc w:val="both"/>
              <w:rPr>
                <w:rFonts w:asciiTheme="majorHAnsi" w:hAnsiTheme="majorHAnsi" w:cstheme="majorHAnsi"/>
                <w:sz w:val="24"/>
                <w:szCs w:val="24"/>
              </w:rPr>
            </w:pPr>
          </w:p>
        </w:tc>
        <w:tc>
          <w:tcPr>
            <w:tcW w:w="4075" w:type="dxa"/>
          </w:tcPr>
          <w:p w14:paraId="2724A59D" w14:textId="77777777" w:rsidR="00815BB1" w:rsidRPr="00D462F0" w:rsidRDefault="00815BB1" w:rsidP="00D462F0">
            <w:pPr>
              <w:jc w:val="both"/>
              <w:rPr>
                <w:rFonts w:asciiTheme="majorHAnsi" w:hAnsiTheme="majorHAnsi" w:cstheme="majorHAnsi"/>
                <w:bCs/>
                <w:sz w:val="24"/>
                <w:szCs w:val="24"/>
              </w:rPr>
            </w:pPr>
          </w:p>
        </w:tc>
      </w:tr>
      <w:tr w:rsidR="00815BB1" w:rsidRPr="00C93770" w14:paraId="611B7A3C" w14:textId="77777777" w:rsidTr="1756A420">
        <w:tc>
          <w:tcPr>
            <w:tcW w:w="4074" w:type="dxa"/>
          </w:tcPr>
          <w:p w14:paraId="19A95688" w14:textId="231F0A4D" w:rsidR="00815BB1" w:rsidRPr="00D462F0" w:rsidRDefault="00815BB1" w:rsidP="00D462F0">
            <w:pPr>
              <w:tabs>
                <w:tab w:val="left" w:pos="0"/>
              </w:tabs>
              <w:jc w:val="both"/>
              <w:rPr>
                <w:rFonts w:asciiTheme="majorHAnsi" w:hAnsiTheme="majorHAnsi" w:cstheme="majorHAnsi"/>
                <w:sz w:val="24"/>
                <w:szCs w:val="24"/>
              </w:rPr>
            </w:pPr>
            <w:r w:rsidRPr="00D462F0">
              <w:rPr>
                <w:rFonts w:asciiTheme="majorHAnsi" w:eastAsia="Times New Roman" w:hAnsiTheme="majorHAnsi" w:cstheme="majorHAnsi"/>
                <w:sz w:val="24"/>
                <w:szCs w:val="24"/>
              </w:rPr>
              <w:t xml:space="preserve">Art. 350.  As demonstrações atuariais devem ser elaboradas e enviadas anualmente nos casos de planos que </w:t>
            </w:r>
            <w:r w:rsidRPr="00D462F0">
              <w:rPr>
                <w:rFonts w:asciiTheme="majorHAnsi" w:eastAsia="Times New Roman" w:hAnsiTheme="majorHAnsi" w:cstheme="majorHAnsi"/>
                <w:sz w:val="24"/>
                <w:szCs w:val="24"/>
              </w:rPr>
              <w:lastRenderedPageBreak/>
              <w:t>possuam benefícios concedidos ou a conceder.</w:t>
            </w:r>
          </w:p>
        </w:tc>
        <w:tc>
          <w:tcPr>
            <w:tcW w:w="4074" w:type="dxa"/>
          </w:tcPr>
          <w:p w14:paraId="7F9DEBA6" w14:textId="0C9FA2CD" w:rsidR="00815BB1" w:rsidRPr="00D462F0" w:rsidRDefault="00815BB1" w:rsidP="00D462F0">
            <w:pPr>
              <w:jc w:val="both"/>
              <w:rPr>
                <w:rFonts w:asciiTheme="majorHAnsi" w:eastAsia="Times New Roman" w:hAnsiTheme="majorHAnsi" w:cstheme="majorHAnsi"/>
                <w:bCs/>
                <w:sz w:val="24"/>
                <w:szCs w:val="24"/>
              </w:rPr>
            </w:pPr>
            <w:r w:rsidRPr="00D462F0">
              <w:rPr>
                <w:rFonts w:asciiTheme="majorHAnsi" w:eastAsia="Times New Roman" w:hAnsiTheme="majorHAnsi" w:cstheme="majorHAnsi"/>
                <w:sz w:val="24"/>
                <w:szCs w:val="24"/>
              </w:rPr>
              <w:lastRenderedPageBreak/>
              <w:t>Art. 350.  ...</w:t>
            </w:r>
          </w:p>
          <w:p w14:paraId="106958E1" w14:textId="731A7931" w:rsidR="00815BB1" w:rsidRPr="00D462F0" w:rsidRDefault="00815BB1" w:rsidP="00D462F0">
            <w:pPr>
              <w:jc w:val="both"/>
              <w:rPr>
                <w:rFonts w:asciiTheme="majorHAnsi" w:hAnsiTheme="majorHAnsi" w:cstheme="majorHAnsi"/>
                <w:bCs/>
                <w:sz w:val="24"/>
                <w:szCs w:val="24"/>
              </w:rPr>
            </w:pPr>
          </w:p>
        </w:tc>
        <w:tc>
          <w:tcPr>
            <w:tcW w:w="4074" w:type="dxa"/>
            <w:vAlign w:val="center"/>
          </w:tcPr>
          <w:p w14:paraId="34836F6E" w14:textId="2697AA58"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31569193" w14:textId="77777777" w:rsidR="00815BB1" w:rsidRPr="00D462F0" w:rsidRDefault="00815BB1" w:rsidP="00D462F0">
            <w:pPr>
              <w:jc w:val="both"/>
              <w:rPr>
                <w:rFonts w:asciiTheme="majorHAnsi" w:hAnsiTheme="majorHAnsi" w:cstheme="majorHAnsi"/>
                <w:bCs/>
                <w:sz w:val="24"/>
                <w:szCs w:val="24"/>
              </w:rPr>
            </w:pPr>
          </w:p>
        </w:tc>
      </w:tr>
      <w:tr w:rsidR="00815BB1" w:rsidRPr="00C93770" w14:paraId="465D3851" w14:textId="77777777" w:rsidTr="1756A420">
        <w:tc>
          <w:tcPr>
            <w:tcW w:w="4074" w:type="dxa"/>
          </w:tcPr>
          <w:p w14:paraId="762D34B9" w14:textId="35B06F33" w:rsidR="00815BB1" w:rsidRPr="00D462F0" w:rsidRDefault="00815BB1" w:rsidP="00D462F0">
            <w:pPr>
              <w:tabs>
                <w:tab w:val="left" w:pos="0"/>
              </w:tabs>
              <w:jc w:val="both"/>
              <w:rPr>
                <w:rFonts w:asciiTheme="majorHAnsi" w:hAnsiTheme="majorHAnsi" w:cstheme="majorHAnsi"/>
                <w:sz w:val="24"/>
                <w:szCs w:val="24"/>
              </w:rPr>
            </w:pPr>
            <w:r w:rsidRPr="00D462F0">
              <w:rPr>
                <w:rFonts w:asciiTheme="majorHAnsi" w:eastAsia="Times New Roman" w:hAnsiTheme="majorHAnsi" w:cstheme="majorHAnsi"/>
                <w:color w:val="EE0000"/>
                <w:sz w:val="24"/>
                <w:szCs w:val="24"/>
              </w:rPr>
              <w:t>Parágrafo único</w:t>
            </w:r>
            <w:r w:rsidRPr="00D462F0">
              <w:rPr>
                <w:rFonts w:asciiTheme="majorHAnsi" w:eastAsia="Times New Roman" w:hAnsiTheme="majorHAnsi" w:cstheme="majorHAnsi"/>
                <w:sz w:val="24"/>
                <w:szCs w:val="24"/>
              </w:rPr>
              <w:t>.  A elaboração e envio das demonstrações atuariais é facultativa para os planos de benefícios constituídos na modalidade de contribuição definida cujos saldos contábeis sejam nulos nas contas Benefício Definido do grupo de contas das provisões matemáticas.</w:t>
            </w:r>
          </w:p>
        </w:tc>
        <w:tc>
          <w:tcPr>
            <w:tcW w:w="4074" w:type="dxa"/>
          </w:tcPr>
          <w:p w14:paraId="3F4C90BF" w14:textId="4CA6BF29" w:rsidR="00815BB1" w:rsidRPr="00D462F0" w:rsidRDefault="00815BB1"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 xml:space="preserve">§ 1º  </w:t>
            </w:r>
            <w:r w:rsidRPr="00D462F0">
              <w:rPr>
                <w:rFonts w:asciiTheme="majorHAnsi" w:eastAsia="Times New Roman" w:hAnsiTheme="majorHAnsi" w:cstheme="majorHAnsi"/>
                <w:bCs/>
                <w:sz w:val="24"/>
                <w:szCs w:val="24"/>
              </w:rPr>
              <w:t>A elaboração e envio das demonstrações atuariais é facultativa para os planos de benefícios constituídos na modalidade de contribuição definida cujos saldos contábeis sejam nulos nas contas Benefício Definido do grupo de contas das provisões matemáticas.</w:t>
            </w:r>
          </w:p>
        </w:tc>
        <w:tc>
          <w:tcPr>
            <w:tcW w:w="4074" w:type="dxa"/>
            <w:vAlign w:val="center"/>
          </w:tcPr>
          <w:p w14:paraId="7759CCD2" w14:textId="3400543F" w:rsidR="00815BB1" w:rsidRPr="00D462F0" w:rsidRDefault="00815BB1"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t>Renumeração de parágrafo.</w:t>
            </w:r>
          </w:p>
        </w:tc>
        <w:tc>
          <w:tcPr>
            <w:tcW w:w="4075" w:type="dxa"/>
          </w:tcPr>
          <w:p w14:paraId="4B138189" w14:textId="77777777" w:rsidR="00815BB1" w:rsidRPr="00D462F0" w:rsidRDefault="00815BB1" w:rsidP="00D462F0">
            <w:pPr>
              <w:jc w:val="both"/>
              <w:rPr>
                <w:rFonts w:asciiTheme="majorHAnsi" w:hAnsiTheme="majorHAnsi" w:cstheme="majorHAnsi"/>
                <w:bCs/>
                <w:sz w:val="24"/>
                <w:szCs w:val="24"/>
              </w:rPr>
            </w:pPr>
          </w:p>
        </w:tc>
      </w:tr>
      <w:tr w:rsidR="00815BB1" w:rsidRPr="00C93770" w14:paraId="65DE335E" w14:textId="77777777" w:rsidTr="1756A420">
        <w:tc>
          <w:tcPr>
            <w:tcW w:w="4074" w:type="dxa"/>
          </w:tcPr>
          <w:p w14:paraId="0BACD240" w14:textId="77777777" w:rsidR="00815BB1" w:rsidRPr="00D462F0" w:rsidRDefault="00815BB1" w:rsidP="00D462F0">
            <w:pPr>
              <w:jc w:val="both"/>
              <w:rPr>
                <w:rFonts w:asciiTheme="majorHAnsi" w:eastAsia="Times New Roman" w:hAnsiTheme="majorHAnsi" w:cstheme="majorHAnsi"/>
                <w:sz w:val="24"/>
                <w:szCs w:val="24"/>
              </w:rPr>
            </w:pPr>
          </w:p>
          <w:p w14:paraId="01464336" w14:textId="77777777" w:rsidR="00815BB1" w:rsidRPr="00D462F0" w:rsidRDefault="00815BB1" w:rsidP="00D462F0">
            <w:pPr>
              <w:tabs>
                <w:tab w:val="left" w:pos="0"/>
              </w:tabs>
              <w:jc w:val="both"/>
              <w:rPr>
                <w:rFonts w:asciiTheme="majorHAnsi" w:hAnsiTheme="majorHAnsi" w:cstheme="majorHAnsi"/>
                <w:sz w:val="24"/>
                <w:szCs w:val="24"/>
              </w:rPr>
            </w:pPr>
          </w:p>
        </w:tc>
        <w:tc>
          <w:tcPr>
            <w:tcW w:w="4074" w:type="dxa"/>
          </w:tcPr>
          <w:p w14:paraId="7F8D228A" w14:textId="000AA12B"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2º  O disposto no § 1º não se aplica no caso de planos de benefícios que apresentem parecer atuarial ou de auditor independente adverso ou com ressalvas.</w:t>
            </w:r>
            <w:r w:rsidRPr="00D462F0">
              <w:rPr>
                <w:rFonts w:asciiTheme="majorHAnsi" w:eastAsia="Times New Roman" w:hAnsiTheme="majorHAnsi" w:cstheme="majorHAnsi"/>
                <w:bCs/>
                <w:color w:val="002060"/>
                <w:sz w:val="24"/>
                <w:szCs w:val="24"/>
              </w:rPr>
              <w:t xml:space="preserve"> </w:t>
            </w:r>
          </w:p>
        </w:tc>
        <w:tc>
          <w:tcPr>
            <w:tcW w:w="4074" w:type="dxa"/>
            <w:vAlign w:val="center"/>
          </w:tcPr>
          <w:p w14:paraId="6473039D" w14:textId="32D59FC6" w:rsidR="00815BB1" w:rsidRPr="00D462F0" w:rsidRDefault="00815BB1"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t>Permitir o recebimento, pela autarquia, de informações necessárias para o monitoramento e fiscalização dos planos que apresentem pareceres atuariais ou de auditores independentes adversos ou com ressalvas.</w:t>
            </w:r>
          </w:p>
        </w:tc>
        <w:tc>
          <w:tcPr>
            <w:tcW w:w="4075" w:type="dxa"/>
          </w:tcPr>
          <w:p w14:paraId="2B5E909A" w14:textId="77777777" w:rsidR="00815BB1" w:rsidRPr="00D462F0" w:rsidRDefault="00815BB1" w:rsidP="00D462F0">
            <w:pPr>
              <w:jc w:val="both"/>
              <w:rPr>
                <w:rFonts w:asciiTheme="majorHAnsi" w:hAnsiTheme="majorHAnsi" w:cstheme="majorHAnsi"/>
                <w:bCs/>
                <w:sz w:val="24"/>
                <w:szCs w:val="24"/>
              </w:rPr>
            </w:pPr>
          </w:p>
        </w:tc>
      </w:tr>
      <w:tr w:rsidR="00815BB1" w:rsidRPr="00C93770" w14:paraId="50EA9B6A" w14:textId="77777777" w:rsidTr="1756A420">
        <w:tc>
          <w:tcPr>
            <w:tcW w:w="4074" w:type="dxa"/>
          </w:tcPr>
          <w:p w14:paraId="6D85BA2E" w14:textId="53C8B7A3" w:rsidR="00815BB1" w:rsidRPr="00D462F0" w:rsidRDefault="00815BB1" w:rsidP="008F3FAE">
            <w:pPr>
              <w:jc w:val="center"/>
              <w:rPr>
                <w:rFonts w:asciiTheme="majorHAnsi" w:hAnsiTheme="majorHAnsi" w:cstheme="majorHAnsi"/>
                <w:color w:val="000000"/>
                <w:sz w:val="24"/>
                <w:szCs w:val="24"/>
              </w:rPr>
            </w:pPr>
            <w:r w:rsidRPr="00D462F0">
              <w:rPr>
                <w:rFonts w:asciiTheme="majorHAnsi" w:hAnsiTheme="majorHAnsi" w:cstheme="majorHAnsi"/>
                <w:sz w:val="24"/>
                <w:szCs w:val="24"/>
              </w:rPr>
              <w:t>...</w:t>
            </w:r>
          </w:p>
        </w:tc>
        <w:tc>
          <w:tcPr>
            <w:tcW w:w="4074" w:type="dxa"/>
          </w:tcPr>
          <w:p w14:paraId="3E447737" w14:textId="4953996B" w:rsidR="00815BB1" w:rsidRPr="00D462F0" w:rsidRDefault="00815BB1" w:rsidP="008F3FAE">
            <w:pPr>
              <w:jc w:val="center"/>
              <w:rPr>
                <w:rFonts w:asciiTheme="majorHAnsi" w:hAnsiTheme="majorHAnsi" w:cstheme="majorHAnsi"/>
                <w:bCs/>
                <w:color w:val="000000"/>
                <w:sz w:val="24"/>
                <w:szCs w:val="24"/>
              </w:rPr>
            </w:pPr>
            <w:r w:rsidRPr="00D462F0">
              <w:rPr>
                <w:rFonts w:asciiTheme="majorHAnsi" w:hAnsiTheme="majorHAnsi" w:cstheme="majorHAnsi"/>
                <w:bCs/>
                <w:sz w:val="24"/>
                <w:szCs w:val="24"/>
              </w:rPr>
              <w:t>...</w:t>
            </w:r>
          </w:p>
        </w:tc>
        <w:tc>
          <w:tcPr>
            <w:tcW w:w="4074" w:type="dxa"/>
          </w:tcPr>
          <w:p w14:paraId="639E572A" w14:textId="77777777" w:rsidR="00815BB1" w:rsidRPr="00D462F0" w:rsidRDefault="00815BB1" w:rsidP="00D462F0">
            <w:pPr>
              <w:jc w:val="both"/>
              <w:rPr>
                <w:rFonts w:asciiTheme="majorHAnsi" w:hAnsiTheme="majorHAnsi" w:cstheme="majorHAnsi"/>
                <w:sz w:val="24"/>
                <w:szCs w:val="24"/>
              </w:rPr>
            </w:pPr>
          </w:p>
        </w:tc>
        <w:tc>
          <w:tcPr>
            <w:tcW w:w="4075" w:type="dxa"/>
          </w:tcPr>
          <w:p w14:paraId="4C82CC76" w14:textId="77777777" w:rsidR="00815BB1" w:rsidRPr="00D462F0" w:rsidRDefault="00815BB1" w:rsidP="00D462F0">
            <w:pPr>
              <w:jc w:val="both"/>
              <w:rPr>
                <w:rFonts w:asciiTheme="majorHAnsi" w:hAnsiTheme="majorHAnsi" w:cstheme="majorHAnsi"/>
                <w:bCs/>
                <w:sz w:val="24"/>
                <w:szCs w:val="24"/>
              </w:rPr>
            </w:pPr>
          </w:p>
        </w:tc>
      </w:tr>
      <w:tr w:rsidR="00815BB1" w:rsidRPr="00C93770" w14:paraId="6E08F42B" w14:textId="77777777" w:rsidTr="1756A420">
        <w:tc>
          <w:tcPr>
            <w:tcW w:w="4074" w:type="dxa"/>
          </w:tcPr>
          <w:p w14:paraId="2457B9E1" w14:textId="77777777" w:rsidR="00815BB1" w:rsidRPr="00D462F0" w:rsidRDefault="00815BB1" w:rsidP="008F3FAE">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Seção II</w:t>
            </w:r>
          </w:p>
          <w:p w14:paraId="53591576" w14:textId="5482B08C" w:rsidR="00815BB1" w:rsidRPr="00D462F0" w:rsidRDefault="00815BB1" w:rsidP="008F3FAE">
            <w:pPr>
              <w:jc w:val="center"/>
              <w:rPr>
                <w:rFonts w:asciiTheme="majorHAnsi" w:hAnsiTheme="majorHAnsi" w:cstheme="majorHAnsi"/>
                <w:b/>
                <w:bCs/>
                <w:color w:val="000000"/>
                <w:sz w:val="24"/>
                <w:szCs w:val="24"/>
              </w:rPr>
            </w:pPr>
            <w:r w:rsidRPr="00D462F0">
              <w:rPr>
                <w:rFonts w:asciiTheme="majorHAnsi" w:hAnsiTheme="majorHAnsi" w:cstheme="majorHAnsi"/>
                <w:b/>
                <w:bCs/>
                <w:sz w:val="24"/>
                <w:szCs w:val="24"/>
              </w:rPr>
              <w:t>Informações Contábeis</w:t>
            </w:r>
          </w:p>
        </w:tc>
        <w:tc>
          <w:tcPr>
            <w:tcW w:w="4074" w:type="dxa"/>
          </w:tcPr>
          <w:p w14:paraId="34BBD376" w14:textId="77777777" w:rsidR="00815BB1" w:rsidRPr="00D462F0" w:rsidRDefault="00815BB1" w:rsidP="008F3FAE">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Seção II</w:t>
            </w:r>
          </w:p>
          <w:p w14:paraId="1B99358C" w14:textId="24AC1F39" w:rsidR="00815BB1" w:rsidRPr="00D462F0" w:rsidRDefault="00815BB1" w:rsidP="008F3FAE">
            <w:pPr>
              <w:jc w:val="center"/>
              <w:rPr>
                <w:rFonts w:asciiTheme="majorHAnsi" w:hAnsiTheme="majorHAnsi" w:cstheme="majorHAnsi"/>
                <w:b/>
                <w:bCs/>
                <w:color w:val="000000"/>
                <w:sz w:val="24"/>
                <w:szCs w:val="24"/>
              </w:rPr>
            </w:pPr>
            <w:r w:rsidRPr="00D462F0">
              <w:rPr>
                <w:rFonts w:asciiTheme="majorHAnsi" w:hAnsiTheme="majorHAnsi" w:cstheme="majorHAnsi"/>
                <w:b/>
                <w:bCs/>
                <w:sz w:val="24"/>
                <w:szCs w:val="24"/>
              </w:rPr>
              <w:t>Informações Contábeis</w:t>
            </w:r>
          </w:p>
        </w:tc>
        <w:tc>
          <w:tcPr>
            <w:tcW w:w="4074" w:type="dxa"/>
          </w:tcPr>
          <w:p w14:paraId="5FA801FE" w14:textId="77777777" w:rsidR="00815BB1" w:rsidRPr="00D462F0" w:rsidRDefault="00815BB1" w:rsidP="00D462F0">
            <w:pPr>
              <w:jc w:val="both"/>
              <w:rPr>
                <w:rFonts w:asciiTheme="majorHAnsi" w:hAnsiTheme="majorHAnsi" w:cstheme="majorHAnsi"/>
                <w:sz w:val="24"/>
                <w:szCs w:val="24"/>
              </w:rPr>
            </w:pPr>
          </w:p>
        </w:tc>
        <w:tc>
          <w:tcPr>
            <w:tcW w:w="4075" w:type="dxa"/>
          </w:tcPr>
          <w:p w14:paraId="4B6147B6" w14:textId="77777777" w:rsidR="00815BB1" w:rsidRPr="00D462F0" w:rsidRDefault="00815BB1" w:rsidP="00D462F0">
            <w:pPr>
              <w:jc w:val="both"/>
              <w:rPr>
                <w:rFonts w:asciiTheme="majorHAnsi" w:hAnsiTheme="majorHAnsi" w:cstheme="majorHAnsi"/>
                <w:bCs/>
                <w:sz w:val="24"/>
                <w:szCs w:val="24"/>
              </w:rPr>
            </w:pPr>
          </w:p>
        </w:tc>
      </w:tr>
      <w:tr w:rsidR="00815BB1" w:rsidRPr="00C93770" w14:paraId="7C1DDB83" w14:textId="77777777" w:rsidTr="1756A420">
        <w:tc>
          <w:tcPr>
            <w:tcW w:w="4074" w:type="dxa"/>
          </w:tcPr>
          <w:p w14:paraId="688C1AC4" w14:textId="4B4F44DE" w:rsidR="00815BB1" w:rsidRPr="00D462F0" w:rsidRDefault="00815BB1"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362.  </w:t>
            </w:r>
            <w:r w:rsidR="00E734B5">
              <w:t>As EFPC devem elaborar os seguintes documentos:</w:t>
            </w:r>
          </w:p>
        </w:tc>
        <w:tc>
          <w:tcPr>
            <w:tcW w:w="4074" w:type="dxa"/>
          </w:tcPr>
          <w:p w14:paraId="61EBC8DD" w14:textId="67CDCB39" w:rsidR="00815BB1" w:rsidRPr="00D462F0" w:rsidRDefault="00815BB1"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Art. 362.  ...</w:t>
            </w:r>
          </w:p>
        </w:tc>
        <w:tc>
          <w:tcPr>
            <w:tcW w:w="4074" w:type="dxa"/>
          </w:tcPr>
          <w:p w14:paraId="2D85A333" w14:textId="77777777" w:rsidR="00815BB1" w:rsidRPr="00D462F0" w:rsidRDefault="00815BB1" w:rsidP="00D462F0">
            <w:pPr>
              <w:jc w:val="both"/>
              <w:rPr>
                <w:rFonts w:asciiTheme="majorHAnsi" w:hAnsiTheme="majorHAnsi" w:cstheme="majorHAnsi"/>
                <w:sz w:val="24"/>
                <w:szCs w:val="24"/>
              </w:rPr>
            </w:pPr>
          </w:p>
        </w:tc>
        <w:tc>
          <w:tcPr>
            <w:tcW w:w="4075" w:type="dxa"/>
          </w:tcPr>
          <w:p w14:paraId="7AD297FE" w14:textId="77777777" w:rsidR="00815BB1" w:rsidRPr="00D462F0" w:rsidRDefault="00815BB1" w:rsidP="00D462F0">
            <w:pPr>
              <w:jc w:val="both"/>
              <w:rPr>
                <w:rFonts w:asciiTheme="majorHAnsi" w:hAnsiTheme="majorHAnsi" w:cstheme="majorHAnsi"/>
                <w:bCs/>
                <w:sz w:val="24"/>
                <w:szCs w:val="24"/>
              </w:rPr>
            </w:pPr>
          </w:p>
        </w:tc>
      </w:tr>
      <w:tr w:rsidR="00815BB1" w:rsidRPr="00C93770" w14:paraId="1860E0D2" w14:textId="77777777" w:rsidTr="1756A420">
        <w:tc>
          <w:tcPr>
            <w:tcW w:w="4074" w:type="dxa"/>
          </w:tcPr>
          <w:p w14:paraId="207B34B1" w14:textId="0B69A59B" w:rsidR="00815BB1" w:rsidRPr="00D462F0" w:rsidRDefault="00815BB1" w:rsidP="008F3FAE">
            <w:pPr>
              <w:jc w:val="center"/>
              <w:rPr>
                <w:rFonts w:asciiTheme="majorHAnsi" w:hAnsiTheme="majorHAnsi" w:cstheme="majorHAnsi"/>
                <w:color w:val="000000"/>
                <w:sz w:val="24"/>
                <w:szCs w:val="24"/>
              </w:rPr>
            </w:pPr>
            <w:r w:rsidRPr="00D462F0">
              <w:rPr>
                <w:rFonts w:asciiTheme="majorHAnsi" w:hAnsiTheme="majorHAnsi" w:cstheme="majorHAnsi"/>
                <w:sz w:val="24"/>
                <w:szCs w:val="24"/>
              </w:rPr>
              <w:t>...</w:t>
            </w:r>
          </w:p>
        </w:tc>
        <w:tc>
          <w:tcPr>
            <w:tcW w:w="4074" w:type="dxa"/>
          </w:tcPr>
          <w:p w14:paraId="31A126C5" w14:textId="6F02DF28" w:rsidR="00815BB1" w:rsidRPr="00D462F0" w:rsidRDefault="00815BB1" w:rsidP="008F3FAE">
            <w:pPr>
              <w:jc w:val="center"/>
              <w:rPr>
                <w:rFonts w:asciiTheme="majorHAnsi" w:hAnsiTheme="majorHAnsi" w:cstheme="majorHAnsi"/>
                <w:bCs/>
                <w:color w:val="000000"/>
                <w:sz w:val="24"/>
                <w:szCs w:val="24"/>
              </w:rPr>
            </w:pPr>
            <w:r w:rsidRPr="00D462F0">
              <w:rPr>
                <w:rFonts w:asciiTheme="majorHAnsi" w:hAnsiTheme="majorHAnsi" w:cstheme="majorHAnsi"/>
                <w:bCs/>
                <w:sz w:val="24"/>
                <w:szCs w:val="24"/>
              </w:rPr>
              <w:t>...</w:t>
            </w:r>
          </w:p>
        </w:tc>
        <w:tc>
          <w:tcPr>
            <w:tcW w:w="4074" w:type="dxa"/>
          </w:tcPr>
          <w:p w14:paraId="0E591D73" w14:textId="77777777" w:rsidR="00815BB1" w:rsidRPr="00D462F0" w:rsidRDefault="00815BB1" w:rsidP="00D462F0">
            <w:pPr>
              <w:jc w:val="both"/>
              <w:rPr>
                <w:rFonts w:asciiTheme="majorHAnsi" w:hAnsiTheme="majorHAnsi" w:cstheme="majorHAnsi"/>
                <w:sz w:val="24"/>
                <w:szCs w:val="24"/>
              </w:rPr>
            </w:pPr>
          </w:p>
        </w:tc>
        <w:tc>
          <w:tcPr>
            <w:tcW w:w="4075" w:type="dxa"/>
          </w:tcPr>
          <w:p w14:paraId="0BCB7C01" w14:textId="77777777" w:rsidR="00815BB1" w:rsidRPr="00D462F0" w:rsidRDefault="00815BB1" w:rsidP="00D462F0">
            <w:pPr>
              <w:jc w:val="both"/>
              <w:rPr>
                <w:rFonts w:asciiTheme="majorHAnsi" w:hAnsiTheme="majorHAnsi" w:cstheme="majorHAnsi"/>
                <w:bCs/>
                <w:sz w:val="24"/>
                <w:szCs w:val="24"/>
              </w:rPr>
            </w:pPr>
          </w:p>
        </w:tc>
      </w:tr>
      <w:tr w:rsidR="00815BB1" w:rsidRPr="00C93770" w14:paraId="74391E50" w14:textId="77777777" w:rsidTr="1756A420">
        <w:tc>
          <w:tcPr>
            <w:tcW w:w="4074" w:type="dxa"/>
          </w:tcPr>
          <w:p w14:paraId="579DA371" w14:textId="27318BCC" w:rsidR="00815BB1" w:rsidRPr="00D462F0" w:rsidRDefault="00815BB1"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X - manifestação do conselho deliberativo relativa à aprovação das demonstrações contábeis; </w:t>
            </w:r>
          </w:p>
        </w:tc>
        <w:tc>
          <w:tcPr>
            <w:tcW w:w="4074" w:type="dxa"/>
          </w:tcPr>
          <w:p w14:paraId="55940702" w14:textId="360BC860" w:rsidR="00815BB1" w:rsidRPr="00D462F0" w:rsidRDefault="00815BB1"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X - manifestação do conselho deliberativo relativa à aprovação das demonstrações contábeis;</w:t>
            </w:r>
            <w:r w:rsidRPr="00D462F0">
              <w:rPr>
                <w:rFonts w:asciiTheme="majorHAnsi" w:hAnsiTheme="majorHAnsi" w:cstheme="majorHAnsi"/>
                <w:strike/>
                <w:color w:val="EE0000"/>
                <w:sz w:val="24"/>
                <w:szCs w:val="24"/>
              </w:rPr>
              <w:t xml:space="preserve"> e</w:t>
            </w:r>
          </w:p>
        </w:tc>
        <w:tc>
          <w:tcPr>
            <w:tcW w:w="4074" w:type="dxa"/>
          </w:tcPr>
          <w:p w14:paraId="2ADDB337" w14:textId="5B740E69"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Exclusão da conjunção "e" ao final do inciso.</w:t>
            </w:r>
          </w:p>
        </w:tc>
        <w:tc>
          <w:tcPr>
            <w:tcW w:w="4075" w:type="dxa"/>
          </w:tcPr>
          <w:p w14:paraId="66BB146F" w14:textId="32CCC722"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III do art. 4º do Decreto nº 10.411, de 2020.</w:t>
            </w:r>
          </w:p>
          <w:p w14:paraId="16311681" w14:textId="650E0AA4"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está baseada em ato normativo de baixo impacto, pois se trata de exclusão da conjunção "e".</w:t>
            </w:r>
          </w:p>
        </w:tc>
      </w:tr>
      <w:tr w:rsidR="00815BB1" w:rsidRPr="00C93770" w14:paraId="4362B9C1" w14:textId="77777777" w:rsidTr="1756A420">
        <w:tc>
          <w:tcPr>
            <w:tcW w:w="4074" w:type="dxa"/>
          </w:tcPr>
          <w:p w14:paraId="4E4CDFE4" w14:textId="2D211E6B" w:rsidR="00815BB1" w:rsidRPr="00D462F0" w:rsidRDefault="00815BB1" w:rsidP="004E06F1">
            <w:pPr>
              <w:jc w:val="center"/>
              <w:rPr>
                <w:rFonts w:asciiTheme="majorHAnsi" w:hAnsiTheme="majorHAnsi" w:cstheme="majorHAnsi"/>
                <w:color w:val="000000"/>
                <w:sz w:val="24"/>
                <w:szCs w:val="24"/>
              </w:rPr>
            </w:pPr>
            <w:r w:rsidRPr="00D462F0">
              <w:rPr>
                <w:rFonts w:asciiTheme="majorHAnsi" w:hAnsiTheme="majorHAnsi" w:cstheme="majorHAnsi"/>
                <w:sz w:val="24"/>
                <w:szCs w:val="24"/>
              </w:rPr>
              <w:t>...</w:t>
            </w:r>
          </w:p>
        </w:tc>
        <w:tc>
          <w:tcPr>
            <w:tcW w:w="4074" w:type="dxa"/>
          </w:tcPr>
          <w:p w14:paraId="76361F57" w14:textId="6A98B5FA" w:rsidR="00815BB1" w:rsidRPr="00D462F0" w:rsidRDefault="00815BB1" w:rsidP="004E06F1">
            <w:pPr>
              <w:jc w:val="center"/>
              <w:rPr>
                <w:rFonts w:asciiTheme="majorHAnsi" w:hAnsiTheme="majorHAnsi" w:cstheme="majorHAnsi"/>
                <w:bCs/>
                <w:color w:val="000000"/>
                <w:sz w:val="24"/>
                <w:szCs w:val="24"/>
              </w:rPr>
            </w:pPr>
            <w:r w:rsidRPr="00D462F0">
              <w:rPr>
                <w:rFonts w:asciiTheme="majorHAnsi" w:hAnsiTheme="majorHAnsi" w:cstheme="majorHAnsi"/>
                <w:bCs/>
                <w:sz w:val="24"/>
                <w:szCs w:val="24"/>
              </w:rPr>
              <w:t>...</w:t>
            </w:r>
          </w:p>
        </w:tc>
        <w:tc>
          <w:tcPr>
            <w:tcW w:w="4074" w:type="dxa"/>
          </w:tcPr>
          <w:p w14:paraId="155D53EE" w14:textId="77777777" w:rsidR="00815BB1" w:rsidRPr="00D462F0" w:rsidRDefault="00815BB1" w:rsidP="00D462F0">
            <w:pPr>
              <w:jc w:val="both"/>
              <w:rPr>
                <w:rFonts w:asciiTheme="majorHAnsi" w:hAnsiTheme="majorHAnsi" w:cstheme="majorHAnsi"/>
                <w:sz w:val="24"/>
                <w:szCs w:val="24"/>
              </w:rPr>
            </w:pPr>
          </w:p>
        </w:tc>
        <w:tc>
          <w:tcPr>
            <w:tcW w:w="4075" w:type="dxa"/>
          </w:tcPr>
          <w:p w14:paraId="386986BC" w14:textId="77777777" w:rsidR="00815BB1" w:rsidRPr="00D462F0" w:rsidRDefault="00815BB1" w:rsidP="00D462F0">
            <w:pPr>
              <w:jc w:val="both"/>
              <w:rPr>
                <w:rFonts w:asciiTheme="majorHAnsi" w:hAnsiTheme="majorHAnsi" w:cstheme="majorHAnsi"/>
                <w:bCs/>
                <w:sz w:val="24"/>
                <w:szCs w:val="24"/>
              </w:rPr>
            </w:pPr>
          </w:p>
        </w:tc>
      </w:tr>
      <w:tr w:rsidR="00815BB1" w:rsidRPr="00C93770" w14:paraId="44C612DB" w14:textId="77777777" w:rsidTr="1756A420">
        <w:tc>
          <w:tcPr>
            <w:tcW w:w="4074" w:type="dxa"/>
          </w:tcPr>
          <w:p w14:paraId="3D7D0AB0" w14:textId="7F8A201E" w:rsidR="00815BB1" w:rsidRPr="00D462F0" w:rsidRDefault="00815BB1"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XII - informações extracontábeis conforme a Portaria da Diretoria de Normas mencionada no art. 178.</w:t>
            </w:r>
          </w:p>
        </w:tc>
        <w:tc>
          <w:tcPr>
            <w:tcW w:w="4074" w:type="dxa"/>
          </w:tcPr>
          <w:p w14:paraId="010FD928" w14:textId="70FF191B" w:rsidR="00815BB1" w:rsidRPr="00D462F0" w:rsidRDefault="00815BB1"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XII - informações extracontábeis conforme a Portaria da Diretoria de Normas mencionada no art. 178</w:t>
            </w:r>
            <w:r w:rsidRPr="00D462F0">
              <w:rPr>
                <w:rFonts w:asciiTheme="majorHAnsi" w:hAnsiTheme="majorHAnsi" w:cstheme="majorHAnsi"/>
                <w:bCs/>
                <w:color w:val="0000FF"/>
                <w:sz w:val="24"/>
                <w:szCs w:val="24"/>
              </w:rPr>
              <w:t>; e</w:t>
            </w:r>
          </w:p>
        </w:tc>
        <w:tc>
          <w:tcPr>
            <w:tcW w:w="4074" w:type="dxa"/>
          </w:tcPr>
          <w:p w14:paraId="580A977D" w14:textId="0573048B"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da conjunção "e" ao final do inciso.</w:t>
            </w:r>
          </w:p>
        </w:tc>
        <w:tc>
          <w:tcPr>
            <w:tcW w:w="4075" w:type="dxa"/>
          </w:tcPr>
          <w:p w14:paraId="2DA3C40B" w14:textId="77777777"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III do art. 4º do Decreto nº 10.411/2020.</w:t>
            </w:r>
          </w:p>
          <w:p w14:paraId="29628CF3" w14:textId="705951CB"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está baseada em ato normativo de baixo impacto, pois se trata de inclusão da conjunção "e".</w:t>
            </w:r>
          </w:p>
        </w:tc>
      </w:tr>
      <w:tr w:rsidR="00815BB1" w:rsidRPr="00C93770" w14:paraId="6C0D7656" w14:textId="77777777" w:rsidTr="1756A420">
        <w:tc>
          <w:tcPr>
            <w:tcW w:w="4074" w:type="dxa"/>
          </w:tcPr>
          <w:p w14:paraId="420982B9" w14:textId="77777777" w:rsidR="00815BB1" w:rsidRPr="00D462F0" w:rsidRDefault="00815BB1"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p w14:paraId="7DCE2775" w14:textId="77777777" w:rsidR="00815BB1" w:rsidRPr="00D462F0" w:rsidRDefault="00815BB1" w:rsidP="00D462F0">
            <w:pPr>
              <w:jc w:val="both"/>
              <w:rPr>
                <w:rFonts w:asciiTheme="majorHAnsi" w:hAnsiTheme="majorHAnsi" w:cstheme="majorHAnsi"/>
                <w:color w:val="000000"/>
                <w:sz w:val="24"/>
                <w:szCs w:val="24"/>
              </w:rPr>
            </w:pPr>
          </w:p>
        </w:tc>
        <w:tc>
          <w:tcPr>
            <w:tcW w:w="4074" w:type="dxa"/>
          </w:tcPr>
          <w:p w14:paraId="68CCB3C7" w14:textId="7C071721" w:rsidR="00815BB1" w:rsidRPr="00D462F0" w:rsidRDefault="00815BB1"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XIII - parecer do atuário, relativo a cada plano de benefícios previdencial, inclusive para os planos de benefícios constituídos na modalidade de </w:t>
            </w:r>
            <w:r w:rsidRPr="00D462F0">
              <w:rPr>
                <w:rFonts w:asciiTheme="majorHAnsi" w:hAnsiTheme="majorHAnsi" w:cstheme="majorHAnsi"/>
                <w:bCs/>
                <w:color w:val="0000FF"/>
                <w:sz w:val="24"/>
                <w:szCs w:val="24"/>
              </w:rPr>
              <w:lastRenderedPageBreak/>
              <w:t>contribuição definida cujos saldos contábeis sejam nulos nas contas Benefício Definido do grupo de contas das provisões matemáticas.</w:t>
            </w:r>
          </w:p>
        </w:tc>
        <w:tc>
          <w:tcPr>
            <w:tcW w:w="4074" w:type="dxa"/>
          </w:tcPr>
          <w:p w14:paraId="1019D84D" w14:textId="6115B7FC"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Inclusão de inciso para reproduzir o disposto no art. 17 da Resolução CNPC nº 43, de 2021, e deixar claro na norma a sua exigência juntamente com as </w:t>
            </w:r>
            <w:r w:rsidRPr="00D462F0">
              <w:rPr>
                <w:rFonts w:asciiTheme="majorHAnsi" w:hAnsiTheme="majorHAnsi" w:cstheme="majorHAnsi"/>
                <w:sz w:val="24"/>
                <w:szCs w:val="24"/>
              </w:rPr>
              <w:lastRenderedPageBreak/>
              <w:t>demonstrações contábeis, visto que o parecer do atuário é um dos itens das Demonstrações Atuariais.</w:t>
            </w:r>
          </w:p>
        </w:tc>
        <w:tc>
          <w:tcPr>
            <w:tcW w:w="4075" w:type="dxa"/>
          </w:tcPr>
          <w:p w14:paraId="7E52DD5C" w14:textId="626F0E37"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Inciso II do art. 4º do Decreto nº 10.411, de2020.</w:t>
            </w:r>
          </w:p>
          <w:p w14:paraId="4A8BB0E1" w14:textId="0EA22ADB"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dispensa de AIR está baseada no inciso II por se tratar de ato normativo </w:t>
            </w:r>
            <w:r w:rsidRPr="00D462F0">
              <w:rPr>
                <w:rFonts w:asciiTheme="majorHAnsi" w:hAnsiTheme="majorHAnsi" w:cstheme="majorHAnsi"/>
                <w:bCs/>
                <w:sz w:val="24"/>
                <w:szCs w:val="24"/>
              </w:rPr>
              <w:lastRenderedPageBreak/>
              <w:t>destinado a disciplinar direitos ou obrigações definidos em norma hierarquicamente superior, no caso a Resolução CNPC nº 43, de 2021.</w:t>
            </w:r>
          </w:p>
        </w:tc>
      </w:tr>
      <w:tr w:rsidR="00815BB1" w:rsidRPr="00C93770" w14:paraId="1ABE2B6B" w14:textId="77777777" w:rsidTr="1756A420">
        <w:tc>
          <w:tcPr>
            <w:tcW w:w="4074" w:type="dxa"/>
          </w:tcPr>
          <w:p w14:paraId="7887433F" w14:textId="73655AAA" w:rsidR="00815BB1" w:rsidRPr="00D462F0" w:rsidRDefault="00815BB1"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 1º  Os documentos elencados nos incisos II a X e na alínea “a” do inciso XI do caput devem ser elaborados e aprovados até 31 de março do exercício social subsequente ao de referência.</w:t>
            </w:r>
          </w:p>
        </w:tc>
        <w:tc>
          <w:tcPr>
            <w:tcW w:w="4074" w:type="dxa"/>
          </w:tcPr>
          <w:p w14:paraId="782BB282" w14:textId="349996A6" w:rsidR="00815BB1" w:rsidRPr="00D462F0" w:rsidRDefault="00815BB1"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 1º  Os documentos elencados nos incisos II a X e </w:t>
            </w:r>
            <w:r w:rsidRPr="00D462F0">
              <w:rPr>
                <w:rFonts w:asciiTheme="majorHAnsi" w:hAnsiTheme="majorHAnsi" w:cstheme="majorHAnsi"/>
                <w:bCs/>
                <w:color w:val="0000FF"/>
                <w:sz w:val="24"/>
                <w:szCs w:val="24"/>
              </w:rPr>
              <w:t>XIII</w:t>
            </w:r>
            <w:r w:rsidRPr="00D462F0">
              <w:rPr>
                <w:rFonts w:asciiTheme="majorHAnsi" w:hAnsiTheme="majorHAnsi" w:cstheme="majorHAnsi"/>
                <w:bCs/>
                <w:color w:val="000000"/>
                <w:sz w:val="24"/>
                <w:szCs w:val="24"/>
              </w:rPr>
              <w:t xml:space="preserve"> e na alínea “a” do inciso XI do </w:t>
            </w:r>
            <w:r w:rsidRPr="00D462F0">
              <w:rPr>
                <w:rFonts w:asciiTheme="majorHAnsi" w:hAnsiTheme="majorHAnsi" w:cstheme="majorHAnsi"/>
                <w:bCs/>
                <w:i/>
                <w:color w:val="000000"/>
                <w:sz w:val="24"/>
                <w:szCs w:val="24"/>
              </w:rPr>
              <w:t xml:space="preserve">caput </w:t>
            </w:r>
            <w:r w:rsidRPr="00D462F0">
              <w:rPr>
                <w:rFonts w:asciiTheme="majorHAnsi" w:hAnsiTheme="majorHAnsi" w:cstheme="majorHAnsi"/>
                <w:bCs/>
                <w:color w:val="000000"/>
                <w:sz w:val="24"/>
                <w:szCs w:val="24"/>
              </w:rPr>
              <w:t>devem ser elaborados e aprovados até 31 de março do exercício social subsequente ao de referência.</w:t>
            </w:r>
          </w:p>
        </w:tc>
        <w:tc>
          <w:tcPr>
            <w:tcW w:w="4074" w:type="dxa"/>
          </w:tcPr>
          <w:p w14:paraId="3F6C1159" w14:textId="5F4D8935"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Alteração do § 1º para adequar e incluir o novo inciso XIII no texto do parágrafo.</w:t>
            </w:r>
          </w:p>
        </w:tc>
        <w:tc>
          <w:tcPr>
            <w:tcW w:w="4075" w:type="dxa"/>
          </w:tcPr>
          <w:p w14:paraId="1D747628" w14:textId="77777777"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III do art. 4º do Decreto nº 10.411/2020.</w:t>
            </w:r>
          </w:p>
          <w:p w14:paraId="2FE2615E" w14:textId="7250B674"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está baseada em ato normativo de baixo impacto, pois trata de adequação de texto, devido a necessidade de inclusão de novo inciso, e consequentemente atualização do inciso.</w:t>
            </w:r>
          </w:p>
        </w:tc>
      </w:tr>
      <w:tr w:rsidR="00815BB1" w:rsidRPr="00C93770" w14:paraId="2907EA32" w14:textId="77777777" w:rsidTr="1756A420">
        <w:tc>
          <w:tcPr>
            <w:tcW w:w="4074" w:type="dxa"/>
          </w:tcPr>
          <w:p w14:paraId="0C945A4D" w14:textId="6EA985AC" w:rsidR="00815BB1" w:rsidRPr="00D462F0" w:rsidRDefault="00815BB1"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3258F8D1" w14:textId="45309D72" w:rsidR="00815BB1" w:rsidRPr="00D462F0" w:rsidRDefault="00815BB1"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1A4E3049" w14:textId="7AF4DA68"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 </w:t>
            </w:r>
          </w:p>
        </w:tc>
        <w:tc>
          <w:tcPr>
            <w:tcW w:w="4075" w:type="dxa"/>
          </w:tcPr>
          <w:p w14:paraId="449F2980" w14:textId="1E6BD27A"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w:t>
            </w:r>
          </w:p>
        </w:tc>
      </w:tr>
      <w:tr w:rsidR="00815BB1" w:rsidRPr="00C93770" w14:paraId="3359988E" w14:textId="77777777" w:rsidTr="1756A420">
        <w:tc>
          <w:tcPr>
            <w:tcW w:w="4074" w:type="dxa"/>
          </w:tcPr>
          <w:p w14:paraId="2FB039B6" w14:textId="21EC2208" w:rsidR="00815BB1" w:rsidRPr="00D462F0" w:rsidRDefault="00815BB1"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Art. 363.  ...</w:t>
            </w:r>
          </w:p>
        </w:tc>
        <w:tc>
          <w:tcPr>
            <w:tcW w:w="4074" w:type="dxa"/>
          </w:tcPr>
          <w:p w14:paraId="16A2C1C7" w14:textId="4F18649D" w:rsidR="00815BB1" w:rsidRPr="00D462F0" w:rsidRDefault="00815BB1"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Art. 363.  ...</w:t>
            </w:r>
          </w:p>
        </w:tc>
        <w:tc>
          <w:tcPr>
            <w:tcW w:w="4074" w:type="dxa"/>
          </w:tcPr>
          <w:p w14:paraId="7CF0ADC8" w14:textId="033B49CE"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 </w:t>
            </w:r>
          </w:p>
        </w:tc>
        <w:tc>
          <w:tcPr>
            <w:tcW w:w="4075" w:type="dxa"/>
          </w:tcPr>
          <w:p w14:paraId="3847BE3A" w14:textId="148B0F4C"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w:t>
            </w:r>
          </w:p>
        </w:tc>
      </w:tr>
      <w:tr w:rsidR="00815BB1" w:rsidRPr="00C93770" w14:paraId="2DCEE13F" w14:textId="77777777" w:rsidTr="1756A420">
        <w:tc>
          <w:tcPr>
            <w:tcW w:w="4074" w:type="dxa"/>
          </w:tcPr>
          <w:p w14:paraId="0F3E3F21" w14:textId="35D69793" w:rsidR="00815BB1" w:rsidRPr="00D462F0" w:rsidRDefault="00815BB1"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620889A9" w14:textId="0481BF64" w:rsidR="00815BB1" w:rsidRPr="00D462F0" w:rsidRDefault="00815BB1"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7C960CD4" w14:textId="009822C5"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 </w:t>
            </w:r>
          </w:p>
        </w:tc>
        <w:tc>
          <w:tcPr>
            <w:tcW w:w="4075" w:type="dxa"/>
          </w:tcPr>
          <w:p w14:paraId="23772B8F" w14:textId="677A7EF6"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w:t>
            </w:r>
          </w:p>
        </w:tc>
      </w:tr>
      <w:tr w:rsidR="00815BB1" w:rsidRPr="00C93770" w14:paraId="5F6708D3" w14:textId="77777777" w:rsidTr="1756A420">
        <w:tc>
          <w:tcPr>
            <w:tcW w:w="4074" w:type="dxa"/>
          </w:tcPr>
          <w:p w14:paraId="74A3EE9F" w14:textId="4E558496" w:rsidR="003D63E3"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 2º  Os documentos listados nos incisos II, V, VIII, IX e X e na alínea “a” do inciso XI do art. 362, enviados por meio eletrônico à Previc, devem conter:</w:t>
            </w:r>
          </w:p>
        </w:tc>
        <w:tc>
          <w:tcPr>
            <w:tcW w:w="4074" w:type="dxa"/>
          </w:tcPr>
          <w:p w14:paraId="2A7151DE" w14:textId="77777777" w:rsidR="003D63E3" w:rsidRPr="00D462F0" w:rsidRDefault="003D63E3"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 2º  Os documentos listados nos incisos II, V, VIII, IX </w:t>
            </w:r>
            <w:r w:rsidRPr="00D462F0">
              <w:rPr>
                <w:rFonts w:asciiTheme="majorHAnsi" w:hAnsiTheme="majorHAnsi" w:cstheme="majorHAnsi"/>
                <w:color w:val="EE0000"/>
                <w:sz w:val="24"/>
                <w:szCs w:val="24"/>
              </w:rPr>
              <w:t>e</w:t>
            </w:r>
            <w:r w:rsidRPr="00D462F0">
              <w:rPr>
                <w:rFonts w:asciiTheme="majorHAnsi" w:hAnsiTheme="majorHAnsi" w:cstheme="majorHAnsi"/>
                <w:strike/>
                <w:color w:val="EE0000"/>
                <w:sz w:val="24"/>
                <w:szCs w:val="24"/>
              </w:rPr>
              <w:t> X e na alínea “a” do inciso XI</w:t>
            </w:r>
            <w:r w:rsidRPr="00D462F0">
              <w:rPr>
                <w:rFonts w:asciiTheme="majorHAnsi" w:hAnsiTheme="majorHAnsi" w:cstheme="majorHAnsi"/>
                <w:color w:val="EE0000"/>
                <w:sz w:val="24"/>
                <w:szCs w:val="24"/>
              </w:rPr>
              <w:t> </w:t>
            </w:r>
            <w:r w:rsidRPr="00D462F0">
              <w:rPr>
                <w:rFonts w:asciiTheme="majorHAnsi" w:hAnsiTheme="majorHAnsi" w:cstheme="majorHAnsi"/>
                <w:sz w:val="24"/>
                <w:szCs w:val="24"/>
              </w:rPr>
              <w:t>do art. 362, enviados por meio eletrônico à Previc, devem conter:</w:t>
            </w:r>
          </w:p>
          <w:p w14:paraId="50064791" w14:textId="00EEA584" w:rsidR="00815BB1" w:rsidRPr="00D462F0" w:rsidRDefault="00815BB1" w:rsidP="00D462F0">
            <w:pPr>
              <w:jc w:val="both"/>
              <w:rPr>
                <w:rFonts w:asciiTheme="majorHAnsi" w:hAnsiTheme="majorHAnsi" w:cstheme="majorHAnsi"/>
                <w:bCs/>
                <w:color w:val="000000"/>
                <w:sz w:val="24"/>
                <w:szCs w:val="24"/>
              </w:rPr>
            </w:pPr>
          </w:p>
        </w:tc>
        <w:tc>
          <w:tcPr>
            <w:tcW w:w="4074" w:type="dxa"/>
          </w:tcPr>
          <w:p w14:paraId="625788AF" w14:textId="77777777" w:rsidR="00815BB1" w:rsidRPr="00D462F0" w:rsidRDefault="00815BB1" w:rsidP="00D462F0">
            <w:pPr>
              <w:pStyle w:val="textojustificado"/>
              <w:spacing w:before="120" w:beforeAutospacing="0" w:after="120" w:afterAutospacing="0"/>
              <w:ind w:right="120"/>
              <w:jc w:val="both"/>
              <w:rPr>
                <w:rFonts w:asciiTheme="majorHAnsi" w:hAnsiTheme="majorHAnsi" w:cstheme="majorHAnsi"/>
              </w:rPr>
            </w:pPr>
            <w:r w:rsidRPr="00D462F0">
              <w:rPr>
                <w:rFonts w:asciiTheme="majorHAnsi" w:hAnsiTheme="majorHAnsi" w:cstheme="majorHAnsi"/>
              </w:rPr>
              <w:t>Exclusão das referências do inciso “X" e na alínea “a” do inciso XI”, por estarem indevidas no contexto do parágrafo, haja vista que o inciso X do art. 362 se refere à manifestação do conselho deliberativo relativa à aprovação das demonstrações contábeis e a alínea “a” do inciso XI do art. 362 se remete ao relatório do auditor independente sobre as demonstrações contábeis. Assim, ambos os documentos não necessitam das informações dos incisos I e II do § 2º do art. 363, visto que suas elaborações são de responsabilidade do conselho deliberativo e da auditoria independente, respectivamente.</w:t>
            </w:r>
          </w:p>
          <w:p w14:paraId="1BF45E9E" w14:textId="53239A0F"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 </w:t>
            </w:r>
          </w:p>
        </w:tc>
        <w:tc>
          <w:tcPr>
            <w:tcW w:w="4075" w:type="dxa"/>
          </w:tcPr>
          <w:p w14:paraId="17DA0E4A" w14:textId="77777777" w:rsidR="00815BB1" w:rsidRPr="00D462F0" w:rsidRDefault="00815BB1" w:rsidP="00D462F0">
            <w:pPr>
              <w:pStyle w:val="textojustificado"/>
              <w:spacing w:before="120" w:beforeAutospacing="0" w:after="120" w:afterAutospacing="0"/>
              <w:ind w:right="120"/>
              <w:jc w:val="both"/>
              <w:rPr>
                <w:rFonts w:asciiTheme="majorHAnsi" w:hAnsiTheme="majorHAnsi" w:cstheme="majorHAnsi"/>
                <w:bCs/>
              </w:rPr>
            </w:pPr>
            <w:r w:rsidRPr="00D462F0">
              <w:rPr>
                <w:rFonts w:asciiTheme="majorHAnsi" w:hAnsiTheme="majorHAnsi" w:cstheme="majorHAnsi"/>
                <w:bCs/>
              </w:rPr>
              <w:t>Inciso III e IV do art. 4º do Decreto nº 10.411/2020.</w:t>
            </w:r>
          </w:p>
          <w:p w14:paraId="2362E262" w14:textId="77777777" w:rsidR="00815BB1" w:rsidRPr="00D462F0" w:rsidRDefault="00815BB1" w:rsidP="00D462F0">
            <w:pPr>
              <w:pStyle w:val="textojustificado"/>
              <w:spacing w:before="120" w:beforeAutospacing="0" w:after="120" w:afterAutospacing="0"/>
              <w:ind w:left="120" w:right="120"/>
              <w:jc w:val="both"/>
              <w:rPr>
                <w:rFonts w:asciiTheme="majorHAnsi" w:hAnsiTheme="majorHAnsi" w:cstheme="majorHAnsi"/>
                <w:bCs/>
              </w:rPr>
            </w:pPr>
            <w:r w:rsidRPr="00D462F0">
              <w:rPr>
                <w:rFonts w:asciiTheme="majorHAnsi" w:hAnsiTheme="majorHAnsi" w:cstheme="majorHAnsi"/>
                <w:bCs/>
              </w:rPr>
              <w:t> </w:t>
            </w:r>
          </w:p>
          <w:p w14:paraId="08DE9E2E" w14:textId="2393979B"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está baseada em ato normativo de baixo impacto, pois trata de exclusão de referências indevidas no corpo do parágrafo e consequentemente atualização do parágrafo.</w:t>
            </w:r>
          </w:p>
        </w:tc>
      </w:tr>
      <w:tr w:rsidR="00815BB1" w:rsidRPr="00C93770" w14:paraId="43A8A2D1" w14:textId="77777777" w:rsidTr="1756A420">
        <w:tc>
          <w:tcPr>
            <w:tcW w:w="4074" w:type="dxa"/>
          </w:tcPr>
          <w:p w14:paraId="43497BF3" w14:textId="702BCC27" w:rsidR="00815BB1" w:rsidRPr="00D462F0" w:rsidRDefault="00815BB1"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7524F01E" w14:textId="7515054A" w:rsidR="00815BB1" w:rsidRPr="00D462F0" w:rsidRDefault="00815BB1"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251C9CBF" w14:textId="58C934D8"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 </w:t>
            </w:r>
          </w:p>
        </w:tc>
        <w:tc>
          <w:tcPr>
            <w:tcW w:w="4075" w:type="dxa"/>
          </w:tcPr>
          <w:p w14:paraId="55B609F3" w14:textId="39FD2886"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w:t>
            </w:r>
          </w:p>
        </w:tc>
      </w:tr>
      <w:tr w:rsidR="00A5652D" w:rsidRPr="00C93770" w14:paraId="6908B55D" w14:textId="77777777" w:rsidTr="1756A420">
        <w:tc>
          <w:tcPr>
            <w:tcW w:w="4074" w:type="dxa"/>
          </w:tcPr>
          <w:p w14:paraId="0AA6418C" w14:textId="77777777" w:rsidR="00A5652D" w:rsidRPr="00D462F0" w:rsidRDefault="00A5652D" w:rsidP="008F3FAE">
            <w:pPr>
              <w:jc w:val="center"/>
              <w:rPr>
                <w:rFonts w:asciiTheme="majorHAnsi" w:hAnsiTheme="majorHAnsi" w:cstheme="majorHAnsi"/>
                <w:b/>
                <w:sz w:val="24"/>
                <w:szCs w:val="24"/>
              </w:rPr>
            </w:pPr>
            <w:r w:rsidRPr="00D462F0">
              <w:rPr>
                <w:rFonts w:asciiTheme="majorHAnsi" w:hAnsiTheme="majorHAnsi" w:cstheme="majorHAnsi"/>
                <w:b/>
                <w:sz w:val="24"/>
                <w:szCs w:val="24"/>
              </w:rPr>
              <w:t>Seção III</w:t>
            </w:r>
          </w:p>
          <w:p w14:paraId="1E791B96" w14:textId="42BECDF3" w:rsidR="00A5652D" w:rsidRPr="00D462F0" w:rsidRDefault="00A5652D" w:rsidP="008F3FAE">
            <w:pPr>
              <w:jc w:val="center"/>
              <w:rPr>
                <w:rFonts w:asciiTheme="majorHAnsi" w:hAnsiTheme="majorHAnsi" w:cstheme="majorHAnsi"/>
                <w:b/>
                <w:sz w:val="24"/>
                <w:szCs w:val="24"/>
              </w:rPr>
            </w:pPr>
            <w:r w:rsidRPr="00D462F0">
              <w:rPr>
                <w:rFonts w:asciiTheme="majorHAnsi" w:hAnsiTheme="majorHAnsi" w:cstheme="majorHAnsi"/>
                <w:b/>
                <w:sz w:val="24"/>
                <w:szCs w:val="24"/>
              </w:rPr>
              <w:t>Informações de Investimentos</w:t>
            </w:r>
          </w:p>
        </w:tc>
        <w:tc>
          <w:tcPr>
            <w:tcW w:w="4074" w:type="dxa"/>
          </w:tcPr>
          <w:p w14:paraId="1C499A1B" w14:textId="77777777" w:rsidR="00A5652D" w:rsidRPr="00D462F0" w:rsidRDefault="00A5652D" w:rsidP="008F3FAE">
            <w:pPr>
              <w:jc w:val="center"/>
              <w:rPr>
                <w:rFonts w:asciiTheme="majorHAnsi" w:hAnsiTheme="majorHAnsi" w:cstheme="majorHAnsi"/>
                <w:b/>
                <w:sz w:val="24"/>
                <w:szCs w:val="24"/>
              </w:rPr>
            </w:pPr>
            <w:r w:rsidRPr="00D462F0">
              <w:rPr>
                <w:rFonts w:asciiTheme="majorHAnsi" w:hAnsiTheme="majorHAnsi" w:cstheme="majorHAnsi"/>
                <w:b/>
                <w:sz w:val="24"/>
                <w:szCs w:val="24"/>
              </w:rPr>
              <w:t>Seção III</w:t>
            </w:r>
          </w:p>
          <w:p w14:paraId="27240044" w14:textId="4EA9BB40" w:rsidR="00A5652D" w:rsidRPr="00D462F0" w:rsidRDefault="00A5652D" w:rsidP="008F3FAE">
            <w:pPr>
              <w:jc w:val="center"/>
              <w:rPr>
                <w:rFonts w:asciiTheme="majorHAnsi" w:hAnsiTheme="majorHAnsi" w:cstheme="majorHAnsi"/>
                <w:bCs/>
                <w:sz w:val="24"/>
                <w:szCs w:val="24"/>
              </w:rPr>
            </w:pPr>
            <w:r w:rsidRPr="00D462F0">
              <w:rPr>
                <w:rFonts w:asciiTheme="majorHAnsi" w:hAnsiTheme="majorHAnsi" w:cstheme="majorHAnsi"/>
                <w:b/>
                <w:sz w:val="24"/>
                <w:szCs w:val="24"/>
              </w:rPr>
              <w:t>Informações de Investimentos</w:t>
            </w:r>
          </w:p>
        </w:tc>
        <w:tc>
          <w:tcPr>
            <w:tcW w:w="4074" w:type="dxa"/>
          </w:tcPr>
          <w:p w14:paraId="2B2B0214" w14:textId="77777777" w:rsidR="00A5652D" w:rsidRPr="00D462F0" w:rsidRDefault="00A5652D" w:rsidP="00D462F0">
            <w:pPr>
              <w:jc w:val="both"/>
              <w:rPr>
                <w:rFonts w:asciiTheme="majorHAnsi" w:hAnsiTheme="majorHAnsi" w:cstheme="majorHAnsi"/>
                <w:sz w:val="24"/>
                <w:szCs w:val="24"/>
              </w:rPr>
            </w:pPr>
          </w:p>
        </w:tc>
        <w:tc>
          <w:tcPr>
            <w:tcW w:w="4075" w:type="dxa"/>
          </w:tcPr>
          <w:p w14:paraId="2BFB76C9" w14:textId="77777777" w:rsidR="00A5652D" w:rsidRPr="00D462F0" w:rsidRDefault="00A5652D" w:rsidP="00D462F0">
            <w:pPr>
              <w:jc w:val="both"/>
              <w:rPr>
                <w:rFonts w:asciiTheme="majorHAnsi" w:eastAsia="Times New Roman" w:hAnsiTheme="majorHAnsi" w:cstheme="majorHAnsi"/>
                <w:bCs/>
                <w:sz w:val="24"/>
                <w:szCs w:val="24"/>
              </w:rPr>
            </w:pPr>
          </w:p>
        </w:tc>
      </w:tr>
      <w:tr w:rsidR="00A5652D" w:rsidRPr="00C93770" w14:paraId="1DA3EE33" w14:textId="77777777" w:rsidTr="1756A420">
        <w:tc>
          <w:tcPr>
            <w:tcW w:w="4074" w:type="dxa"/>
          </w:tcPr>
          <w:p w14:paraId="03F57FA2" w14:textId="77777777" w:rsidR="00A5652D" w:rsidRPr="00D462F0" w:rsidRDefault="00A5652D" w:rsidP="008F3FAE">
            <w:pPr>
              <w:jc w:val="center"/>
              <w:rPr>
                <w:rFonts w:asciiTheme="majorHAnsi" w:hAnsiTheme="majorHAnsi" w:cstheme="majorHAnsi"/>
                <w:b/>
                <w:sz w:val="24"/>
                <w:szCs w:val="24"/>
              </w:rPr>
            </w:pPr>
            <w:r w:rsidRPr="00D462F0">
              <w:rPr>
                <w:rFonts w:asciiTheme="majorHAnsi" w:hAnsiTheme="majorHAnsi" w:cstheme="majorHAnsi"/>
                <w:b/>
                <w:sz w:val="24"/>
                <w:szCs w:val="24"/>
              </w:rPr>
              <w:lastRenderedPageBreak/>
              <w:t>Subseção I</w:t>
            </w:r>
          </w:p>
          <w:p w14:paraId="6D58A9FC" w14:textId="54427674" w:rsidR="00A5652D" w:rsidRPr="00D462F0" w:rsidRDefault="00A5652D" w:rsidP="008F3FAE">
            <w:pPr>
              <w:jc w:val="center"/>
              <w:rPr>
                <w:rFonts w:asciiTheme="majorHAnsi" w:hAnsiTheme="majorHAnsi" w:cstheme="majorHAnsi"/>
                <w:b/>
                <w:sz w:val="24"/>
                <w:szCs w:val="24"/>
              </w:rPr>
            </w:pPr>
            <w:r w:rsidRPr="00D462F0">
              <w:rPr>
                <w:rFonts w:asciiTheme="majorHAnsi" w:hAnsiTheme="majorHAnsi" w:cstheme="majorHAnsi"/>
                <w:b/>
                <w:sz w:val="24"/>
                <w:szCs w:val="24"/>
              </w:rPr>
              <w:t>Demonstrativo de Investimentos, Cadastro de Fundos de Investimentos e Política de Investimentos</w:t>
            </w:r>
          </w:p>
        </w:tc>
        <w:tc>
          <w:tcPr>
            <w:tcW w:w="4074" w:type="dxa"/>
          </w:tcPr>
          <w:p w14:paraId="60815DFD" w14:textId="77777777" w:rsidR="00A5652D" w:rsidRPr="00D462F0" w:rsidRDefault="00A5652D" w:rsidP="008F3FAE">
            <w:pPr>
              <w:jc w:val="center"/>
              <w:rPr>
                <w:rFonts w:asciiTheme="majorHAnsi" w:hAnsiTheme="majorHAnsi" w:cstheme="majorHAnsi"/>
                <w:b/>
                <w:sz w:val="24"/>
                <w:szCs w:val="24"/>
              </w:rPr>
            </w:pPr>
            <w:r w:rsidRPr="00D462F0">
              <w:rPr>
                <w:rFonts w:asciiTheme="majorHAnsi" w:hAnsiTheme="majorHAnsi" w:cstheme="majorHAnsi"/>
                <w:b/>
                <w:sz w:val="24"/>
                <w:szCs w:val="24"/>
              </w:rPr>
              <w:t>Subseção I</w:t>
            </w:r>
          </w:p>
          <w:p w14:paraId="7D7E1005" w14:textId="5DFFA7A6" w:rsidR="00A5652D" w:rsidRPr="00D462F0" w:rsidRDefault="00A5652D" w:rsidP="008F3FAE">
            <w:pPr>
              <w:jc w:val="center"/>
              <w:rPr>
                <w:rFonts w:asciiTheme="majorHAnsi" w:hAnsiTheme="majorHAnsi" w:cstheme="majorHAnsi"/>
                <w:bCs/>
                <w:sz w:val="24"/>
                <w:szCs w:val="24"/>
              </w:rPr>
            </w:pPr>
            <w:r w:rsidRPr="00D462F0">
              <w:rPr>
                <w:rFonts w:asciiTheme="majorHAnsi" w:hAnsiTheme="majorHAnsi" w:cstheme="majorHAnsi"/>
                <w:b/>
                <w:sz w:val="24"/>
                <w:szCs w:val="24"/>
              </w:rPr>
              <w:t>Demonstrativo de Investimentos, Cadastro de Fundos de Investimentos e Política de Investimentos</w:t>
            </w:r>
          </w:p>
        </w:tc>
        <w:tc>
          <w:tcPr>
            <w:tcW w:w="4074" w:type="dxa"/>
          </w:tcPr>
          <w:p w14:paraId="68398A2C" w14:textId="77777777" w:rsidR="00A5652D" w:rsidRPr="00D462F0" w:rsidRDefault="00A5652D" w:rsidP="00D462F0">
            <w:pPr>
              <w:jc w:val="both"/>
              <w:rPr>
                <w:rFonts w:asciiTheme="majorHAnsi" w:hAnsiTheme="majorHAnsi" w:cstheme="majorHAnsi"/>
                <w:sz w:val="24"/>
                <w:szCs w:val="24"/>
              </w:rPr>
            </w:pPr>
          </w:p>
        </w:tc>
        <w:tc>
          <w:tcPr>
            <w:tcW w:w="4075" w:type="dxa"/>
          </w:tcPr>
          <w:p w14:paraId="0276ABA8" w14:textId="77777777" w:rsidR="00A5652D" w:rsidRPr="00D462F0" w:rsidRDefault="00A5652D" w:rsidP="00D462F0">
            <w:pPr>
              <w:jc w:val="both"/>
              <w:rPr>
                <w:rFonts w:asciiTheme="majorHAnsi" w:eastAsia="Times New Roman" w:hAnsiTheme="majorHAnsi" w:cstheme="majorHAnsi"/>
                <w:bCs/>
                <w:sz w:val="24"/>
                <w:szCs w:val="24"/>
              </w:rPr>
            </w:pPr>
          </w:p>
        </w:tc>
      </w:tr>
      <w:tr w:rsidR="00A5652D" w:rsidRPr="00C93770" w14:paraId="121ED2E3" w14:textId="77777777" w:rsidTr="1756A420">
        <w:tc>
          <w:tcPr>
            <w:tcW w:w="4074" w:type="dxa"/>
          </w:tcPr>
          <w:p w14:paraId="213D823E" w14:textId="3FAA83AF" w:rsidR="00A5652D" w:rsidRPr="00D462F0" w:rsidRDefault="00A5652D" w:rsidP="008F3FAE">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4FBA554C" w14:textId="33CF64FF" w:rsidR="00A5652D" w:rsidRPr="00D462F0" w:rsidRDefault="00A5652D" w:rsidP="008F3FAE">
            <w:pPr>
              <w:jc w:val="center"/>
              <w:rPr>
                <w:rFonts w:asciiTheme="majorHAnsi" w:hAnsiTheme="majorHAnsi" w:cstheme="majorHAnsi"/>
                <w:bCs/>
                <w:sz w:val="24"/>
                <w:szCs w:val="24"/>
              </w:rPr>
            </w:pPr>
            <w:r w:rsidRPr="00D462F0">
              <w:rPr>
                <w:rFonts w:asciiTheme="majorHAnsi" w:hAnsiTheme="majorHAnsi" w:cstheme="majorHAnsi"/>
                <w:sz w:val="24"/>
                <w:szCs w:val="24"/>
              </w:rPr>
              <w:t>...</w:t>
            </w:r>
          </w:p>
        </w:tc>
        <w:tc>
          <w:tcPr>
            <w:tcW w:w="4074" w:type="dxa"/>
          </w:tcPr>
          <w:p w14:paraId="3A67171B" w14:textId="77777777" w:rsidR="00A5652D" w:rsidRPr="00D462F0" w:rsidRDefault="00A5652D" w:rsidP="00D462F0">
            <w:pPr>
              <w:jc w:val="both"/>
              <w:rPr>
                <w:rFonts w:asciiTheme="majorHAnsi" w:hAnsiTheme="majorHAnsi" w:cstheme="majorHAnsi"/>
                <w:sz w:val="24"/>
                <w:szCs w:val="24"/>
              </w:rPr>
            </w:pPr>
          </w:p>
        </w:tc>
        <w:tc>
          <w:tcPr>
            <w:tcW w:w="4075" w:type="dxa"/>
          </w:tcPr>
          <w:p w14:paraId="1FEE4020" w14:textId="77777777" w:rsidR="00A5652D" w:rsidRPr="00D462F0" w:rsidRDefault="00A5652D" w:rsidP="00D462F0">
            <w:pPr>
              <w:jc w:val="both"/>
              <w:rPr>
                <w:rFonts w:asciiTheme="majorHAnsi" w:eastAsia="Times New Roman" w:hAnsiTheme="majorHAnsi" w:cstheme="majorHAnsi"/>
                <w:bCs/>
                <w:sz w:val="24"/>
                <w:szCs w:val="24"/>
              </w:rPr>
            </w:pPr>
          </w:p>
        </w:tc>
      </w:tr>
      <w:tr w:rsidR="00A5652D" w:rsidRPr="00C93770" w14:paraId="52813A13" w14:textId="77777777" w:rsidTr="1756A420">
        <w:tc>
          <w:tcPr>
            <w:tcW w:w="4074" w:type="dxa"/>
          </w:tcPr>
          <w:p w14:paraId="719342E3" w14:textId="57D5E9E8"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Art. 366.  A EFPC deve manter cadastro atualizado dos fundos de investimento e dos fundos de investimento em cotas de fundos de investimento constituídos no Brasil:</w:t>
            </w:r>
          </w:p>
        </w:tc>
        <w:tc>
          <w:tcPr>
            <w:tcW w:w="4074" w:type="dxa"/>
          </w:tcPr>
          <w:p w14:paraId="3979FFDE" w14:textId="447B430C"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366.  A EFPC deve manter cadastro atualizado </w:t>
            </w:r>
            <w:r w:rsidRPr="00D462F0">
              <w:rPr>
                <w:rFonts w:asciiTheme="majorHAnsi" w:hAnsiTheme="majorHAnsi" w:cstheme="majorHAnsi"/>
                <w:bCs/>
                <w:strike/>
                <w:color w:val="EE0000"/>
                <w:sz w:val="24"/>
                <w:szCs w:val="24"/>
              </w:rPr>
              <w:t>dos</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das</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classes de cotas de </w:t>
            </w:r>
            <w:r w:rsidRPr="00D462F0">
              <w:rPr>
                <w:rFonts w:asciiTheme="majorHAnsi" w:hAnsiTheme="majorHAnsi" w:cstheme="majorHAnsi"/>
                <w:bCs/>
                <w:sz w:val="24"/>
                <w:szCs w:val="24"/>
              </w:rPr>
              <w:t xml:space="preserve">fundos de investimento </w:t>
            </w:r>
            <w:r w:rsidRPr="00D462F0">
              <w:rPr>
                <w:rFonts w:asciiTheme="majorHAnsi" w:hAnsiTheme="majorHAnsi" w:cstheme="majorHAnsi"/>
                <w:bCs/>
                <w:strike/>
                <w:color w:val="EE0000"/>
                <w:sz w:val="24"/>
                <w:szCs w:val="24"/>
              </w:rPr>
              <w:t>dos fundos de investimento em cotas de fundos de investimento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constituídos no Brasil:</w:t>
            </w:r>
          </w:p>
        </w:tc>
        <w:tc>
          <w:tcPr>
            <w:tcW w:w="4074" w:type="dxa"/>
          </w:tcPr>
          <w:p w14:paraId="1859B5CD" w14:textId="09D4CA7B"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Adaptação Resolução CMN nº 5.202, de 2025, e Resolução CVM nº175, de 2023, - sem alteração material.</w:t>
            </w:r>
          </w:p>
        </w:tc>
        <w:tc>
          <w:tcPr>
            <w:tcW w:w="4075" w:type="dxa"/>
          </w:tcPr>
          <w:p w14:paraId="44A03E42" w14:textId="5C04B952" w:rsidR="00A5652D" w:rsidRPr="00D462F0" w:rsidRDefault="00A5652D"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Inciso IV do art. 4º do Decreto nº 10.411, de 2020. </w:t>
            </w:r>
          </w:p>
        </w:tc>
      </w:tr>
      <w:tr w:rsidR="00A5652D" w:rsidRPr="00C93770" w14:paraId="11F53FBC" w14:textId="77777777" w:rsidTr="1756A420">
        <w:tc>
          <w:tcPr>
            <w:tcW w:w="4074" w:type="dxa"/>
          </w:tcPr>
          <w:p w14:paraId="429DCB69" w14:textId="06D37CD9" w:rsidR="00A5652D" w:rsidRPr="00D462F0" w:rsidRDefault="00A5652D"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3A915330" w14:textId="3C7AB15C"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sz w:val="24"/>
                <w:szCs w:val="24"/>
              </w:rPr>
              <w:t>...</w:t>
            </w:r>
          </w:p>
        </w:tc>
        <w:tc>
          <w:tcPr>
            <w:tcW w:w="4074" w:type="dxa"/>
          </w:tcPr>
          <w:p w14:paraId="74311C52" w14:textId="77777777" w:rsidR="00A5652D" w:rsidRPr="00D462F0" w:rsidRDefault="00A5652D" w:rsidP="00D462F0">
            <w:pPr>
              <w:jc w:val="both"/>
              <w:rPr>
                <w:rFonts w:asciiTheme="majorHAnsi" w:hAnsiTheme="majorHAnsi" w:cstheme="majorHAnsi"/>
                <w:sz w:val="24"/>
                <w:szCs w:val="24"/>
              </w:rPr>
            </w:pPr>
          </w:p>
        </w:tc>
        <w:tc>
          <w:tcPr>
            <w:tcW w:w="4075" w:type="dxa"/>
          </w:tcPr>
          <w:p w14:paraId="1B18655C" w14:textId="77777777" w:rsidR="00A5652D" w:rsidRPr="00D462F0" w:rsidRDefault="00A5652D" w:rsidP="00D462F0">
            <w:pPr>
              <w:jc w:val="both"/>
              <w:rPr>
                <w:rFonts w:asciiTheme="majorHAnsi" w:hAnsiTheme="majorHAnsi" w:cstheme="majorHAnsi"/>
                <w:bCs/>
                <w:sz w:val="24"/>
                <w:szCs w:val="24"/>
              </w:rPr>
            </w:pPr>
          </w:p>
        </w:tc>
      </w:tr>
      <w:tr w:rsidR="00A5652D" w:rsidRPr="00C93770" w14:paraId="72728EAA" w14:textId="77777777" w:rsidTr="1756A420">
        <w:tc>
          <w:tcPr>
            <w:tcW w:w="4074" w:type="dxa"/>
          </w:tcPr>
          <w:p w14:paraId="089AC373" w14:textId="75B6BCA2"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II - em que a EFPC seja cotista e o fundo classificado como multimercado, no segmento estruturado. </w:t>
            </w:r>
          </w:p>
        </w:tc>
        <w:tc>
          <w:tcPr>
            <w:tcW w:w="4074" w:type="dxa"/>
          </w:tcPr>
          <w:p w14:paraId="3448D670" w14:textId="7E6F99CB"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II - em que a EFPC seja cotista e </w:t>
            </w:r>
            <w:r w:rsidRPr="00D462F0">
              <w:rPr>
                <w:rFonts w:asciiTheme="majorHAnsi" w:hAnsiTheme="majorHAnsi" w:cstheme="majorHAnsi"/>
                <w:bCs/>
                <w:strike/>
                <w:color w:val="EE0000"/>
                <w:sz w:val="24"/>
                <w:szCs w:val="24"/>
              </w:rPr>
              <w:t>o</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a cota de classe de </w:t>
            </w:r>
            <w:r w:rsidRPr="00D462F0">
              <w:rPr>
                <w:rFonts w:asciiTheme="majorHAnsi" w:hAnsiTheme="majorHAnsi" w:cstheme="majorHAnsi"/>
                <w:bCs/>
                <w:sz w:val="24"/>
                <w:szCs w:val="24"/>
              </w:rPr>
              <w:t xml:space="preserve">fundo </w:t>
            </w:r>
            <w:r w:rsidRPr="00D462F0">
              <w:rPr>
                <w:rFonts w:asciiTheme="majorHAnsi" w:hAnsiTheme="majorHAnsi" w:cstheme="majorHAnsi"/>
                <w:bCs/>
                <w:color w:val="0000FF"/>
                <w:sz w:val="24"/>
                <w:szCs w:val="24"/>
              </w:rPr>
              <w:t xml:space="preserve">de investimento </w:t>
            </w:r>
            <w:r w:rsidRPr="00D462F0">
              <w:rPr>
                <w:rFonts w:asciiTheme="majorHAnsi" w:hAnsiTheme="majorHAnsi" w:cstheme="majorHAnsi"/>
                <w:bCs/>
                <w:sz w:val="24"/>
                <w:szCs w:val="24"/>
              </w:rPr>
              <w:t xml:space="preserve">classificado como multimercado, no segmento estruturado. </w:t>
            </w:r>
          </w:p>
        </w:tc>
        <w:tc>
          <w:tcPr>
            <w:tcW w:w="4074" w:type="dxa"/>
          </w:tcPr>
          <w:p w14:paraId="1A6C0632" w14:textId="4620181F"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Adaptação Resolução CMN nº 5.202,  de 2025, e Resolução CVM nº175, de 2023, - sem alteração material.</w:t>
            </w:r>
          </w:p>
          <w:p w14:paraId="69576159" w14:textId="77777777" w:rsidR="00A5652D" w:rsidRPr="00D462F0" w:rsidRDefault="00A5652D" w:rsidP="00D462F0">
            <w:pPr>
              <w:jc w:val="both"/>
              <w:rPr>
                <w:rFonts w:asciiTheme="majorHAnsi" w:hAnsiTheme="majorHAnsi" w:cstheme="majorHAnsi"/>
                <w:sz w:val="24"/>
                <w:szCs w:val="24"/>
              </w:rPr>
            </w:pPr>
          </w:p>
        </w:tc>
        <w:tc>
          <w:tcPr>
            <w:tcW w:w="4075" w:type="dxa"/>
          </w:tcPr>
          <w:p w14:paraId="583E8B4B" w14:textId="3D3672F9" w:rsidR="00A5652D" w:rsidRPr="00D462F0" w:rsidRDefault="00A5652D"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Inciso IV do art. 4º do Decreto nº 10.411, de 2020. </w:t>
            </w:r>
          </w:p>
        </w:tc>
      </w:tr>
      <w:tr w:rsidR="00A5652D" w:rsidRPr="00C93770" w14:paraId="145D7FD7" w14:textId="77777777" w:rsidTr="1756A420">
        <w:tc>
          <w:tcPr>
            <w:tcW w:w="4074" w:type="dxa"/>
          </w:tcPr>
          <w:p w14:paraId="2FD80878" w14:textId="6CE586E2"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Parágrafo único.  O cadastro a que se refere o caput deve ser realizado até dez dias da data de aquisição do primeiro lote de cotas de fundo de investimento ou de fundo de investimento em cotas de fundos de investimento.</w:t>
            </w:r>
          </w:p>
        </w:tc>
        <w:tc>
          <w:tcPr>
            <w:tcW w:w="4074" w:type="dxa"/>
          </w:tcPr>
          <w:p w14:paraId="0DC9AF0D" w14:textId="3C74706E"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Parágrafo único.  O cadastro a que se refere o caput deve ser realizado até dez dias da data de aquisição do primeiro lote de cotas de </w:t>
            </w:r>
            <w:r w:rsidRPr="00D462F0">
              <w:rPr>
                <w:rFonts w:asciiTheme="majorHAnsi" w:hAnsiTheme="majorHAnsi" w:cstheme="majorHAnsi"/>
                <w:bCs/>
                <w:color w:val="0000FF"/>
                <w:sz w:val="24"/>
                <w:szCs w:val="24"/>
              </w:rPr>
              <w:t xml:space="preserve">classe de </w:t>
            </w:r>
            <w:r w:rsidRPr="00D462F0">
              <w:rPr>
                <w:rFonts w:asciiTheme="majorHAnsi" w:hAnsiTheme="majorHAnsi" w:cstheme="majorHAnsi"/>
                <w:bCs/>
                <w:sz w:val="24"/>
                <w:szCs w:val="24"/>
              </w:rPr>
              <w:t xml:space="preserve">fundo de </w:t>
            </w:r>
            <w:proofErr w:type="spellStart"/>
            <w:r w:rsidRPr="00D462F0">
              <w:rPr>
                <w:rFonts w:asciiTheme="majorHAnsi" w:hAnsiTheme="majorHAnsi" w:cstheme="majorHAnsi"/>
                <w:bCs/>
                <w:sz w:val="24"/>
                <w:szCs w:val="24"/>
              </w:rPr>
              <w:t>investimento</w:t>
            </w:r>
            <w:r w:rsidRPr="00D462F0">
              <w:rPr>
                <w:rFonts w:asciiTheme="majorHAnsi" w:hAnsiTheme="majorHAnsi" w:cstheme="majorHAnsi"/>
                <w:bCs/>
                <w:strike/>
                <w:color w:val="EE0000"/>
                <w:sz w:val="24"/>
                <w:szCs w:val="24"/>
              </w:rPr>
              <w:t>ou</w:t>
            </w:r>
            <w:proofErr w:type="spellEnd"/>
            <w:r w:rsidRPr="00D462F0">
              <w:rPr>
                <w:rFonts w:asciiTheme="majorHAnsi" w:hAnsiTheme="majorHAnsi" w:cstheme="majorHAnsi"/>
                <w:bCs/>
                <w:strike/>
                <w:color w:val="EE0000"/>
                <w:sz w:val="24"/>
                <w:szCs w:val="24"/>
              </w:rPr>
              <w:t xml:space="preserve"> de fundo de investimento em cotas de fundos de investimento</w:t>
            </w:r>
            <w:r w:rsidRPr="00D462F0">
              <w:rPr>
                <w:rFonts w:asciiTheme="majorHAnsi" w:hAnsiTheme="majorHAnsi" w:cstheme="majorHAnsi"/>
                <w:bCs/>
                <w:sz w:val="24"/>
                <w:szCs w:val="24"/>
              </w:rPr>
              <w:t>.</w:t>
            </w:r>
          </w:p>
        </w:tc>
        <w:tc>
          <w:tcPr>
            <w:tcW w:w="4074" w:type="dxa"/>
          </w:tcPr>
          <w:p w14:paraId="5A0A0E31" w14:textId="17309822"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Adaptação Resolução CMN nº 5.202, de 2025, e Resolução CVM nº175, de 2023, - sem alteração material.</w:t>
            </w:r>
          </w:p>
          <w:p w14:paraId="0D4D35D4" w14:textId="77777777" w:rsidR="00A5652D" w:rsidRPr="00D462F0" w:rsidRDefault="00A5652D" w:rsidP="00D462F0">
            <w:pPr>
              <w:jc w:val="both"/>
              <w:rPr>
                <w:rFonts w:asciiTheme="majorHAnsi" w:hAnsiTheme="majorHAnsi" w:cstheme="majorHAnsi"/>
                <w:sz w:val="24"/>
                <w:szCs w:val="24"/>
              </w:rPr>
            </w:pPr>
          </w:p>
        </w:tc>
        <w:tc>
          <w:tcPr>
            <w:tcW w:w="4075" w:type="dxa"/>
          </w:tcPr>
          <w:p w14:paraId="6616D104" w14:textId="4ECF4CA9" w:rsidR="00A5652D" w:rsidRPr="00D462F0" w:rsidRDefault="00A5652D"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Inciso IV do art. 4º do Decreto nº 10.411, de 2020. </w:t>
            </w:r>
          </w:p>
        </w:tc>
      </w:tr>
      <w:tr w:rsidR="00A5652D" w:rsidRPr="00C93770" w14:paraId="58AE15FF" w14:textId="77777777" w:rsidTr="1756A420">
        <w:tc>
          <w:tcPr>
            <w:tcW w:w="4074" w:type="dxa"/>
          </w:tcPr>
          <w:p w14:paraId="01BCC797" w14:textId="77777777" w:rsidR="00A5652D" w:rsidRPr="00D462F0" w:rsidRDefault="00A5652D" w:rsidP="008F3FAE">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II</w:t>
            </w:r>
          </w:p>
          <w:p w14:paraId="61FE1878" w14:textId="42419750" w:rsidR="00A5652D" w:rsidRPr="00D462F0" w:rsidRDefault="00A5652D" w:rsidP="008F3FAE">
            <w:pPr>
              <w:jc w:val="center"/>
              <w:rPr>
                <w:rFonts w:asciiTheme="majorHAnsi" w:hAnsiTheme="majorHAnsi" w:cstheme="majorHAnsi"/>
                <w:b/>
                <w:bCs/>
                <w:color w:val="000000"/>
                <w:sz w:val="24"/>
                <w:szCs w:val="24"/>
              </w:rPr>
            </w:pPr>
            <w:r w:rsidRPr="00D462F0">
              <w:rPr>
                <w:rFonts w:asciiTheme="majorHAnsi" w:hAnsiTheme="majorHAnsi" w:cstheme="majorHAnsi"/>
                <w:b/>
                <w:bCs/>
                <w:sz w:val="24"/>
                <w:szCs w:val="24"/>
              </w:rPr>
              <w:t>Autorização da Custódia e do Extrato de Movimentação e Posição de Títulos Públicos Federais</w:t>
            </w:r>
          </w:p>
        </w:tc>
        <w:tc>
          <w:tcPr>
            <w:tcW w:w="4074" w:type="dxa"/>
          </w:tcPr>
          <w:p w14:paraId="6956BF64" w14:textId="77777777" w:rsidR="00A5652D" w:rsidRPr="00D462F0" w:rsidRDefault="00A5652D" w:rsidP="008F3FAE">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II</w:t>
            </w:r>
          </w:p>
          <w:p w14:paraId="6BFDAABA" w14:textId="3FF93C51" w:rsidR="00A5652D" w:rsidRPr="00D462F0" w:rsidRDefault="00A5652D" w:rsidP="008F3FAE">
            <w:pPr>
              <w:jc w:val="center"/>
              <w:rPr>
                <w:rFonts w:asciiTheme="majorHAnsi" w:hAnsiTheme="majorHAnsi" w:cstheme="majorHAnsi"/>
                <w:b/>
                <w:bCs/>
                <w:color w:val="000000"/>
                <w:sz w:val="24"/>
                <w:szCs w:val="24"/>
              </w:rPr>
            </w:pPr>
            <w:r w:rsidRPr="00D462F0">
              <w:rPr>
                <w:rFonts w:asciiTheme="majorHAnsi" w:hAnsiTheme="majorHAnsi" w:cstheme="majorHAnsi"/>
                <w:b/>
                <w:bCs/>
                <w:sz w:val="24"/>
                <w:szCs w:val="24"/>
              </w:rPr>
              <w:t>Autorização da Custódia e do Extrato de Movimentação e Posição de Títulos Públicos Federais</w:t>
            </w:r>
          </w:p>
        </w:tc>
        <w:tc>
          <w:tcPr>
            <w:tcW w:w="4074" w:type="dxa"/>
          </w:tcPr>
          <w:p w14:paraId="7D8B9A6D" w14:textId="77777777" w:rsidR="00A5652D" w:rsidRPr="00D462F0" w:rsidRDefault="00A5652D" w:rsidP="00D462F0">
            <w:pPr>
              <w:jc w:val="both"/>
              <w:rPr>
                <w:rFonts w:asciiTheme="majorHAnsi" w:hAnsiTheme="majorHAnsi" w:cstheme="majorHAnsi"/>
                <w:sz w:val="24"/>
                <w:szCs w:val="24"/>
              </w:rPr>
            </w:pPr>
          </w:p>
        </w:tc>
        <w:tc>
          <w:tcPr>
            <w:tcW w:w="4075" w:type="dxa"/>
          </w:tcPr>
          <w:p w14:paraId="6FB04759" w14:textId="77777777" w:rsidR="00A5652D" w:rsidRPr="00D462F0" w:rsidRDefault="00A5652D" w:rsidP="00D462F0">
            <w:pPr>
              <w:jc w:val="both"/>
              <w:rPr>
                <w:rFonts w:asciiTheme="majorHAnsi" w:hAnsiTheme="majorHAnsi" w:cstheme="majorHAnsi"/>
                <w:bCs/>
                <w:sz w:val="24"/>
                <w:szCs w:val="24"/>
              </w:rPr>
            </w:pPr>
          </w:p>
        </w:tc>
      </w:tr>
      <w:tr w:rsidR="00A5652D" w:rsidRPr="00C93770" w14:paraId="646C349D" w14:textId="77777777" w:rsidTr="1756A420">
        <w:tc>
          <w:tcPr>
            <w:tcW w:w="4074" w:type="dxa"/>
          </w:tcPr>
          <w:p w14:paraId="298EAA6F" w14:textId="578BB2DC"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367.  A EFPC deve autorizar os administradores e custodiantes das contas de custódia dos fundos de investimentos, da carteira administrada e da carteira própria, para que concedam acesso à Previc aos dados e às informações de operações e de posições em ativos financeiros pertencentes à EFPC, aos planos de benefícios, aos fundos de investimento e aos fundos de investimento em cotas de fundos de investimento exclusivos, </w:t>
            </w:r>
            <w:r w:rsidRPr="00D462F0">
              <w:rPr>
                <w:rFonts w:asciiTheme="majorHAnsi" w:hAnsiTheme="majorHAnsi" w:cstheme="majorHAnsi"/>
                <w:sz w:val="24"/>
                <w:szCs w:val="24"/>
              </w:rPr>
              <w:lastRenderedPageBreak/>
              <w:t>junto a sistema de registro e de liquidação financeira ou depositário central, observada a regulamentação do Banco Central do Brasil ou da Comissão de Valores Mobiliários, nas suas respectivas áreas de competência</w:t>
            </w:r>
          </w:p>
        </w:tc>
        <w:tc>
          <w:tcPr>
            <w:tcW w:w="4074" w:type="dxa"/>
          </w:tcPr>
          <w:p w14:paraId="612D3326" w14:textId="25598E0C"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lastRenderedPageBreak/>
              <w:t xml:space="preserve">Art. 367.  A EFPC deve autorizar os administradores e custodiantes das contas de custódia </w:t>
            </w:r>
            <w:r w:rsidRPr="00D462F0">
              <w:rPr>
                <w:rFonts w:asciiTheme="majorHAnsi" w:hAnsiTheme="majorHAnsi" w:cstheme="majorHAnsi"/>
                <w:bCs/>
                <w:color w:val="0000FF"/>
                <w:sz w:val="24"/>
                <w:szCs w:val="24"/>
              </w:rPr>
              <w:t>das classes de cotas,</w:t>
            </w:r>
            <w:r w:rsidRPr="00D462F0">
              <w:rPr>
                <w:rFonts w:asciiTheme="majorHAnsi" w:hAnsiTheme="majorHAnsi" w:cstheme="majorHAnsi"/>
                <w:bCs/>
                <w:sz w:val="24"/>
                <w:szCs w:val="24"/>
              </w:rPr>
              <w:t xml:space="preserve"> dos fundos de investimentos, da carteira administrada e da carteira própria, para que concedam acesso à Previc aos dados e às informações de operações e de posições em ativos financeiros pertencentes à EFPC, aos planos de benefícios, </w:t>
            </w:r>
            <w:r w:rsidRPr="00D462F0">
              <w:rPr>
                <w:rFonts w:asciiTheme="majorHAnsi" w:hAnsiTheme="majorHAnsi" w:cstheme="majorHAnsi"/>
                <w:bCs/>
                <w:strike/>
                <w:color w:val="EE0000"/>
                <w:sz w:val="24"/>
                <w:szCs w:val="24"/>
              </w:rPr>
              <w:t xml:space="preserve">aos </w:t>
            </w:r>
            <w:r w:rsidRPr="00D462F0">
              <w:rPr>
                <w:rFonts w:asciiTheme="majorHAnsi" w:hAnsiTheme="majorHAnsi" w:cstheme="majorHAnsi"/>
                <w:bCs/>
                <w:color w:val="0000FF"/>
                <w:sz w:val="24"/>
                <w:szCs w:val="24"/>
              </w:rPr>
              <w:t xml:space="preserve">às classes de cotas de </w:t>
            </w:r>
            <w:r w:rsidRPr="00D462F0">
              <w:rPr>
                <w:rFonts w:asciiTheme="majorHAnsi" w:hAnsiTheme="majorHAnsi" w:cstheme="majorHAnsi"/>
                <w:bCs/>
                <w:sz w:val="24"/>
                <w:szCs w:val="24"/>
              </w:rPr>
              <w:t xml:space="preserve">fundos de investimento e às </w:t>
            </w:r>
            <w:r w:rsidRPr="00D462F0">
              <w:rPr>
                <w:rFonts w:asciiTheme="majorHAnsi" w:hAnsiTheme="majorHAnsi" w:cstheme="majorHAnsi"/>
                <w:bCs/>
                <w:color w:val="0000FF"/>
                <w:sz w:val="24"/>
                <w:szCs w:val="24"/>
              </w:rPr>
              <w:t xml:space="preserve">cotas de classe exclusivas de </w:t>
            </w:r>
            <w:r w:rsidRPr="00D462F0">
              <w:rPr>
                <w:rFonts w:asciiTheme="majorHAnsi" w:hAnsiTheme="majorHAnsi" w:cstheme="majorHAnsi"/>
                <w:bCs/>
                <w:sz w:val="24"/>
                <w:szCs w:val="24"/>
              </w:rPr>
              <w:t xml:space="preserve">fundos de </w:t>
            </w:r>
            <w:proofErr w:type="spellStart"/>
            <w:r w:rsidRPr="00D462F0">
              <w:rPr>
                <w:rFonts w:asciiTheme="majorHAnsi" w:hAnsiTheme="majorHAnsi" w:cstheme="majorHAnsi"/>
                <w:bCs/>
                <w:sz w:val="24"/>
                <w:szCs w:val="24"/>
              </w:rPr>
              <w:lastRenderedPageBreak/>
              <w:t>investimento</w:t>
            </w:r>
            <w:r w:rsidRPr="00D462F0">
              <w:rPr>
                <w:rFonts w:asciiTheme="majorHAnsi" w:hAnsiTheme="majorHAnsi" w:cstheme="majorHAnsi"/>
                <w:bCs/>
                <w:strike/>
                <w:color w:val="EE0000"/>
                <w:sz w:val="24"/>
                <w:szCs w:val="24"/>
              </w:rPr>
              <w:t>em</w:t>
            </w:r>
            <w:proofErr w:type="spellEnd"/>
            <w:r w:rsidRPr="00D462F0">
              <w:rPr>
                <w:rFonts w:asciiTheme="majorHAnsi" w:hAnsiTheme="majorHAnsi" w:cstheme="majorHAnsi"/>
                <w:bCs/>
                <w:strike/>
                <w:color w:val="EE0000"/>
                <w:sz w:val="24"/>
                <w:szCs w:val="24"/>
              </w:rPr>
              <w:t xml:space="preserve"> cotas de fundos de investimento exclusivos</w:t>
            </w:r>
            <w:r w:rsidRPr="00D462F0">
              <w:rPr>
                <w:rFonts w:asciiTheme="majorHAnsi" w:hAnsiTheme="majorHAnsi" w:cstheme="majorHAnsi"/>
                <w:bCs/>
                <w:sz w:val="24"/>
                <w:szCs w:val="24"/>
              </w:rPr>
              <w:t>, junto a sistema de registro e de liquidação financeira ou depositário central, observada a regulamentação do Banco Central do Brasil ou da Comissão de Valores Mobiliários, nas suas respectivas áreas de competência</w:t>
            </w:r>
          </w:p>
        </w:tc>
        <w:tc>
          <w:tcPr>
            <w:tcW w:w="4074" w:type="dxa"/>
          </w:tcPr>
          <w:p w14:paraId="77AB19F4"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 Adaptação Resolução CMN nº 5202 e Resolução CVM nº175 - sem alteração material.</w:t>
            </w:r>
          </w:p>
          <w:p w14:paraId="1E1015F1" w14:textId="77777777" w:rsidR="00A5652D" w:rsidRPr="00D462F0" w:rsidRDefault="00A5652D" w:rsidP="00D462F0">
            <w:pPr>
              <w:jc w:val="both"/>
              <w:rPr>
                <w:rFonts w:asciiTheme="majorHAnsi" w:hAnsiTheme="majorHAnsi" w:cstheme="majorHAnsi"/>
                <w:sz w:val="24"/>
                <w:szCs w:val="24"/>
              </w:rPr>
            </w:pPr>
          </w:p>
        </w:tc>
        <w:tc>
          <w:tcPr>
            <w:tcW w:w="4075" w:type="dxa"/>
          </w:tcPr>
          <w:p w14:paraId="6A268FEC" w14:textId="7A0F9D4C" w:rsidR="00A5652D" w:rsidRPr="00D462F0" w:rsidRDefault="00A5652D"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Inciso IV do art. 4º do Decreto nº 10.411, de 2020.</w:t>
            </w:r>
          </w:p>
        </w:tc>
      </w:tr>
      <w:tr w:rsidR="00A5652D" w:rsidRPr="00C93770" w14:paraId="6D34588F" w14:textId="77777777" w:rsidTr="1756A420">
        <w:tc>
          <w:tcPr>
            <w:tcW w:w="4074" w:type="dxa"/>
          </w:tcPr>
          <w:p w14:paraId="262B49BF" w14:textId="44126FF5"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Art. 368.  O envio dos extratos mensais de movimentação e de posição de títulos públicos federais custodiados no Sistema Especial de Liquidação e de Custódia (Selic), relativos às contas individualizadas das EFPC e às contas dos fundos de investimento e dos fundos de investimento em cotas de fundos de investimento exclusivos, deve observar o disposto no art. 364, §2ª, desta Resolução.</w:t>
            </w:r>
          </w:p>
        </w:tc>
        <w:tc>
          <w:tcPr>
            <w:tcW w:w="4074" w:type="dxa"/>
          </w:tcPr>
          <w:p w14:paraId="65B8EEA4" w14:textId="125DF3E1"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368.  O envio dos extratos mensais de movimentação e de posição de títulos públicos federais custodiados no Sistema Especial de Liquidação e de Custódia (Selic), relativos às contas individualizadas das EFPC e às contas </w:t>
            </w:r>
            <w:r w:rsidRPr="00D462F0">
              <w:rPr>
                <w:rFonts w:asciiTheme="majorHAnsi" w:hAnsiTheme="majorHAnsi" w:cstheme="majorHAnsi"/>
                <w:bCs/>
                <w:strike/>
                <w:color w:val="EE0000"/>
                <w:sz w:val="24"/>
                <w:szCs w:val="24"/>
              </w:rPr>
              <w:t xml:space="preserve">dos </w:t>
            </w:r>
            <w:r w:rsidRPr="00D462F0">
              <w:rPr>
                <w:rFonts w:asciiTheme="majorHAnsi" w:hAnsiTheme="majorHAnsi" w:cstheme="majorHAnsi"/>
                <w:bCs/>
                <w:color w:val="0000FF"/>
                <w:sz w:val="24"/>
                <w:szCs w:val="24"/>
              </w:rPr>
              <w:t>das classes de cota de</w:t>
            </w:r>
            <w:r w:rsidRPr="00D462F0">
              <w:rPr>
                <w:rFonts w:asciiTheme="majorHAnsi" w:hAnsiTheme="majorHAnsi" w:cstheme="majorHAnsi"/>
                <w:bCs/>
                <w:sz w:val="24"/>
                <w:szCs w:val="24"/>
              </w:rPr>
              <w:t xml:space="preserve"> fundos de investimento e </w:t>
            </w:r>
            <w:r w:rsidRPr="00D462F0">
              <w:rPr>
                <w:rFonts w:asciiTheme="majorHAnsi" w:hAnsiTheme="majorHAnsi" w:cstheme="majorHAnsi"/>
                <w:bCs/>
                <w:color w:val="0000FF"/>
                <w:sz w:val="24"/>
                <w:szCs w:val="24"/>
              </w:rPr>
              <w:t>das cotas de classe exclusivas</w:t>
            </w:r>
            <w:r w:rsidRPr="00D462F0">
              <w:rPr>
                <w:rFonts w:asciiTheme="majorHAnsi" w:hAnsiTheme="majorHAnsi" w:cstheme="majorHAnsi"/>
                <w:bCs/>
                <w:sz w:val="24"/>
                <w:szCs w:val="24"/>
              </w:rPr>
              <w:t xml:space="preserve"> dos fundos de investimento </w:t>
            </w:r>
            <w:r w:rsidRPr="00D462F0">
              <w:rPr>
                <w:rFonts w:asciiTheme="majorHAnsi" w:hAnsiTheme="majorHAnsi" w:cstheme="majorHAnsi"/>
                <w:bCs/>
                <w:strike/>
                <w:color w:val="EE0000"/>
                <w:sz w:val="24"/>
                <w:szCs w:val="24"/>
              </w:rPr>
              <w:t>em cotas de fundos de investimento exclusivos</w:t>
            </w:r>
            <w:r w:rsidRPr="00D462F0">
              <w:rPr>
                <w:rFonts w:asciiTheme="majorHAnsi" w:hAnsiTheme="majorHAnsi" w:cstheme="majorHAnsi"/>
                <w:bCs/>
                <w:sz w:val="24"/>
                <w:szCs w:val="24"/>
              </w:rPr>
              <w:t>, deve observar o disposto no art. 364, §2ª, desta Resolução.</w:t>
            </w:r>
          </w:p>
        </w:tc>
        <w:tc>
          <w:tcPr>
            <w:tcW w:w="4074" w:type="dxa"/>
          </w:tcPr>
          <w:p w14:paraId="3961CB77"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Adaptação Resolução CMN nº 5202 e Resolução CVM nº175 - sem alteração material.</w:t>
            </w:r>
          </w:p>
          <w:p w14:paraId="02A7E3A5" w14:textId="77777777" w:rsidR="00A5652D" w:rsidRPr="00D462F0" w:rsidRDefault="00A5652D" w:rsidP="00D462F0">
            <w:pPr>
              <w:jc w:val="both"/>
              <w:rPr>
                <w:rFonts w:asciiTheme="majorHAnsi" w:hAnsiTheme="majorHAnsi" w:cstheme="majorHAnsi"/>
                <w:sz w:val="24"/>
                <w:szCs w:val="24"/>
              </w:rPr>
            </w:pPr>
          </w:p>
        </w:tc>
        <w:tc>
          <w:tcPr>
            <w:tcW w:w="4075" w:type="dxa"/>
          </w:tcPr>
          <w:p w14:paraId="7DD4F127" w14:textId="77C76E11" w:rsidR="00A5652D" w:rsidRPr="00D462F0" w:rsidRDefault="00A5652D"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Inciso IV do art. 4º do Decreto nº 10.411, de 2020.</w:t>
            </w:r>
          </w:p>
        </w:tc>
      </w:tr>
      <w:tr w:rsidR="00A5652D" w:rsidRPr="00C93770" w:rsidDel="0001369C" w14:paraId="3A26739F" w14:textId="77777777" w:rsidTr="1756A420">
        <w:tc>
          <w:tcPr>
            <w:tcW w:w="4074" w:type="dxa"/>
          </w:tcPr>
          <w:p w14:paraId="26D137E8" w14:textId="4CB733E7" w:rsidR="00A5652D" w:rsidRPr="00D462F0" w:rsidDel="0001369C" w:rsidRDefault="00A5652D" w:rsidP="008F3FAE">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435A941A" w14:textId="7132EF55" w:rsidR="00A5652D" w:rsidRPr="00D462F0" w:rsidDel="0001369C" w:rsidRDefault="00A5652D" w:rsidP="008F3FAE">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04F0749A" w14:textId="77777777" w:rsidR="00A5652D" w:rsidRPr="00D462F0" w:rsidDel="0001369C" w:rsidRDefault="00A5652D" w:rsidP="00D462F0">
            <w:pPr>
              <w:jc w:val="both"/>
              <w:rPr>
                <w:rFonts w:asciiTheme="majorHAnsi" w:hAnsiTheme="majorHAnsi" w:cstheme="majorHAnsi"/>
                <w:sz w:val="24"/>
                <w:szCs w:val="24"/>
              </w:rPr>
            </w:pPr>
          </w:p>
        </w:tc>
        <w:tc>
          <w:tcPr>
            <w:tcW w:w="4075" w:type="dxa"/>
          </w:tcPr>
          <w:p w14:paraId="17B5F28B" w14:textId="77777777" w:rsidR="00A5652D" w:rsidRPr="00D462F0" w:rsidDel="0001369C" w:rsidRDefault="00A5652D" w:rsidP="00D462F0">
            <w:pPr>
              <w:jc w:val="both"/>
              <w:rPr>
                <w:rFonts w:asciiTheme="majorHAnsi" w:hAnsiTheme="majorHAnsi" w:cstheme="majorHAnsi"/>
                <w:bCs/>
                <w:sz w:val="24"/>
                <w:szCs w:val="24"/>
              </w:rPr>
            </w:pPr>
          </w:p>
        </w:tc>
      </w:tr>
      <w:tr w:rsidR="00A5652D" w:rsidRPr="00C93770" w14:paraId="0A447FFB" w14:textId="77777777" w:rsidTr="1756A420">
        <w:tc>
          <w:tcPr>
            <w:tcW w:w="4074" w:type="dxa"/>
          </w:tcPr>
          <w:p w14:paraId="6073DDBE" w14:textId="77777777" w:rsidR="00A5652D" w:rsidRPr="00D462F0" w:rsidRDefault="00A5652D" w:rsidP="008F3FAE">
            <w:pPr>
              <w:jc w:val="center"/>
              <w:rPr>
                <w:rFonts w:asciiTheme="majorHAnsi" w:hAnsiTheme="majorHAnsi" w:cstheme="majorHAnsi"/>
                <w:b/>
                <w:bCs/>
                <w:color w:val="000000"/>
                <w:sz w:val="24"/>
                <w:szCs w:val="24"/>
              </w:rPr>
            </w:pPr>
            <w:r w:rsidRPr="00D462F0">
              <w:rPr>
                <w:rFonts w:asciiTheme="majorHAnsi" w:hAnsiTheme="majorHAnsi" w:cstheme="majorHAnsi"/>
                <w:b/>
                <w:bCs/>
                <w:color w:val="000000"/>
                <w:sz w:val="24"/>
                <w:szCs w:val="24"/>
              </w:rPr>
              <w:t>Sem referência anterior.</w:t>
            </w:r>
          </w:p>
          <w:p w14:paraId="31761AAA" w14:textId="77777777" w:rsidR="00A5652D" w:rsidRPr="00D462F0" w:rsidRDefault="00A5652D" w:rsidP="008F3FAE">
            <w:pPr>
              <w:jc w:val="center"/>
              <w:rPr>
                <w:rFonts w:asciiTheme="majorHAnsi" w:hAnsiTheme="majorHAnsi" w:cstheme="majorHAnsi"/>
                <w:b/>
                <w:bCs/>
                <w:color w:val="000000"/>
                <w:sz w:val="24"/>
                <w:szCs w:val="24"/>
              </w:rPr>
            </w:pPr>
          </w:p>
        </w:tc>
        <w:tc>
          <w:tcPr>
            <w:tcW w:w="4074" w:type="dxa"/>
          </w:tcPr>
          <w:p w14:paraId="0BEC31B2" w14:textId="4278D0C8" w:rsidR="00A5652D" w:rsidRPr="00D462F0" w:rsidRDefault="00A5652D" w:rsidP="008F3FAE">
            <w:pPr>
              <w:jc w:val="center"/>
              <w:rPr>
                <w:rFonts w:asciiTheme="majorHAnsi" w:hAnsiTheme="majorHAnsi" w:cstheme="majorHAnsi"/>
                <w:b/>
                <w:bCs/>
                <w:color w:val="0000FF"/>
                <w:sz w:val="24"/>
                <w:szCs w:val="24"/>
              </w:rPr>
            </w:pPr>
            <w:r w:rsidRPr="00D462F0">
              <w:rPr>
                <w:rFonts w:asciiTheme="majorHAnsi" w:hAnsiTheme="majorHAnsi" w:cstheme="majorHAnsi"/>
                <w:b/>
                <w:bCs/>
                <w:color w:val="0000FF"/>
                <w:sz w:val="24"/>
                <w:szCs w:val="24"/>
              </w:rPr>
              <w:t>Subseção III</w:t>
            </w:r>
          </w:p>
          <w:p w14:paraId="1AE9BFD4" w14:textId="7F3B3D2C" w:rsidR="00A5652D" w:rsidRPr="00D462F0" w:rsidRDefault="00A5652D" w:rsidP="008F3FAE">
            <w:pPr>
              <w:jc w:val="center"/>
              <w:rPr>
                <w:rFonts w:asciiTheme="majorHAnsi" w:hAnsiTheme="majorHAnsi" w:cstheme="majorHAnsi"/>
                <w:b/>
                <w:bCs/>
                <w:color w:val="000000"/>
                <w:sz w:val="24"/>
                <w:szCs w:val="24"/>
              </w:rPr>
            </w:pPr>
            <w:r w:rsidRPr="00D462F0">
              <w:rPr>
                <w:rFonts w:asciiTheme="majorHAnsi" w:hAnsiTheme="majorHAnsi" w:cstheme="majorHAnsi"/>
                <w:b/>
                <w:bCs/>
                <w:color w:val="0000FF"/>
                <w:sz w:val="24"/>
                <w:szCs w:val="24"/>
              </w:rPr>
              <w:t>Riscos e Impactos Ambientais, Sociais e de Governança</w:t>
            </w:r>
          </w:p>
        </w:tc>
        <w:tc>
          <w:tcPr>
            <w:tcW w:w="4074" w:type="dxa"/>
          </w:tcPr>
          <w:p w14:paraId="1470FA37" w14:textId="1EA6B414"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Subseção criada para abranger a regulamentação de observância dos §§ 4º e 5º do art. 10 da Resolução CMN nº 4.994, de 2022, alterada pela Resolução CMN nº 5.202, de 2025,</w:t>
            </w:r>
          </w:p>
        </w:tc>
        <w:tc>
          <w:tcPr>
            <w:tcW w:w="4075" w:type="dxa"/>
          </w:tcPr>
          <w:p w14:paraId="67933EBD" w14:textId="77777777" w:rsidR="00A5652D" w:rsidRPr="00D462F0" w:rsidRDefault="00A5652D" w:rsidP="00D462F0">
            <w:pPr>
              <w:jc w:val="both"/>
              <w:rPr>
                <w:rFonts w:asciiTheme="majorHAnsi" w:eastAsia="Calibri" w:hAnsiTheme="majorHAnsi" w:cstheme="majorHAnsi"/>
                <w:bCs/>
                <w:sz w:val="24"/>
                <w:szCs w:val="24"/>
              </w:rPr>
            </w:pPr>
            <w:r w:rsidRPr="00D462F0">
              <w:rPr>
                <w:rFonts w:asciiTheme="majorHAnsi" w:eastAsia="Times New Roman" w:hAnsiTheme="majorHAnsi" w:cstheme="majorHAnsi"/>
                <w:bCs/>
                <w:sz w:val="24"/>
                <w:szCs w:val="24"/>
              </w:rPr>
              <w:t xml:space="preserve">Inciso </w:t>
            </w:r>
            <w:r w:rsidRPr="00D462F0">
              <w:rPr>
                <w:rFonts w:asciiTheme="majorHAnsi" w:eastAsia="Calibri" w:hAnsiTheme="majorHAnsi" w:cstheme="majorHAnsi"/>
                <w:bCs/>
                <w:sz w:val="24"/>
                <w:szCs w:val="24"/>
              </w:rPr>
              <w:t>II</w:t>
            </w:r>
            <w:r w:rsidRPr="00D462F0">
              <w:rPr>
                <w:rFonts w:asciiTheme="majorHAnsi" w:eastAsia="Times New Roman"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p w14:paraId="6FC1AE33" w14:textId="5494B291"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regulamentação dos §§ 4º e 5º do art. 2º da Resolução CMN nº 4.994, de 2022, configura disciplinamento de obrigações expressamente delegadas à Previc pelo Conselho Monetário Nacional. O § 5º estabelece que as EFPC devem avaliar e dar transparência aos impactos ambientais, sociais ou de governança, observando segmentação e critérios definidos pela Previc.</w:t>
            </w:r>
          </w:p>
          <w:p w14:paraId="7444DD0D" w14:textId="77777777"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cumprimento dessa delegação é tecnicamente indissociável da regulamentação dos critérios de materialidade e relevância do § 4º. A expressão 'quando julgar material e </w:t>
            </w:r>
            <w:r w:rsidRPr="00D462F0">
              <w:rPr>
                <w:rFonts w:asciiTheme="majorHAnsi" w:hAnsiTheme="majorHAnsi" w:cstheme="majorHAnsi"/>
                <w:bCs/>
                <w:sz w:val="24"/>
                <w:szCs w:val="24"/>
              </w:rPr>
              <w:lastRenderedPageBreak/>
              <w:t>relevante' constitui pressuposto essencial para implementar adequadamente a avaliação e transparência determinadas pelo CMN, pois a ausência de parâmetros normativos tornaria inexequível o comando superior.</w:t>
            </w:r>
          </w:p>
          <w:p w14:paraId="10E125C0" w14:textId="77777777"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Não há alternativa regulatória viável para disciplinar a matéria, tendo em vista que a regulamentação dos critérios dos §§ 4º e 5º demanda instrumento normativo de caráter geral e abstrato. A delegação do CMN não pode ser atendida por portarias, notas técnicas ou outros atos administrativos de menor hierarquia normativa. A competência regulamentar da Previc para disciplinar investimentos de EFPC materializa-se exclusivamente por meio de Resolução, configurando ausência de alternativas jurídicas que dispensa a elaboração de AIR nos termos do decreto mencionado."</w:t>
            </w:r>
          </w:p>
          <w:p w14:paraId="4D3BCD6C" w14:textId="77777777" w:rsidR="00A5652D" w:rsidRPr="00D462F0" w:rsidRDefault="00A5652D" w:rsidP="00D462F0">
            <w:pPr>
              <w:jc w:val="both"/>
              <w:rPr>
                <w:rFonts w:asciiTheme="majorHAnsi" w:hAnsiTheme="majorHAnsi" w:cstheme="majorHAnsi"/>
                <w:bCs/>
                <w:sz w:val="24"/>
                <w:szCs w:val="24"/>
              </w:rPr>
            </w:pPr>
          </w:p>
        </w:tc>
      </w:tr>
      <w:tr w:rsidR="00A5652D" w:rsidRPr="00C93770" w14:paraId="00C0CF6E" w14:textId="77777777" w:rsidTr="1756A420">
        <w:tc>
          <w:tcPr>
            <w:tcW w:w="4074" w:type="dxa"/>
          </w:tcPr>
          <w:p w14:paraId="00EE6833" w14:textId="2416219F"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55201FDA" w14:textId="2871EB20"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368-A.  Para fins desta Subseção considera-se:</w:t>
            </w:r>
          </w:p>
        </w:tc>
        <w:tc>
          <w:tcPr>
            <w:tcW w:w="4074" w:type="dxa"/>
          </w:tcPr>
          <w:p w14:paraId="4C72D84B" w14:textId="35560331"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A inclusão destas definições visa estabelecer um vocabulário uniforme, fortalecendo a coerência das avaliações e promovendo a adoção de práticas de divulgação consistentes, sem engessar metodologias específicas. Os conceitos de risco social e risco ambiental têm como base a Resolução CMN 4943 (</w:t>
            </w:r>
            <w:r w:rsidRPr="00D462F0">
              <w:rPr>
                <w:rFonts w:asciiTheme="majorHAnsi" w:eastAsia="Calibri" w:hAnsiTheme="majorHAnsi" w:cstheme="majorHAnsi"/>
                <w:sz w:val="24"/>
                <w:szCs w:val="24"/>
              </w:rPr>
              <w:t>dispõe sobre a estrutura de gerenciamento de riscos, a estrutura de gerenciamento de capital e a política de divulgação de informações)</w:t>
            </w:r>
            <w:r w:rsidRPr="00D462F0">
              <w:rPr>
                <w:rFonts w:asciiTheme="majorHAnsi" w:hAnsiTheme="majorHAnsi" w:cstheme="majorHAnsi"/>
                <w:sz w:val="24"/>
                <w:szCs w:val="24"/>
              </w:rPr>
              <w:t xml:space="preserve">. As conceituações de riscos de governança e de integridade vem de pesquisa </w:t>
            </w:r>
            <w:r w:rsidRPr="00D462F0">
              <w:rPr>
                <w:rFonts w:asciiTheme="majorHAnsi" w:hAnsiTheme="majorHAnsi" w:cstheme="majorHAnsi"/>
                <w:sz w:val="24"/>
                <w:szCs w:val="24"/>
              </w:rPr>
              <w:lastRenderedPageBreak/>
              <w:t xml:space="preserve">bibliográfica, contribuições da </w:t>
            </w:r>
            <w:proofErr w:type="spellStart"/>
            <w:r w:rsidRPr="00D462F0">
              <w:rPr>
                <w:rFonts w:asciiTheme="majorHAnsi" w:hAnsiTheme="majorHAnsi" w:cstheme="majorHAnsi"/>
                <w:sz w:val="24"/>
                <w:szCs w:val="24"/>
              </w:rPr>
              <w:t>EFPCs</w:t>
            </w:r>
            <w:proofErr w:type="spellEnd"/>
            <w:r w:rsidRPr="00D462F0">
              <w:rPr>
                <w:rFonts w:asciiTheme="majorHAnsi" w:hAnsiTheme="majorHAnsi" w:cstheme="majorHAnsi"/>
                <w:sz w:val="24"/>
                <w:szCs w:val="24"/>
              </w:rPr>
              <w:t xml:space="preserve"> e resoluções de outros órgãos reguladores.</w:t>
            </w:r>
          </w:p>
        </w:tc>
        <w:tc>
          <w:tcPr>
            <w:tcW w:w="4075" w:type="dxa"/>
          </w:tcPr>
          <w:p w14:paraId="3FC53D1A" w14:textId="77777777" w:rsidR="00A5652D" w:rsidRPr="00D462F0" w:rsidRDefault="00A5652D"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lastRenderedPageBreak/>
              <w:t>Inciso II do art. 4º do Decreto nº 10.411, de 2020.</w:t>
            </w:r>
          </w:p>
          <w:p w14:paraId="6CE0A257" w14:textId="77777777" w:rsidR="00A5652D" w:rsidRPr="00D462F0" w:rsidRDefault="00A5652D" w:rsidP="00D462F0">
            <w:pPr>
              <w:jc w:val="both"/>
              <w:rPr>
                <w:rFonts w:asciiTheme="majorHAnsi" w:hAnsiTheme="majorHAnsi" w:cstheme="majorHAnsi"/>
                <w:bCs/>
                <w:sz w:val="24"/>
                <w:szCs w:val="24"/>
              </w:rPr>
            </w:pPr>
          </w:p>
        </w:tc>
      </w:tr>
      <w:tr w:rsidR="00A5652D" w:rsidRPr="00C93770" w14:paraId="0D4253C6" w14:textId="77777777" w:rsidTr="1756A420">
        <w:tc>
          <w:tcPr>
            <w:tcW w:w="4074" w:type="dxa"/>
          </w:tcPr>
          <w:p w14:paraId="7FE2711E" w14:textId="0014A8E2"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2D1A9B04" w14:textId="0CC5E12B"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 - aspectos sociais: fatores e condições relacionados aos direitos e garantias fundamentais, à promoção da equidade e à melhoria do bem-estar coletivo;</w:t>
            </w:r>
          </w:p>
        </w:tc>
        <w:tc>
          <w:tcPr>
            <w:tcW w:w="4074" w:type="dxa"/>
          </w:tcPr>
          <w:p w14:paraId="70B9A4EB" w14:textId="77777777" w:rsidR="00A5652D" w:rsidRPr="00D462F0" w:rsidRDefault="00A5652D" w:rsidP="00D462F0">
            <w:pPr>
              <w:jc w:val="both"/>
              <w:rPr>
                <w:rFonts w:asciiTheme="majorHAnsi" w:hAnsiTheme="majorHAnsi" w:cstheme="majorHAnsi"/>
                <w:sz w:val="24"/>
                <w:szCs w:val="24"/>
              </w:rPr>
            </w:pPr>
          </w:p>
        </w:tc>
        <w:tc>
          <w:tcPr>
            <w:tcW w:w="4075" w:type="dxa"/>
          </w:tcPr>
          <w:p w14:paraId="1E5BF67B" w14:textId="77777777" w:rsidR="00A5652D" w:rsidRPr="00D462F0" w:rsidRDefault="00A5652D" w:rsidP="00D462F0">
            <w:pPr>
              <w:spacing w:after="160"/>
              <w:jc w:val="both"/>
              <w:rPr>
                <w:rFonts w:asciiTheme="majorHAnsi" w:eastAsia="Calibri" w:hAnsiTheme="majorHAnsi" w:cstheme="majorHAnsi"/>
                <w:bCs/>
                <w:sz w:val="24"/>
                <w:szCs w:val="24"/>
              </w:rPr>
            </w:pPr>
            <w:r w:rsidRPr="00D462F0">
              <w:rPr>
                <w:rFonts w:asciiTheme="majorHAnsi" w:eastAsia="Times New Roman" w:hAnsiTheme="majorHAnsi" w:cstheme="majorHAnsi"/>
                <w:bCs/>
                <w:sz w:val="24"/>
                <w:szCs w:val="24"/>
              </w:rPr>
              <w:t xml:space="preserve">Inciso </w:t>
            </w:r>
            <w:r w:rsidRPr="00D462F0">
              <w:rPr>
                <w:rFonts w:asciiTheme="majorHAnsi" w:eastAsia="Calibri" w:hAnsiTheme="majorHAnsi" w:cstheme="majorHAnsi"/>
                <w:bCs/>
                <w:sz w:val="24"/>
                <w:szCs w:val="24"/>
              </w:rPr>
              <w:t>II</w:t>
            </w:r>
            <w:r w:rsidRPr="00D462F0">
              <w:rPr>
                <w:rFonts w:asciiTheme="majorHAnsi" w:eastAsia="Times New Roman"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p w14:paraId="1CF8BB9E" w14:textId="77777777" w:rsidR="00A5652D" w:rsidRPr="00D462F0" w:rsidRDefault="00A5652D" w:rsidP="00D462F0">
            <w:pPr>
              <w:jc w:val="both"/>
              <w:rPr>
                <w:rFonts w:asciiTheme="majorHAnsi" w:hAnsiTheme="majorHAnsi" w:cstheme="majorHAnsi"/>
                <w:bCs/>
                <w:sz w:val="24"/>
                <w:szCs w:val="24"/>
              </w:rPr>
            </w:pPr>
          </w:p>
        </w:tc>
      </w:tr>
      <w:tr w:rsidR="00A5652D" w:rsidRPr="00C93770" w14:paraId="356DFE84" w14:textId="77777777" w:rsidTr="1756A420">
        <w:tc>
          <w:tcPr>
            <w:tcW w:w="4074" w:type="dxa"/>
          </w:tcPr>
          <w:p w14:paraId="44948F52" w14:textId="339F8A98"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124B2611" w14:textId="490B8794"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II - aspectos ambientais: fatores e condições associados à conservação e ao uso responsável dos recursos naturais, à proteção dos ecossistemas, ao processo de transição para uma economia de baixo carbono e à exposição a eventos climáticos extremos ou a alterações ambientais de longo prazo relacionadas a mudanças em padrões climáticos;</w:t>
            </w:r>
          </w:p>
        </w:tc>
        <w:tc>
          <w:tcPr>
            <w:tcW w:w="4074" w:type="dxa"/>
          </w:tcPr>
          <w:p w14:paraId="68001584" w14:textId="5A5D09C3"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Junção entre os ambientais e os climáticos.</w:t>
            </w:r>
          </w:p>
        </w:tc>
        <w:tc>
          <w:tcPr>
            <w:tcW w:w="4075" w:type="dxa"/>
          </w:tcPr>
          <w:p w14:paraId="664663C2" w14:textId="3E4C653E" w:rsidR="00A5652D" w:rsidRPr="00D462F0" w:rsidRDefault="00A5652D"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Inciso </w:t>
            </w:r>
            <w:r w:rsidRPr="00D462F0">
              <w:rPr>
                <w:rFonts w:asciiTheme="majorHAnsi" w:eastAsia="Calibri" w:hAnsiTheme="majorHAnsi" w:cstheme="majorHAnsi"/>
                <w:bCs/>
                <w:sz w:val="24"/>
                <w:szCs w:val="24"/>
              </w:rPr>
              <w:t>II</w:t>
            </w:r>
            <w:r w:rsidRPr="00D462F0">
              <w:rPr>
                <w:rFonts w:asciiTheme="majorHAnsi" w:eastAsia="Times New Roman"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tc>
      </w:tr>
      <w:tr w:rsidR="00A5652D" w:rsidRPr="00C93770" w14:paraId="4218A1E7" w14:textId="77777777" w:rsidTr="1756A420">
        <w:tc>
          <w:tcPr>
            <w:tcW w:w="4074" w:type="dxa"/>
          </w:tcPr>
          <w:p w14:paraId="57C9DD27" w14:textId="0A94AE4F"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7635FAC7" w14:textId="13D4C87A"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III - aspectos de governança, subdivididos nas seguintes vertentes:</w:t>
            </w:r>
          </w:p>
        </w:tc>
        <w:tc>
          <w:tcPr>
            <w:tcW w:w="4074" w:type="dxa"/>
          </w:tcPr>
          <w:p w14:paraId="0FE2ADCA" w14:textId="77777777" w:rsidR="00A5652D" w:rsidRPr="00D462F0" w:rsidRDefault="00A5652D" w:rsidP="00D462F0">
            <w:pPr>
              <w:jc w:val="both"/>
              <w:rPr>
                <w:rFonts w:asciiTheme="majorHAnsi" w:hAnsiTheme="majorHAnsi" w:cstheme="majorHAnsi"/>
                <w:sz w:val="24"/>
                <w:szCs w:val="24"/>
              </w:rPr>
            </w:pPr>
          </w:p>
        </w:tc>
        <w:tc>
          <w:tcPr>
            <w:tcW w:w="4075" w:type="dxa"/>
          </w:tcPr>
          <w:p w14:paraId="651BB8B3" w14:textId="77777777" w:rsidR="00A5652D" w:rsidRPr="00D462F0" w:rsidRDefault="00A5652D"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p w14:paraId="0631DDDA" w14:textId="77777777" w:rsidR="00A5652D" w:rsidRPr="00D462F0" w:rsidRDefault="00A5652D" w:rsidP="00D462F0">
            <w:pPr>
              <w:jc w:val="both"/>
              <w:rPr>
                <w:rFonts w:asciiTheme="majorHAnsi" w:hAnsiTheme="majorHAnsi" w:cstheme="majorHAnsi"/>
                <w:bCs/>
                <w:sz w:val="24"/>
                <w:szCs w:val="24"/>
              </w:rPr>
            </w:pPr>
          </w:p>
        </w:tc>
      </w:tr>
      <w:tr w:rsidR="00A5652D" w:rsidRPr="00C93770" w14:paraId="05775F72" w14:textId="77777777" w:rsidTr="1756A420">
        <w:tc>
          <w:tcPr>
            <w:tcW w:w="4074" w:type="dxa"/>
          </w:tcPr>
          <w:p w14:paraId="4607ED1D" w14:textId="04EFB996"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39205557" w14:textId="738996B2"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a) estruturas de governança: fatores e condições relacionados à estrutura e aos processos de tomada de decisão, à transparência, ao controle interno e à prevenção e tratamento de conflitos de interesse; e</w:t>
            </w:r>
          </w:p>
        </w:tc>
        <w:tc>
          <w:tcPr>
            <w:tcW w:w="4074" w:type="dxa"/>
          </w:tcPr>
          <w:p w14:paraId="2876C259" w14:textId="77777777" w:rsidR="00A5652D" w:rsidRPr="00D462F0" w:rsidRDefault="00A5652D" w:rsidP="00D462F0">
            <w:pPr>
              <w:jc w:val="both"/>
              <w:rPr>
                <w:rFonts w:asciiTheme="majorHAnsi" w:hAnsiTheme="majorHAnsi" w:cstheme="majorHAnsi"/>
                <w:sz w:val="24"/>
                <w:szCs w:val="24"/>
              </w:rPr>
            </w:pPr>
          </w:p>
        </w:tc>
        <w:tc>
          <w:tcPr>
            <w:tcW w:w="4075" w:type="dxa"/>
          </w:tcPr>
          <w:p w14:paraId="6F0A9EB4" w14:textId="00672B8C"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1E376648" w14:textId="77777777" w:rsidTr="1756A420">
        <w:tc>
          <w:tcPr>
            <w:tcW w:w="4074" w:type="dxa"/>
          </w:tcPr>
          <w:p w14:paraId="4F955C39" w14:textId="7BAF5B66"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2FFFDF4F" w14:textId="10FE3729"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b) integridade: fatores e condições relativos à observância de princípios éticos, ao cumprimento de normas de probidade, à prevenção de fraudes, desvios de conduta e práticas de corrupção.</w:t>
            </w:r>
          </w:p>
        </w:tc>
        <w:tc>
          <w:tcPr>
            <w:tcW w:w="4074" w:type="dxa"/>
          </w:tcPr>
          <w:p w14:paraId="0626A30F" w14:textId="77777777" w:rsidR="00A5652D" w:rsidRPr="00D462F0" w:rsidRDefault="00A5652D" w:rsidP="00D462F0">
            <w:pPr>
              <w:jc w:val="both"/>
              <w:rPr>
                <w:rFonts w:asciiTheme="majorHAnsi" w:hAnsiTheme="majorHAnsi" w:cstheme="majorHAnsi"/>
                <w:sz w:val="24"/>
                <w:szCs w:val="24"/>
              </w:rPr>
            </w:pPr>
          </w:p>
        </w:tc>
        <w:tc>
          <w:tcPr>
            <w:tcW w:w="4075" w:type="dxa"/>
          </w:tcPr>
          <w:p w14:paraId="134A2342" w14:textId="0396D433"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2A0BE2A5" w14:textId="77777777" w:rsidTr="1756A420">
        <w:tc>
          <w:tcPr>
            <w:tcW w:w="4074" w:type="dxa"/>
          </w:tcPr>
          <w:p w14:paraId="4E5BA0B0" w14:textId="4C576221"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2C30532F" w14:textId="4F5C6176"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Art. 368-B.  A EFPC deve julgar se os aspectos relacionados à sustentabilidade econômica, ambiental, social e de governança de </w:t>
            </w:r>
            <w:r w:rsidRPr="00D462F0">
              <w:rPr>
                <w:rFonts w:asciiTheme="majorHAnsi" w:hAnsiTheme="majorHAnsi" w:cstheme="majorHAnsi"/>
                <w:bCs/>
                <w:color w:val="0000FF"/>
                <w:sz w:val="24"/>
                <w:szCs w:val="24"/>
              </w:rPr>
              <w:lastRenderedPageBreak/>
              <w:t>seus investimentos são materiais e relevantes.</w:t>
            </w:r>
          </w:p>
        </w:tc>
        <w:tc>
          <w:tcPr>
            <w:tcW w:w="4074" w:type="dxa"/>
          </w:tcPr>
          <w:p w14:paraId="4CEFA06F"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Novo artigo para observância da Previc ao §4º do Art. 10 da Resolução CMN nº 4.994, de 2022, </w:t>
            </w:r>
          </w:p>
          <w:p w14:paraId="54F40458" w14:textId="33A14562"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Entendeu-se que a alteração promovida no parágrafo 4º do artigo 10 da </w:t>
            </w:r>
            <w:r w:rsidRPr="00D462F0">
              <w:rPr>
                <w:rFonts w:asciiTheme="majorHAnsi" w:hAnsiTheme="majorHAnsi" w:cstheme="majorHAnsi"/>
                <w:sz w:val="24"/>
                <w:szCs w:val="24"/>
              </w:rPr>
              <w:lastRenderedPageBreak/>
              <w:t>Resolução CMN nº 4.994, de 2022, pela Resolução CMN nº 5.202, de 2025, necessita ser regulamentada para definição quanto à materialidade e relevância mencionadas na norma. Este entendimento se baseou na inserção do §5º no mesmo artigo 10, que delegou para O Previc a definição de procedimento para avaliação e transparência dos impactos ASG da carteira da EFPC.</w:t>
            </w:r>
          </w:p>
        </w:tc>
        <w:tc>
          <w:tcPr>
            <w:tcW w:w="4075" w:type="dxa"/>
          </w:tcPr>
          <w:p w14:paraId="30578EBE" w14:textId="7AF5CF94"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lastRenderedPageBreak/>
              <w:t>Inciso II do art. 4º do Decreto nº 10.411, de 2020.</w:t>
            </w:r>
          </w:p>
        </w:tc>
      </w:tr>
      <w:tr w:rsidR="00A5652D" w:rsidRPr="00C93770" w14:paraId="7376043C" w14:textId="77777777" w:rsidTr="1756A420">
        <w:tc>
          <w:tcPr>
            <w:tcW w:w="4074" w:type="dxa"/>
          </w:tcPr>
          <w:p w14:paraId="2502A2B1" w14:textId="432966D0"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71283677" w14:textId="265A11C1"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1º  A análise para determinar a materialidade e relevância dos fatores de sustentabilidade econômica, ambiental e social deve, no mínimo:</w:t>
            </w:r>
          </w:p>
        </w:tc>
        <w:tc>
          <w:tcPr>
            <w:tcW w:w="4074" w:type="dxa"/>
          </w:tcPr>
          <w:p w14:paraId="2EBE6F17" w14:textId="6867EAEF"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O parágrafo 1º define uma espécie de filtro interno que deve ser feito pela própria EFPC. Este “filtro” é um documento da EFPC (que deve ser contemplado alínea “h” do inciso VII do art. 214 da política de investimentos) que vai determinar quais investimentos estarão sujeitos à análise de materialidade e relevância e deve observar o disposto nos incisos abaixo.</w:t>
            </w:r>
          </w:p>
        </w:tc>
        <w:tc>
          <w:tcPr>
            <w:tcW w:w="4075" w:type="dxa"/>
          </w:tcPr>
          <w:p w14:paraId="5AB88292" w14:textId="75ACBA26"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70888911" w14:textId="77777777" w:rsidTr="1756A420">
        <w:tc>
          <w:tcPr>
            <w:tcW w:w="4074" w:type="dxa"/>
          </w:tcPr>
          <w:p w14:paraId="118D72E7" w14:textId="7E6E3026"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7A7DBA31" w14:textId="643A14D1"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 - adotar conceito de dupla materialidade, considerando:</w:t>
            </w:r>
          </w:p>
        </w:tc>
        <w:tc>
          <w:tcPr>
            <w:tcW w:w="4074" w:type="dxa"/>
          </w:tcPr>
          <w:p w14:paraId="445CE56F" w14:textId="233D8F3D"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Padrão na construção da análise de materialidade na academia e nas contribuições recebidas de EFPC. Consiste na avaliação, em separado, dos impactos internos e externos.</w:t>
            </w:r>
          </w:p>
        </w:tc>
        <w:tc>
          <w:tcPr>
            <w:tcW w:w="4075" w:type="dxa"/>
          </w:tcPr>
          <w:p w14:paraId="3ADAA213" w14:textId="0BACCD90"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61FF4AC3" w14:textId="77777777" w:rsidTr="1756A420">
        <w:tc>
          <w:tcPr>
            <w:tcW w:w="4074" w:type="dxa"/>
          </w:tcPr>
          <w:p w14:paraId="40FF4D08" w14:textId="7F56BBD7"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1D3B0F7D" w14:textId="3D711F97"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a) materialidade de impacto: avaliação de efeitos positivos, negativos ou neutros que os investimentos podem gerar no meio ambiente e na sociedade;</w:t>
            </w:r>
          </w:p>
        </w:tc>
        <w:tc>
          <w:tcPr>
            <w:tcW w:w="4074" w:type="dxa"/>
          </w:tcPr>
          <w:p w14:paraId="7DCDF13E" w14:textId="37D5C0B1"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Dispositivo normativo que busca definir materialidade de impacto.</w:t>
            </w:r>
          </w:p>
        </w:tc>
        <w:tc>
          <w:tcPr>
            <w:tcW w:w="4075" w:type="dxa"/>
          </w:tcPr>
          <w:p w14:paraId="60ACD8A0" w14:textId="1E4E222A"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64FC7E2B" w14:textId="77777777" w:rsidTr="1756A420">
        <w:tc>
          <w:tcPr>
            <w:tcW w:w="4074" w:type="dxa"/>
          </w:tcPr>
          <w:p w14:paraId="19E41679" w14:textId="36817342"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5E3EEE8E" w14:textId="1F2F8831"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b) materialidade financeira: análise da influência de fatores ambientais, sociais e de governança nos resultados financeiros, incluindo riscos e oportunidades que poderiam afetar significativamente a capacidade de honrar os compromissos futuros dos planos de benefícios.</w:t>
            </w:r>
          </w:p>
        </w:tc>
        <w:tc>
          <w:tcPr>
            <w:tcW w:w="4074" w:type="dxa"/>
          </w:tcPr>
          <w:p w14:paraId="2F52AC2E" w14:textId="7D8871C6"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Dispositivo normativo que busca definir materialidade financeira.</w:t>
            </w:r>
          </w:p>
        </w:tc>
        <w:tc>
          <w:tcPr>
            <w:tcW w:w="4075" w:type="dxa"/>
          </w:tcPr>
          <w:p w14:paraId="11A43E73" w14:textId="7681BF0C"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1BE7580D" w14:textId="77777777" w:rsidTr="1756A420">
        <w:tc>
          <w:tcPr>
            <w:tcW w:w="4074" w:type="dxa"/>
          </w:tcPr>
          <w:p w14:paraId="458120E5" w14:textId="6A8B34F4"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lastRenderedPageBreak/>
              <w:t>Sem referência anterior.</w:t>
            </w:r>
          </w:p>
        </w:tc>
        <w:tc>
          <w:tcPr>
            <w:tcW w:w="4074" w:type="dxa"/>
          </w:tcPr>
          <w:p w14:paraId="05D7D2E7" w14:textId="797B6FBF"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II - uso de indicadores e métricas setoriais, notas de riscos temáticos ou ratings especializados disponíveis ou proprietários; e</w:t>
            </w:r>
          </w:p>
        </w:tc>
        <w:tc>
          <w:tcPr>
            <w:tcW w:w="4074" w:type="dxa"/>
          </w:tcPr>
          <w:p w14:paraId="43C29600" w14:textId="0F7ADCF0"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Dispositivo normativo que busca incentivar a tomada de decisões baseada em dados.</w:t>
            </w:r>
          </w:p>
        </w:tc>
        <w:tc>
          <w:tcPr>
            <w:tcW w:w="4075" w:type="dxa"/>
          </w:tcPr>
          <w:p w14:paraId="1B014CAD" w14:textId="777AA20D"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39F834F8" w14:textId="77777777" w:rsidTr="1756A420">
        <w:tc>
          <w:tcPr>
            <w:tcW w:w="4074" w:type="dxa"/>
          </w:tcPr>
          <w:p w14:paraId="15299DFA" w14:textId="36A7B5C6"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789E3C96" w14:textId="5AF539E1"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III - alinhar a relevância do tema frente aos objetivos de longo prazo dos planos de benefícios;</w:t>
            </w:r>
          </w:p>
        </w:tc>
        <w:tc>
          <w:tcPr>
            <w:tcW w:w="4074" w:type="dxa"/>
          </w:tcPr>
          <w:p w14:paraId="69872C3E" w14:textId="0CBA5B7C"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Incentivar que a análise de materialidade cumpra seu papel no alinhamento da seleção de investimentos e a visão dos responsáveis pela gestão</w:t>
            </w:r>
          </w:p>
        </w:tc>
        <w:tc>
          <w:tcPr>
            <w:tcW w:w="4075" w:type="dxa"/>
          </w:tcPr>
          <w:p w14:paraId="01B93A24" w14:textId="6454695B"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095F7CE2" w14:textId="77777777" w:rsidTr="1756A420">
        <w:tc>
          <w:tcPr>
            <w:tcW w:w="4074" w:type="dxa"/>
          </w:tcPr>
          <w:p w14:paraId="0214E94A" w14:textId="155AA293"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7746622B" w14:textId="511BA510"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2º  Para cumprimento do disposto no § 1º, a EFPC pode selecionar uma ou mais carteiras de investimentos ou um ou mais segmentos de aplicação dos recursos garantidores do plano de benefícios.</w:t>
            </w:r>
          </w:p>
        </w:tc>
        <w:tc>
          <w:tcPr>
            <w:tcW w:w="4074" w:type="dxa"/>
          </w:tcPr>
          <w:p w14:paraId="623104DB" w14:textId="2C98317A"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A inclusão do parágrafo visa deixar mais evidente que a EFPC pode realizar a análise de materialidade apenas em parte de sua carteira de investimentos, caso entenda que essa parte é relevante.</w:t>
            </w:r>
          </w:p>
        </w:tc>
        <w:tc>
          <w:tcPr>
            <w:tcW w:w="4075" w:type="dxa"/>
          </w:tcPr>
          <w:p w14:paraId="0D94326F" w14:textId="65AEE6EA"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0F61A071" w14:textId="77777777" w:rsidTr="1756A420">
        <w:tc>
          <w:tcPr>
            <w:tcW w:w="4074" w:type="dxa"/>
          </w:tcPr>
          <w:p w14:paraId="2F469231" w14:textId="01DD97CC"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41631C18" w14:textId="2D151918"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3º  Os investimentos julgados materiais e relevantes pela EFPC devem ter os riscos relacionados à sustentabilidade econômica, ambiental, social e de governança identificados, analisados, avaliados, controlados e monitorados.</w:t>
            </w:r>
          </w:p>
        </w:tc>
        <w:tc>
          <w:tcPr>
            <w:tcW w:w="4074" w:type="dxa"/>
          </w:tcPr>
          <w:p w14:paraId="1D70791A"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 lógica do dispositivo é que, a partir do filtro criado pela própria EFPC seja utilizado para fazer a triagem dos tipos de ativo que estarão sujeitos a terem aspectos ASG analisados durante a análise de riscos do ativo.</w:t>
            </w:r>
          </w:p>
          <w:p w14:paraId="1239AAB3" w14:textId="77777777" w:rsidR="00A5652D" w:rsidRPr="00D462F0" w:rsidRDefault="00A5652D" w:rsidP="00D462F0">
            <w:pPr>
              <w:jc w:val="both"/>
              <w:rPr>
                <w:rFonts w:asciiTheme="majorHAnsi" w:hAnsiTheme="majorHAnsi" w:cstheme="majorHAnsi"/>
                <w:sz w:val="24"/>
                <w:szCs w:val="24"/>
              </w:rPr>
            </w:pPr>
          </w:p>
        </w:tc>
        <w:tc>
          <w:tcPr>
            <w:tcW w:w="4075" w:type="dxa"/>
          </w:tcPr>
          <w:p w14:paraId="495650AC" w14:textId="7EE29A95"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4F03BDC1" w14:textId="77777777" w:rsidTr="1756A420">
        <w:tc>
          <w:tcPr>
            <w:tcW w:w="4074" w:type="dxa"/>
          </w:tcPr>
          <w:p w14:paraId="2F54CD3E" w14:textId="5651328D"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63529438" w14:textId="040D1EC6"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4º  O gerenciamentos dos riscos de que trata o § 3º devem ser:</w:t>
            </w:r>
          </w:p>
        </w:tc>
        <w:tc>
          <w:tcPr>
            <w:tcW w:w="4074" w:type="dxa"/>
          </w:tcPr>
          <w:p w14:paraId="720D1A3B" w14:textId="0662335A"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Dispositivo normativo que busca disciplinar a análise de risco dos ativos selecionados após aplicação do filtro pela EFPC.</w:t>
            </w:r>
          </w:p>
        </w:tc>
        <w:tc>
          <w:tcPr>
            <w:tcW w:w="4075" w:type="dxa"/>
          </w:tcPr>
          <w:p w14:paraId="7BB44D3B" w14:textId="0058B7A0"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44DFAAB9" w14:textId="77777777" w:rsidTr="1756A420">
        <w:tc>
          <w:tcPr>
            <w:tcW w:w="4074" w:type="dxa"/>
          </w:tcPr>
          <w:p w14:paraId="5D936F8D" w14:textId="668923E1"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7C2B5746" w14:textId="363255C4"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 – proporcionais ao montante investido e à relevância dos riscos dos ativos ou carteiras selecionadas, segundo critérios definidos pela EFPC;</w:t>
            </w:r>
          </w:p>
        </w:tc>
        <w:tc>
          <w:tcPr>
            <w:tcW w:w="4074" w:type="dxa"/>
          </w:tcPr>
          <w:p w14:paraId="25C01D94" w14:textId="44111F10"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Dispositivo normativo que traz a ideia de proporcionalidade, ou seja, a análise deve ser proporcional ao montante investido e à relevância dos riscos.</w:t>
            </w:r>
          </w:p>
        </w:tc>
        <w:tc>
          <w:tcPr>
            <w:tcW w:w="4075" w:type="dxa"/>
          </w:tcPr>
          <w:p w14:paraId="563B8810" w14:textId="5FE18100"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526B85C6" w14:textId="77777777" w:rsidTr="1756A420">
        <w:tc>
          <w:tcPr>
            <w:tcW w:w="4074" w:type="dxa"/>
          </w:tcPr>
          <w:p w14:paraId="53A55E09" w14:textId="691ED52F"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0A156F84" w14:textId="5EE55366"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II – adequados às características dos planos de benefícios, considerados o porte e complexidade EFPC que os administra.</w:t>
            </w:r>
          </w:p>
        </w:tc>
        <w:tc>
          <w:tcPr>
            <w:tcW w:w="4074" w:type="dxa"/>
          </w:tcPr>
          <w:p w14:paraId="7363D22C" w14:textId="1EBD5C6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Dispositivo normativo também voltado à ideia de proporcionalidade, com objetivo de delimitar que o perfil previdenciário e porte da EFPC devem ser levados em consideração na análise de riscos </w:t>
            </w:r>
          </w:p>
        </w:tc>
        <w:tc>
          <w:tcPr>
            <w:tcW w:w="4075" w:type="dxa"/>
          </w:tcPr>
          <w:p w14:paraId="5782DD2A" w14:textId="618EA7EB"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1F564CE2" w14:textId="77777777" w:rsidTr="1756A420">
        <w:tc>
          <w:tcPr>
            <w:tcW w:w="4074" w:type="dxa"/>
          </w:tcPr>
          <w:p w14:paraId="01F7DDE4" w14:textId="38CCCDAB"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1D0828F4" w14:textId="58AA8A1D"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Art. 368-C.  A EFPC deve divulgar informações referentes aos impactos </w:t>
            </w:r>
            <w:r w:rsidRPr="00D462F0">
              <w:rPr>
                <w:rFonts w:asciiTheme="majorHAnsi" w:hAnsiTheme="majorHAnsi" w:cstheme="majorHAnsi"/>
                <w:bCs/>
                <w:color w:val="0000FF"/>
                <w:sz w:val="24"/>
                <w:szCs w:val="24"/>
              </w:rPr>
              <w:lastRenderedPageBreak/>
              <w:t>ambientais, sociais ou de governança relacionados a carteira de investimentos dos planos de benefícios, abrangendo, no mínimo:</w:t>
            </w:r>
          </w:p>
        </w:tc>
        <w:tc>
          <w:tcPr>
            <w:tcW w:w="4074" w:type="dxa"/>
          </w:tcPr>
          <w:p w14:paraId="1BE5F9A4"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Novo artigo para observância da Previc ao §5º do Art. 10 da Resolução CMN nº </w:t>
            </w:r>
            <w:r w:rsidRPr="00D462F0">
              <w:rPr>
                <w:rFonts w:asciiTheme="majorHAnsi" w:hAnsiTheme="majorHAnsi" w:cstheme="majorHAnsi"/>
                <w:sz w:val="24"/>
                <w:szCs w:val="24"/>
              </w:rPr>
              <w:lastRenderedPageBreak/>
              <w:t>4.994, de 2022. O artigo também regulamenta a Resolução CNPC nº 32, de 2019, considerando ser a norma que trata sobre o RAI.</w:t>
            </w:r>
          </w:p>
          <w:p w14:paraId="494E943D"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Optou-se pela utilização do RAI, para que não fosse determinado às EFPC a criação de novo documento de transparência. </w:t>
            </w:r>
          </w:p>
          <w:p w14:paraId="49FC1AC8" w14:textId="7A8B33C9"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Redação alternativa (menos perene, porém mais precisa): </w:t>
            </w:r>
          </w:p>
          <w:p w14:paraId="113F34D0"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Art. X A EFPC enquadrada no segmento S1 deve, nos termos do §5º do Art. 10 da Resolução CMN nº 4.994, de 2022, elaborar capítulo específico no Relatório Anual de Informações, denominado Relatório de Transparência ASG, contendo:</w:t>
            </w:r>
          </w:p>
          <w:p w14:paraId="5D17EA2A" w14:textId="15950721" w:rsidR="00A5652D" w:rsidRPr="00D462F0" w:rsidRDefault="00A5652D" w:rsidP="00D462F0">
            <w:pPr>
              <w:jc w:val="both"/>
              <w:rPr>
                <w:rFonts w:asciiTheme="majorHAnsi" w:hAnsiTheme="majorHAnsi" w:cstheme="majorHAnsi"/>
                <w:sz w:val="24"/>
                <w:szCs w:val="24"/>
              </w:rPr>
            </w:pPr>
          </w:p>
        </w:tc>
        <w:tc>
          <w:tcPr>
            <w:tcW w:w="4075" w:type="dxa"/>
          </w:tcPr>
          <w:p w14:paraId="797F2FB6" w14:textId="4D8B9900"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lastRenderedPageBreak/>
              <w:t>Inciso II do art. 4º do Decreto nº 10.411, de 2020.</w:t>
            </w:r>
          </w:p>
        </w:tc>
      </w:tr>
      <w:tr w:rsidR="00A5652D" w:rsidRPr="00C93770" w14:paraId="65F532B0" w14:textId="77777777" w:rsidTr="1756A420">
        <w:tc>
          <w:tcPr>
            <w:tcW w:w="4074" w:type="dxa"/>
          </w:tcPr>
          <w:p w14:paraId="4CD04601" w14:textId="7F798278"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6D1A6E46" w14:textId="738F34E5"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 - as estratégias que a EFPC utiliza para gerenciar os riscos e oportunidades relacionados à sustentabilidade nos horizontes de curto, médio e longo prazos;</w:t>
            </w:r>
          </w:p>
        </w:tc>
        <w:tc>
          <w:tcPr>
            <w:tcW w:w="4074" w:type="dxa"/>
          </w:tcPr>
          <w:p w14:paraId="57ED2668"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Elencar as ações efetivas para prevenção, mitigação ou compensação dos riscos e para aproveitar as oportunidades ASG </w:t>
            </w:r>
          </w:p>
          <w:p w14:paraId="2A05726F" w14:textId="77777777" w:rsidR="00A5652D" w:rsidRPr="00D462F0" w:rsidRDefault="00A5652D" w:rsidP="00D462F0">
            <w:pPr>
              <w:jc w:val="both"/>
              <w:rPr>
                <w:rFonts w:asciiTheme="majorHAnsi" w:hAnsiTheme="majorHAnsi" w:cstheme="majorHAnsi"/>
                <w:sz w:val="24"/>
                <w:szCs w:val="24"/>
              </w:rPr>
            </w:pPr>
          </w:p>
        </w:tc>
        <w:tc>
          <w:tcPr>
            <w:tcW w:w="4075" w:type="dxa"/>
          </w:tcPr>
          <w:p w14:paraId="2E03E1AB" w14:textId="3FE74F4E"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082B993C" w14:textId="77777777" w:rsidTr="1756A420">
        <w:tc>
          <w:tcPr>
            <w:tcW w:w="4074" w:type="dxa"/>
          </w:tcPr>
          <w:p w14:paraId="0AA6746A" w14:textId="27DA2FEA"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2ECCBE41" w14:textId="786CEFE8"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II - o desempenho da EFPC com relação aos riscos e oportunidades relacionados à sustentabilidade, incluindo o progresso em relação a quaisquer metas que a entidade tenha definido ou cujo cumprimento seja requerido por lei ou regulamento;</w:t>
            </w:r>
          </w:p>
        </w:tc>
        <w:tc>
          <w:tcPr>
            <w:tcW w:w="4074" w:type="dxa"/>
          </w:tcPr>
          <w:p w14:paraId="7FABA2D8" w14:textId="063C9790"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Objetivo é trazer quantificação mínima das informações. Considerando que não houve ainda a conclusão dos trabalhos de taxonomia sustentável, optou-se por criar obrigação para que as EFPC definam parâmetros quantitativos a seu critério e os cumpra.</w:t>
            </w:r>
          </w:p>
        </w:tc>
        <w:tc>
          <w:tcPr>
            <w:tcW w:w="4075" w:type="dxa"/>
          </w:tcPr>
          <w:p w14:paraId="7693337F" w14:textId="5D8F2197"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4A70E391" w14:textId="77777777" w:rsidTr="1756A420">
        <w:tc>
          <w:tcPr>
            <w:tcW w:w="4074" w:type="dxa"/>
          </w:tcPr>
          <w:p w14:paraId="0BA23D49" w14:textId="5708731F"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6A15CC9E" w14:textId="7A356139"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III - incluir as informações necessárias para a compreensão dos impactos ambientais, sociais ou de governança da carteira de investimento dos planos de benefícios;</w:t>
            </w:r>
          </w:p>
        </w:tc>
        <w:tc>
          <w:tcPr>
            <w:tcW w:w="4074" w:type="dxa"/>
          </w:tcPr>
          <w:p w14:paraId="6157C4F4" w14:textId="6CDFB64C"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Objetivo é trazer o conceito de suficiência. Relatório deve trazer toda informação necessária para a compreensão do cenário.</w:t>
            </w:r>
          </w:p>
        </w:tc>
        <w:tc>
          <w:tcPr>
            <w:tcW w:w="4075" w:type="dxa"/>
          </w:tcPr>
          <w:p w14:paraId="7F2BB2A2" w14:textId="5D6185B5"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3D2F332D" w14:textId="77777777" w:rsidTr="1756A420">
        <w:tc>
          <w:tcPr>
            <w:tcW w:w="4074" w:type="dxa"/>
          </w:tcPr>
          <w:p w14:paraId="67D70F1C" w14:textId="01535397"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406B926B" w14:textId="74BA6B5E"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IV - apresentar todos os riscos e oportunidades relacionados à </w:t>
            </w:r>
            <w:r w:rsidRPr="00D462F0">
              <w:rPr>
                <w:rFonts w:asciiTheme="majorHAnsi" w:hAnsiTheme="majorHAnsi" w:cstheme="majorHAnsi"/>
                <w:bCs/>
                <w:color w:val="0000FF"/>
                <w:sz w:val="24"/>
                <w:szCs w:val="24"/>
              </w:rPr>
              <w:lastRenderedPageBreak/>
              <w:t>sustentabilidade que possam afetar a entidade.</w:t>
            </w:r>
          </w:p>
        </w:tc>
        <w:tc>
          <w:tcPr>
            <w:tcW w:w="4074" w:type="dxa"/>
          </w:tcPr>
          <w:p w14:paraId="79DCE643" w14:textId="2EB5F91A"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Objetiva fazer com que a EFPC avalie os riscos e oportunidades ao qual está sujeita em matéria de sustentabilidade.</w:t>
            </w:r>
          </w:p>
        </w:tc>
        <w:tc>
          <w:tcPr>
            <w:tcW w:w="4075" w:type="dxa"/>
          </w:tcPr>
          <w:p w14:paraId="2A7A9EEA" w14:textId="16221485"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4FD7AAF3" w14:textId="77777777" w:rsidTr="1756A420">
        <w:tc>
          <w:tcPr>
            <w:tcW w:w="4074" w:type="dxa"/>
          </w:tcPr>
          <w:p w14:paraId="56CB19B7" w14:textId="3479DD07"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48A66F8D" w14:textId="42211D8D"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V - adotar divulgações consistentes no tempo e que observem taxonomias vigentes e padrões de referência nacionais e internacionalmente.</w:t>
            </w:r>
          </w:p>
        </w:tc>
        <w:tc>
          <w:tcPr>
            <w:tcW w:w="4074" w:type="dxa"/>
          </w:tcPr>
          <w:p w14:paraId="7372D09B"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Objetiva fazer com que a EFPC seja consistente com sua política de divulgação. Em caso de adoção de determinada métrica pela EFPC para divulgação, por exemplo, o dispositivo normativo em questão busca fazer com que a EFPC mantenha tal critérios consistentes no tempo. Inclusão de observação de taxonomias vigentes e adoção de padrões de referências (ISSB/CBPS/PRI).</w:t>
            </w:r>
          </w:p>
          <w:p w14:paraId="3412478B" w14:textId="4B861F7D" w:rsidR="00A5652D" w:rsidRPr="00D462F0" w:rsidRDefault="00A5652D" w:rsidP="00D462F0">
            <w:pPr>
              <w:jc w:val="both"/>
              <w:rPr>
                <w:rFonts w:asciiTheme="majorHAnsi" w:hAnsiTheme="majorHAnsi" w:cstheme="majorHAnsi"/>
                <w:sz w:val="24"/>
                <w:szCs w:val="24"/>
              </w:rPr>
            </w:pPr>
          </w:p>
        </w:tc>
        <w:tc>
          <w:tcPr>
            <w:tcW w:w="4075" w:type="dxa"/>
          </w:tcPr>
          <w:p w14:paraId="3C4F78BC" w14:textId="22AB2842"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5B33C068" w14:textId="77777777" w:rsidTr="1756A420">
        <w:tc>
          <w:tcPr>
            <w:tcW w:w="4074" w:type="dxa"/>
          </w:tcPr>
          <w:p w14:paraId="59C4BC6B" w14:textId="77777777"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p w14:paraId="1FC60046" w14:textId="77777777" w:rsidR="00A5652D" w:rsidRPr="00D462F0" w:rsidRDefault="00A5652D" w:rsidP="00D462F0">
            <w:pPr>
              <w:jc w:val="both"/>
              <w:rPr>
                <w:rFonts w:asciiTheme="majorHAnsi" w:hAnsiTheme="majorHAnsi" w:cstheme="majorHAnsi"/>
                <w:color w:val="000000"/>
                <w:sz w:val="24"/>
                <w:szCs w:val="24"/>
              </w:rPr>
            </w:pPr>
          </w:p>
        </w:tc>
        <w:tc>
          <w:tcPr>
            <w:tcW w:w="4074" w:type="dxa"/>
          </w:tcPr>
          <w:p w14:paraId="0A0548A9" w14:textId="223BA4F8" w:rsidR="00A5652D" w:rsidRPr="00D462F0" w:rsidRDefault="00FE74F0" w:rsidP="00D462F0">
            <w:pPr>
              <w:jc w:val="both"/>
              <w:rPr>
                <w:rFonts w:asciiTheme="majorHAnsi" w:hAnsiTheme="majorHAnsi" w:cstheme="majorHAnsi"/>
                <w:bCs/>
                <w:color w:val="000000"/>
                <w:sz w:val="24"/>
                <w:szCs w:val="24"/>
              </w:rPr>
            </w:pPr>
            <w:r>
              <w:rPr>
                <w:rFonts w:asciiTheme="majorHAnsi" w:hAnsiTheme="majorHAnsi" w:cstheme="majorHAnsi"/>
                <w:bCs/>
                <w:color w:val="0000FF"/>
                <w:sz w:val="24"/>
                <w:szCs w:val="24"/>
              </w:rPr>
              <w:t>Parágrafo único.</w:t>
            </w:r>
            <w:r w:rsidR="00A5652D" w:rsidRPr="00D462F0">
              <w:rPr>
                <w:rFonts w:asciiTheme="majorHAnsi" w:hAnsiTheme="majorHAnsi" w:cstheme="majorHAnsi"/>
                <w:bCs/>
                <w:color w:val="0000FF"/>
                <w:sz w:val="24"/>
                <w:szCs w:val="24"/>
              </w:rPr>
              <w:t xml:space="preserve">  As informações exigidas no </w:t>
            </w:r>
            <w:r w:rsidR="00A5652D" w:rsidRPr="00D462F0">
              <w:rPr>
                <w:rFonts w:asciiTheme="majorHAnsi" w:hAnsiTheme="majorHAnsi" w:cstheme="majorHAnsi"/>
                <w:bCs/>
                <w:i/>
                <w:iCs/>
                <w:color w:val="0000FF"/>
                <w:sz w:val="24"/>
                <w:szCs w:val="24"/>
              </w:rPr>
              <w:t>caput</w:t>
            </w:r>
            <w:r w:rsidR="00A5652D" w:rsidRPr="00D462F0">
              <w:rPr>
                <w:rFonts w:asciiTheme="majorHAnsi" w:hAnsiTheme="majorHAnsi" w:cstheme="majorHAnsi"/>
                <w:bCs/>
                <w:color w:val="0000FF"/>
                <w:sz w:val="24"/>
                <w:szCs w:val="24"/>
              </w:rPr>
              <w:t xml:space="preserve"> podem, a critério da EFPC, serem divulgadas em capítulo específico do RAI, desde que estruturadas de forma a assegurar sua adequada identificação, clareza e acessibilidade.</w:t>
            </w:r>
          </w:p>
        </w:tc>
        <w:tc>
          <w:tcPr>
            <w:tcW w:w="4074" w:type="dxa"/>
          </w:tcPr>
          <w:p w14:paraId="07C13CF6" w14:textId="3C6AA280"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A inserção do parágrafo tem por objetivo estabelecer prazos diferenciados para o cumprimento do julgamento da materialidade e relevância dos aspectos de sustentabilidade econômica, ambientais, sociais e de governança, bem como da obrigação de dar transparência aos impactos ambientais, sociais ou de governança na carteira dos investimentos dos planos de benefícios, respeitando o porte a complexidade da EFPC que os administra.</w:t>
            </w:r>
          </w:p>
        </w:tc>
        <w:tc>
          <w:tcPr>
            <w:tcW w:w="4075" w:type="dxa"/>
          </w:tcPr>
          <w:p w14:paraId="1B4C5A5F" w14:textId="61E8E034"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4E893E22" w14:textId="77777777" w:rsidTr="1756A420">
        <w:tc>
          <w:tcPr>
            <w:tcW w:w="4074" w:type="dxa"/>
          </w:tcPr>
          <w:p w14:paraId="6B694413" w14:textId="3DEE0900"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40657521" w14:textId="6FDC243B"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Art. 368-D.  As EFPC deverão cumprir o estabelecido nos artigos 368-B e 368-C a partir de: </w:t>
            </w:r>
          </w:p>
        </w:tc>
        <w:tc>
          <w:tcPr>
            <w:tcW w:w="4074" w:type="dxa"/>
          </w:tcPr>
          <w:p w14:paraId="0F4B3FF1" w14:textId="77777777" w:rsidR="00A5652D" w:rsidRPr="00D462F0" w:rsidRDefault="00A5652D" w:rsidP="00D462F0">
            <w:pPr>
              <w:jc w:val="both"/>
              <w:rPr>
                <w:rFonts w:asciiTheme="majorHAnsi" w:hAnsiTheme="majorHAnsi" w:cstheme="majorHAnsi"/>
                <w:sz w:val="24"/>
                <w:szCs w:val="24"/>
              </w:rPr>
            </w:pPr>
          </w:p>
        </w:tc>
        <w:tc>
          <w:tcPr>
            <w:tcW w:w="4075" w:type="dxa"/>
          </w:tcPr>
          <w:p w14:paraId="54E0C8EE" w14:textId="6B66E677"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4ABD3052" w14:textId="77777777" w:rsidTr="1756A420">
        <w:tc>
          <w:tcPr>
            <w:tcW w:w="4074" w:type="dxa"/>
          </w:tcPr>
          <w:p w14:paraId="022178DE" w14:textId="65A446F5"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5926A04F" w14:textId="6A431C36"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 - 1/1/2026 para as EFPC classificadas no segmento S1;</w:t>
            </w:r>
          </w:p>
        </w:tc>
        <w:tc>
          <w:tcPr>
            <w:tcW w:w="4074" w:type="dxa"/>
          </w:tcPr>
          <w:p w14:paraId="39E0D15E" w14:textId="77777777" w:rsidR="00A5652D" w:rsidRPr="00D462F0" w:rsidRDefault="00A5652D" w:rsidP="00D462F0">
            <w:pPr>
              <w:jc w:val="both"/>
              <w:rPr>
                <w:rFonts w:asciiTheme="majorHAnsi" w:hAnsiTheme="majorHAnsi" w:cstheme="majorHAnsi"/>
                <w:sz w:val="24"/>
                <w:szCs w:val="24"/>
              </w:rPr>
            </w:pPr>
          </w:p>
        </w:tc>
        <w:tc>
          <w:tcPr>
            <w:tcW w:w="4075" w:type="dxa"/>
          </w:tcPr>
          <w:p w14:paraId="00CCC564" w14:textId="2B9E4372"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13E59841" w14:textId="77777777" w:rsidTr="1756A420">
        <w:tc>
          <w:tcPr>
            <w:tcW w:w="4074" w:type="dxa"/>
          </w:tcPr>
          <w:p w14:paraId="1269C7EC" w14:textId="718E419B"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7F275C0F" w14:textId="7977C54D"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II - 1/1/2027 para as EFPC classificadas nos segmentos S2 e S3; e</w:t>
            </w:r>
          </w:p>
        </w:tc>
        <w:tc>
          <w:tcPr>
            <w:tcW w:w="4074" w:type="dxa"/>
          </w:tcPr>
          <w:p w14:paraId="2403958D" w14:textId="77777777" w:rsidR="00A5652D" w:rsidRPr="00D462F0" w:rsidRDefault="00A5652D" w:rsidP="00D462F0">
            <w:pPr>
              <w:jc w:val="both"/>
              <w:rPr>
                <w:rFonts w:asciiTheme="majorHAnsi" w:hAnsiTheme="majorHAnsi" w:cstheme="majorHAnsi"/>
                <w:sz w:val="24"/>
                <w:szCs w:val="24"/>
              </w:rPr>
            </w:pPr>
          </w:p>
        </w:tc>
        <w:tc>
          <w:tcPr>
            <w:tcW w:w="4075" w:type="dxa"/>
          </w:tcPr>
          <w:p w14:paraId="388CFD7E" w14:textId="02D90DB1"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03A586CB" w14:textId="77777777" w:rsidTr="1756A420">
        <w:tc>
          <w:tcPr>
            <w:tcW w:w="4074" w:type="dxa"/>
          </w:tcPr>
          <w:p w14:paraId="6A0EA20B" w14:textId="5BEEF65F"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4E6B752F" w14:textId="796E87C2"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III - 1/1/2028 para as EFPC classificadas no segmento S4.</w:t>
            </w:r>
          </w:p>
        </w:tc>
        <w:tc>
          <w:tcPr>
            <w:tcW w:w="4074" w:type="dxa"/>
          </w:tcPr>
          <w:p w14:paraId="0B7B6937" w14:textId="77777777" w:rsidR="00A5652D" w:rsidRPr="00D462F0" w:rsidRDefault="00A5652D" w:rsidP="00D462F0">
            <w:pPr>
              <w:jc w:val="both"/>
              <w:rPr>
                <w:rFonts w:asciiTheme="majorHAnsi" w:hAnsiTheme="majorHAnsi" w:cstheme="majorHAnsi"/>
                <w:sz w:val="24"/>
                <w:szCs w:val="24"/>
              </w:rPr>
            </w:pPr>
          </w:p>
        </w:tc>
        <w:tc>
          <w:tcPr>
            <w:tcW w:w="4075" w:type="dxa"/>
          </w:tcPr>
          <w:p w14:paraId="18800DFE" w14:textId="205B07E1"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375C5F63" w14:textId="77777777" w:rsidTr="1756A420">
        <w:tc>
          <w:tcPr>
            <w:tcW w:w="4074" w:type="dxa"/>
          </w:tcPr>
          <w:p w14:paraId="0030D219" w14:textId="5F49F384"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lastRenderedPageBreak/>
              <w:t>Sem referência anterior.</w:t>
            </w:r>
          </w:p>
        </w:tc>
        <w:tc>
          <w:tcPr>
            <w:tcW w:w="4074" w:type="dxa"/>
          </w:tcPr>
          <w:p w14:paraId="6BF8ACF8" w14:textId="330FF24F"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1º  As EFPC que fazem gestão por meio de carteira administrada ou fundo de investimento podem utilizar documentos emitidos pelos prestadores de serviços, como subsídio para o cumprimento do disposto dos art. 368-B e 368-C, preferencialmente, com acreditação.</w:t>
            </w:r>
          </w:p>
        </w:tc>
        <w:tc>
          <w:tcPr>
            <w:tcW w:w="4074" w:type="dxa"/>
          </w:tcPr>
          <w:p w14:paraId="3E10A686" w14:textId="05CF94FF"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Disposição normativa voltada a reduzir eventuais custos de observância ao facultar que a EFPC utilize relatórios de gestores terceirizados como subsídio.</w:t>
            </w:r>
          </w:p>
        </w:tc>
        <w:tc>
          <w:tcPr>
            <w:tcW w:w="4075" w:type="dxa"/>
          </w:tcPr>
          <w:p w14:paraId="1FD13148" w14:textId="0793BB61"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73EB3DD8" w14:textId="77777777" w:rsidTr="1756A420">
        <w:tc>
          <w:tcPr>
            <w:tcW w:w="4074" w:type="dxa"/>
          </w:tcPr>
          <w:p w14:paraId="6DC436B3" w14:textId="49882951"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1B7353C9" w14:textId="59D0A8F0" w:rsidR="00A5652D" w:rsidRPr="00D37958" w:rsidRDefault="00D37958" w:rsidP="00D462F0">
            <w:pPr>
              <w:jc w:val="both"/>
              <w:rPr>
                <w:rFonts w:asciiTheme="majorHAnsi" w:hAnsiTheme="majorHAnsi" w:cstheme="majorHAnsi"/>
                <w:bCs/>
                <w:color w:val="0000FF"/>
                <w:sz w:val="24"/>
                <w:szCs w:val="24"/>
              </w:rPr>
            </w:pPr>
            <w:r w:rsidRPr="00D37958">
              <w:rPr>
                <w:rFonts w:asciiTheme="majorHAnsi" w:hAnsiTheme="majorHAnsi" w:cstheme="majorHAnsi"/>
                <w:bCs/>
                <w:color w:val="0000FF"/>
                <w:sz w:val="24"/>
                <w:szCs w:val="24"/>
              </w:rPr>
              <w:t>§ 2º  Os critérios, níveis de exigência, orientações metodológicas e prazos para atendimento ao disposto no caput serão definidos em Portaria a ser editada pela DINOR.</w:t>
            </w:r>
          </w:p>
        </w:tc>
        <w:tc>
          <w:tcPr>
            <w:tcW w:w="4074" w:type="dxa"/>
          </w:tcPr>
          <w:p w14:paraId="32620915" w14:textId="01C0BE0F"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Definição da forma de atendimento no disposto nos art. 368-B e 368-C a ser definida em Portaria Dinor, de forma a assegurar proporcionalidade regulatória, padronização mínima e alinhamento às melhores práticas de mercado.</w:t>
            </w:r>
          </w:p>
        </w:tc>
        <w:tc>
          <w:tcPr>
            <w:tcW w:w="4075" w:type="dxa"/>
          </w:tcPr>
          <w:p w14:paraId="760333E8" w14:textId="5A4807AF"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5B83EDDA" w14:textId="77777777" w:rsidTr="1756A420">
        <w:tc>
          <w:tcPr>
            <w:tcW w:w="4074" w:type="dxa"/>
          </w:tcPr>
          <w:p w14:paraId="23792B3C" w14:textId="0B65BBFC"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7A7C50A5" w14:textId="141073B1"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0E2EBE75" w14:textId="77777777" w:rsidR="00A5652D" w:rsidRPr="00D462F0" w:rsidRDefault="00A5652D" w:rsidP="00D462F0">
            <w:pPr>
              <w:jc w:val="both"/>
              <w:rPr>
                <w:rFonts w:asciiTheme="majorHAnsi" w:hAnsiTheme="majorHAnsi" w:cstheme="majorHAnsi"/>
                <w:sz w:val="24"/>
                <w:szCs w:val="24"/>
              </w:rPr>
            </w:pPr>
          </w:p>
        </w:tc>
        <w:tc>
          <w:tcPr>
            <w:tcW w:w="4075" w:type="dxa"/>
          </w:tcPr>
          <w:p w14:paraId="324D535D" w14:textId="77777777" w:rsidR="00A5652D" w:rsidRPr="00D462F0" w:rsidRDefault="00A5652D" w:rsidP="00D462F0">
            <w:pPr>
              <w:jc w:val="both"/>
              <w:rPr>
                <w:rFonts w:asciiTheme="majorHAnsi" w:hAnsiTheme="majorHAnsi" w:cstheme="majorHAnsi"/>
                <w:bCs/>
                <w:sz w:val="24"/>
                <w:szCs w:val="24"/>
              </w:rPr>
            </w:pPr>
          </w:p>
        </w:tc>
      </w:tr>
      <w:tr w:rsidR="00A5652D" w:rsidRPr="00C93770" w14:paraId="50FB65BF" w14:textId="77777777" w:rsidTr="1756A420">
        <w:tc>
          <w:tcPr>
            <w:tcW w:w="4074" w:type="dxa"/>
          </w:tcPr>
          <w:p w14:paraId="256FAA11" w14:textId="77777777"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CAPÍTULO XV</w:t>
            </w:r>
          </w:p>
          <w:p w14:paraId="5ABE489E" w14:textId="47DC07F2" w:rsidR="00A5652D" w:rsidRPr="00D462F0" w:rsidRDefault="00A5652D" w:rsidP="008F3FAE">
            <w:pPr>
              <w:jc w:val="center"/>
              <w:rPr>
                <w:rFonts w:asciiTheme="majorHAnsi" w:hAnsiTheme="majorHAnsi" w:cstheme="majorHAnsi"/>
                <w:color w:val="000000"/>
                <w:sz w:val="24"/>
                <w:szCs w:val="24"/>
              </w:rPr>
            </w:pPr>
            <w:r w:rsidRPr="00D462F0">
              <w:rPr>
                <w:rFonts w:asciiTheme="majorHAnsi" w:hAnsiTheme="majorHAnsi" w:cstheme="majorHAnsi"/>
                <w:bCs/>
                <w:color w:val="000000"/>
                <w:sz w:val="24"/>
                <w:szCs w:val="24"/>
              </w:rPr>
              <w:t>DAS DISPOSIÇÕES FINAIS</w:t>
            </w:r>
          </w:p>
        </w:tc>
        <w:tc>
          <w:tcPr>
            <w:tcW w:w="4074" w:type="dxa"/>
          </w:tcPr>
          <w:p w14:paraId="05B260AE" w14:textId="77777777"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CAPÍTULO XV</w:t>
            </w:r>
          </w:p>
          <w:p w14:paraId="50F4C916" w14:textId="27339C6D"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DAS DISPOSIÇÕES FINAIS</w:t>
            </w:r>
          </w:p>
        </w:tc>
        <w:tc>
          <w:tcPr>
            <w:tcW w:w="4074" w:type="dxa"/>
          </w:tcPr>
          <w:p w14:paraId="59D33C37" w14:textId="77777777" w:rsidR="00A5652D" w:rsidRPr="00D462F0" w:rsidRDefault="00A5652D" w:rsidP="00D462F0">
            <w:pPr>
              <w:jc w:val="both"/>
              <w:rPr>
                <w:rFonts w:asciiTheme="majorHAnsi" w:hAnsiTheme="majorHAnsi" w:cstheme="majorHAnsi"/>
                <w:sz w:val="24"/>
                <w:szCs w:val="24"/>
              </w:rPr>
            </w:pPr>
          </w:p>
        </w:tc>
        <w:tc>
          <w:tcPr>
            <w:tcW w:w="4075" w:type="dxa"/>
          </w:tcPr>
          <w:p w14:paraId="17B9E10D" w14:textId="77777777" w:rsidR="00A5652D" w:rsidRPr="00D462F0" w:rsidRDefault="00A5652D" w:rsidP="00D462F0">
            <w:pPr>
              <w:jc w:val="both"/>
              <w:rPr>
                <w:rFonts w:asciiTheme="majorHAnsi" w:hAnsiTheme="majorHAnsi" w:cstheme="majorHAnsi"/>
                <w:bCs/>
                <w:sz w:val="24"/>
                <w:szCs w:val="24"/>
              </w:rPr>
            </w:pPr>
          </w:p>
        </w:tc>
      </w:tr>
      <w:tr w:rsidR="007978F1" w:rsidRPr="00C93770" w14:paraId="0EFFB9F9" w14:textId="77777777" w:rsidTr="1756A420">
        <w:tc>
          <w:tcPr>
            <w:tcW w:w="4074" w:type="dxa"/>
          </w:tcPr>
          <w:p w14:paraId="667019FE" w14:textId="042404BA" w:rsidR="007978F1" w:rsidRPr="00D462F0" w:rsidRDefault="007978F1"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75A214D7" w14:textId="524C3DFA" w:rsidR="007978F1" w:rsidRPr="00D462F0" w:rsidRDefault="007978F1"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660667B3" w14:textId="77777777" w:rsidR="007978F1" w:rsidRPr="00D462F0" w:rsidRDefault="007978F1" w:rsidP="00D462F0">
            <w:pPr>
              <w:jc w:val="both"/>
              <w:rPr>
                <w:rFonts w:asciiTheme="majorHAnsi" w:hAnsiTheme="majorHAnsi" w:cstheme="majorHAnsi"/>
                <w:sz w:val="24"/>
                <w:szCs w:val="24"/>
              </w:rPr>
            </w:pPr>
          </w:p>
        </w:tc>
        <w:tc>
          <w:tcPr>
            <w:tcW w:w="4075" w:type="dxa"/>
          </w:tcPr>
          <w:p w14:paraId="1EC537F0" w14:textId="77777777" w:rsidR="007978F1" w:rsidRPr="00D462F0" w:rsidRDefault="007978F1" w:rsidP="00D462F0">
            <w:pPr>
              <w:jc w:val="both"/>
              <w:rPr>
                <w:rFonts w:asciiTheme="majorHAnsi" w:hAnsiTheme="majorHAnsi" w:cstheme="majorHAnsi"/>
                <w:bCs/>
                <w:sz w:val="24"/>
                <w:szCs w:val="24"/>
              </w:rPr>
            </w:pPr>
          </w:p>
        </w:tc>
      </w:tr>
      <w:tr w:rsidR="00A5652D" w:rsidRPr="00C93770" w14:paraId="4E19A866" w14:textId="77777777" w:rsidTr="1756A420">
        <w:tc>
          <w:tcPr>
            <w:tcW w:w="4074" w:type="dxa"/>
          </w:tcPr>
          <w:p w14:paraId="443867EB" w14:textId="6435F390"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Art. 388.  Ficam revogadas as seguintes normas:</w:t>
            </w:r>
          </w:p>
          <w:p w14:paraId="5FD89C36" w14:textId="77777777" w:rsidR="00A5652D" w:rsidRPr="00D462F0" w:rsidRDefault="00A5652D" w:rsidP="00D462F0">
            <w:pPr>
              <w:jc w:val="both"/>
              <w:rPr>
                <w:rFonts w:asciiTheme="majorHAnsi" w:hAnsiTheme="majorHAnsi" w:cstheme="majorHAnsi"/>
                <w:color w:val="000000"/>
                <w:sz w:val="24"/>
                <w:szCs w:val="24"/>
              </w:rPr>
            </w:pPr>
          </w:p>
        </w:tc>
        <w:tc>
          <w:tcPr>
            <w:tcW w:w="4074" w:type="dxa"/>
          </w:tcPr>
          <w:p w14:paraId="679F35CD" w14:textId="66ECD9D3"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color w:val="000000"/>
                <w:sz w:val="24"/>
                <w:szCs w:val="24"/>
              </w:rPr>
              <w:t>Art. 388.  Ficam revogadas as seguintes normas:</w:t>
            </w:r>
          </w:p>
          <w:p w14:paraId="13EDBB95" w14:textId="77777777" w:rsidR="00A5652D" w:rsidRPr="00D462F0" w:rsidRDefault="00A5652D" w:rsidP="00D462F0">
            <w:pPr>
              <w:jc w:val="both"/>
              <w:rPr>
                <w:rFonts w:asciiTheme="majorHAnsi" w:hAnsiTheme="majorHAnsi" w:cstheme="majorHAnsi"/>
                <w:bCs/>
                <w:color w:val="000000"/>
                <w:sz w:val="24"/>
                <w:szCs w:val="24"/>
              </w:rPr>
            </w:pPr>
          </w:p>
        </w:tc>
        <w:tc>
          <w:tcPr>
            <w:tcW w:w="4074" w:type="dxa"/>
          </w:tcPr>
          <w:p w14:paraId="2241EF30" w14:textId="77777777" w:rsidR="00A5652D" w:rsidRPr="00D462F0" w:rsidRDefault="00A5652D" w:rsidP="00D462F0">
            <w:pPr>
              <w:jc w:val="both"/>
              <w:rPr>
                <w:rFonts w:asciiTheme="majorHAnsi" w:hAnsiTheme="majorHAnsi" w:cstheme="majorHAnsi"/>
                <w:sz w:val="24"/>
                <w:szCs w:val="24"/>
              </w:rPr>
            </w:pPr>
          </w:p>
        </w:tc>
        <w:tc>
          <w:tcPr>
            <w:tcW w:w="4075" w:type="dxa"/>
          </w:tcPr>
          <w:p w14:paraId="5681D6C8" w14:textId="77777777" w:rsidR="00A5652D" w:rsidRPr="00D462F0" w:rsidRDefault="00A5652D" w:rsidP="00D462F0">
            <w:pPr>
              <w:jc w:val="both"/>
              <w:rPr>
                <w:rFonts w:asciiTheme="majorHAnsi" w:hAnsiTheme="majorHAnsi" w:cstheme="majorHAnsi"/>
                <w:bCs/>
                <w:sz w:val="24"/>
                <w:szCs w:val="24"/>
              </w:rPr>
            </w:pPr>
          </w:p>
        </w:tc>
      </w:tr>
      <w:tr w:rsidR="00A5652D" w:rsidRPr="00C93770" w14:paraId="679F63A5" w14:textId="77777777" w:rsidTr="1756A420">
        <w:tc>
          <w:tcPr>
            <w:tcW w:w="4074" w:type="dxa"/>
          </w:tcPr>
          <w:p w14:paraId="02FBD2F8" w14:textId="792BEC67" w:rsidR="00A5652D" w:rsidRPr="00D462F0" w:rsidRDefault="00A5652D"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11D91F68" w14:textId="3122EDF3"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51968BCF" w14:textId="77777777" w:rsidR="00A5652D" w:rsidRPr="00D462F0" w:rsidRDefault="00A5652D" w:rsidP="00D462F0">
            <w:pPr>
              <w:jc w:val="both"/>
              <w:rPr>
                <w:rFonts w:asciiTheme="majorHAnsi" w:hAnsiTheme="majorHAnsi" w:cstheme="majorHAnsi"/>
                <w:sz w:val="24"/>
                <w:szCs w:val="24"/>
              </w:rPr>
            </w:pPr>
          </w:p>
        </w:tc>
        <w:tc>
          <w:tcPr>
            <w:tcW w:w="4075" w:type="dxa"/>
          </w:tcPr>
          <w:p w14:paraId="177E696E" w14:textId="77777777" w:rsidR="00A5652D" w:rsidRPr="00D462F0" w:rsidRDefault="00A5652D" w:rsidP="00D462F0">
            <w:pPr>
              <w:jc w:val="both"/>
              <w:rPr>
                <w:rFonts w:asciiTheme="majorHAnsi" w:hAnsiTheme="majorHAnsi" w:cstheme="majorHAnsi"/>
                <w:bCs/>
                <w:sz w:val="24"/>
                <w:szCs w:val="24"/>
              </w:rPr>
            </w:pPr>
          </w:p>
        </w:tc>
      </w:tr>
      <w:tr w:rsidR="00A5652D" w:rsidRPr="00C93770" w14:paraId="001192A0" w14:textId="77777777" w:rsidTr="1756A420">
        <w:tc>
          <w:tcPr>
            <w:tcW w:w="4074" w:type="dxa"/>
          </w:tcPr>
          <w:p w14:paraId="5EAD58E9" w14:textId="276D580F"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XXXVII - Resolução Previc nº 20, de 22 de dezembro de 2022; e</w:t>
            </w:r>
          </w:p>
        </w:tc>
        <w:tc>
          <w:tcPr>
            <w:tcW w:w="4074" w:type="dxa"/>
          </w:tcPr>
          <w:p w14:paraId="16DD3A8A" w14:textId="28EBAFD8"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XXXVII - Resolução Previc nº 20, de 22 de dezembro de 2022; </w:t>
            </w:r>
            <w:r w:rsidRPr="00D462F0">
              <w:rPr>
                <w:rFonts w:asciiTheme="majorHAnsi" w:hAnsiTheme="majorHAnsi" w:cstheme="majorHAnsi"/>
                <w:bCs/>
                <w:strike/>
                <w:color w:val="EE0000"/>
                <w:sz w:val="24"/>
                <w:szCs w:val="24"/>
              </w:rPr>
              <w:t xml:space="preserve"> e </w:t>
            </w:r>
          </w:p>
          <w:p w14:paraId="3B38C0FB" w14:textId="5C229A91" w:rsidR="00A5652D" w:rsidRPr="00D462F0" w:rsidRDefault="00A5652D" w:rsidP="00D462F0">
            <w:pPr>
              <w:jc w:val="both"/>
              <w:rPr>
                <w:rFonts w:asciiTheme="majorHAnsi" w:hAnsiTheme="majorHAnsi" w:cstheme="majorHAnsi"/>
                <w:bCs/>
                <w:color w:val="000000"/>
                <w:sz w:val="24"/>
                <w:szCs w:val="24"/>
              </w:rPr>
            </w:pPr>
          </w:p>
        </w:tc>
        <w:tc>
          <w:tcPr>
            <w:tcW w:w="4074" w:type="dxa"/>
          </w:tcPr>
          <w:p w14:paraId="0B5041F7" w14:textId="724CB6D3" w:rsidR="00A5652D" w:rsidRPr="00D462F0" w:rsidRDefault="00A5652D" w:rsidP="00D462F0">
            <w:pPr>
              <w:jc w:val="both"/>
              <w:rPr>
                <w:rFonts w:asciiTheme="majorHAnsi" w:hAnsiTheme="majorHAnsi" w:cstheme="majorHAnsi"/>
                <w:sz w:val="24"/>
                <w:szCs w:val="24"/>
              </w:rPr>
            </w:pPr>
          </w:p>
        </w:tc>
        <w:tc>
          <w:tcPr>
            <w:tcW w:w="4075" w:type="dxa"/>
          </w:tcPr>
          <w:p w14:paraId="20FF5FF9" w14:textId="022C2323" w:rsidR="00A5652D" w:rsidRPr="00D462F0" w:rsidRDefault="00A5652D" w:rsidP="00D462F0">
            <w:pPr>
              <w:jc w:val="both"/>
              <w:rPr>
                <w:rFonts w:asciiTheme="majorHAnsi" w:hAnsiTheme="majorHAnsi" w:cstheme="majorHAnsi"/>
                <w:bCs/>
                <w:sz w:val="24"/>
                <w:szCs w:val="24"/>
              </w:rPr>
            </w:pPr>
          </w:p>
        </w:tc>
      </w:tr>
      <w:tr w:rsidR="00A5652D" w:rsidRPr="00C93770" w14:paraId="5A4EFEE3" w14:textId="77777777" w:rsidTr="1756A420">
        <w:tc>
          <w:tcPr>
            <w:tcW w:w="4074" w:type="dxa"/>
          </w:tcPr>
          <w:p w14:paraId="3B80C6D1" w14:textId="0F0BA8B2" w:rsidR="00A5652D" w:rsidRPr="008F3FAE" w:rsidRDefault="00A5652D" w:rsidP="008F3FAE">
            <w:pPr>
              <w:jc w:val="center"/>
              <w:rPr>
                <w:rFonts w:asciiTheme="majorHAnsi" w:hAnsiTheme="majorHAnsi" w:cstheme="majorHAnsi"/>
                <w:sz w:val="24"/>
                <w:szCs w:val="24"/>
              </w:rPr>
            </w:pPr>
            <w:r w:rsidRPr="008F3FAE">
              <w:rPr>
                <w:rFonts w:asciiTheme="majorHAnsi" w:hAnsiTheme="majorHAnsi" w:cstheme="majorHAnsi"/>
                <w:sz w:val="24"/>
                <w:szCs w:val="24"/>
              </w:rPr>
              <w:t>...</w:t>
            </w:r>
          </w:p>
        </w:tc>
        <w:tc>
          <w:tcPr>
            <w:tcW w:w="4074" w:type="dxa"/>
          </w:tcPr>
          <w:p w14:paraId="56580A42" w14:textId="718886E6" w:rsidR="00A5652D" w:rsidRPr="008F3FAE" w:rsidRDefault="00A5652D" w:rsidP="008F3FAE">
            <w:pPr>
              <w:jc w:val="center"/>
              <w:rPr>
                <w:rFonts w:asciiTheme="majorHAnsi" w:hAnsiTheme="majorHAnsi" w:cstheme="majorHAnsi"/>
                <w:bCs/>
                <w:sz w:val="24"/>
                <w:szCs w:val="24"/>
              </w:rPr>
            </w:pPr>
            <w:r w:rsidRPr="008F3FAE">
              <w:rPr>
                <w:rFonts w:asciiTheme="majorHAnsi" w:hAnsiTheme="majorHAnsi" w:cstheme="majorHAnsi"/>
                <w:bCs/>
                <w:sz w:val="24"/>
                <w:szCs w:val="24"/>
              </w:rPr>
              <w:t>...</w:t>
            </w:r>
          </w:p>
        </w:tc>
        <w:tc>
          <w:tcPr>
            <w:tcW w:w="4074" w:type="dxa"/>
          </w:tcPr>
          <w:p w14:paraId="0A8E57A7" w14:textId="77777777" w:rsidR="00A5652D" w:rsidRPr="00D462F0" w:rsidRDefault="00A5652D" w:rsidP="00D462F0">
            <w:pPr>
              <w:jc w:val="both"/>
              <w:rPr>
                <w:rFonts w:asciiTheme="majorHAnsi" w:hAnsiTheme="majorHAnsi" w:cstheme="majorHAnsi"/>
                <w:sz w:val="24"/>
                <w:szCs w:val="24"/>
              </w:rPr>
            </w:pPr>
          </w:p>
        </w:tc>
        <w:tc>
          <w:tcPr>
            <w:tcW w:w="4075" w:type="dxa"/>
          </w:tcPr>
          <w:p w14:paraId="11C554B3" w14:textId="77777777" w:rsidR="00A5652D" w:rsidRPr="00D462F0" w:rsidRDefault="00A5652D" w:rsidP="00D462F0">
            <w:pPr>
              <w:jc w:val="both"/>
              <w:rPr>
                <w:rFonts w:asciiTheme="majorHAnsi" w:hAnsiTheme="majorHAnsi" w:cstheme="majorHAnsi"/>
                <w:bCs/>
                <w:sz w:val="24"/>
                <w:szCs w:val="24"/>
              </w:rPr>
            </w:pPr>
          </w:p>
        </w:tc>
      </w:tr>
      <w:tr w:rsidR="00A5652D" w:rsidRPr="00C93770" w14:paraId="4451F4F9" w14:textId="77777777" w:rsidTr="1756A420">
        <w:tc>
          <w:tcPr>
            <w:tcW w:w="4074" w:type="dxa"/>
          </w:tcPr>
          <w:p w14:paraId="53BA0FBF" w14:textId="1C8D7520"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7B5816FE" w14:textId="77777777" w:rsidR="00A5652D" w:rsidRPr="00D462F0" w:rsidRDefault="00A5652D"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XXXIX - Portaria Previc nº 496, de 27 de julho de 2021;</w:t>
            </w:r>
          </w:p>
          <w:p w14:paraId="23FAF0B9" w14:textId="335CEC22" w:rsidR="00A5652D" w:rsidRPr="00D462F0" w:rsidRDefault="00A5652D" w:rsidP="00D462F0">
            <w:pPr>
              <w:jc w:val="both"/>
              <w:rPr>
                <w:rFonts w:asciiTheme="majorHAnsi" w:hAnsiTheme="majorHAnsi" w:cstheme="majorHAnsi"/>
                <w:bCs/>
                <w:color w:val="000000"/>
                <w:sz w:val="24"/>
                <w:szCs w:val="24"/>
              </w:rPr>
            </w:pPr>
          </w:p>
        </w:tc>
        <w:tc>
          <w:tcPr>
            <w:tcW w:w="4074" w:type="dxa"/>
          </w:tcPr>
          <w:p w14:paraId="6CF1B6FB" w14:textId="206D70E1"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Revogação de portarias desatualizadas.</w:t>
            </w:r>
          </w:p>
        </w:tc>
        <w:tc>
          <w:tcPr>
            <w:tcW w:w="4075" w:type="dxa"/>
          </w:tcPr>
          <w:p w14:paraId="21902209" w14:textId="77777777"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IV.</w:t>
            </w:r>
          </w:p>
          <w:p w14:paraId="317672E3" w14:textId="77777777"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Trata-se de normas consideradas obsoletas por se tratar de portarias desatualizadas. </w:t>
            </w:r>
          </w:p>
          <w:p w14:paraId="1005A9DB" w14:textId="28222A1C"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a alteração do artigo em questão dispensa-se a realização de AIR por se tratar de artigo que visa “(...) a atualização ou à revogação de normas consideradas obsoletas, sem alteração de mérito”, conforme disposto no inciso </w:t>
            </w:r>
            <w:r w:rsidRPr="00D462F0">
              <w:rPr>
                <w:rFonts w:asciiTheme="majorHAnsi" w:hAnsiTheme="majorHAnsi" w:cstheme="majorHAnsi"/>
                <w:bCs/>
                <w:sz w:val="24"/>
                <w:szCs w:val="24"/>
              </w:rPr>
              <w:lastRenderedPageBreak/>
              <w:t>IV, do art. 4º do Decreto nº 10.411, de 2020</w:t>
            </w:r>
          </w:p>
        </w:tc>
      </w:tr>
      <w:tr w:rsidR="00A5652D" w:rsidRPr="00C93770" w14:paraId="431CA60C" w14:textId="77777777" w:rsidTr="1756A420">
        <w:tc>
          <w:tcPr>
            <w:tcW w:w="4074" w:type="dxa"/>
          </w:tcPr>
          <w:p w14:paraId="28CE11EC" w14:textId="77777777" w:rsidR="00A5652D" w:rsidRPr="00D462F0" w:rsidRDefault="00A5652D" w:rsidP="00D462F0">
            <w:pPr>
              <w:jc w:val="both"/>
              <w:rPr>
                <w:rFonts w:asciiTheme="majorHAnsi" w:hAnsiTheme="majorHAnsi" w:cstheme="majorHAnsi"/>
                <w:color w:val="000000"/>
                <w:sz w:val="24"/>
                <w:szCs w:val="24"/>
              </w:rPr>
            </w:pPr>
          </w:p>
        </w:tc>
        <w:tc>
          <w:tcPr>
            <w:tcW w:w="4074" w:type="dxa"/>
          </w:tcPr>
          <w:p w14:paraId="04925717" w14:textId="7BCDF6CC" w:rsidR="00A5652D" w:rsidRPr="00D462F0" w:rsidRDefault="00A5652D"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XL - Portaria Previc nº 859, de 29 de outubro de 2010; e</w:t>
            </w:r>
          </w:p>
        </w:tc>
        <w:tc>
          <w:tcPr>
            <w:tcW w:w="4074" w:type="dxa"/>
          </w:tcPr>
          <w:p w14:paraId="7D23C459" w14:textId="77777777" w:rsidR="00A5652D" w:rsidRPr="00D462F0" w:rsidRDefault="00A5652D" w:rsidP="00D462F0">
            <w:pPr>
              <w:jc w:val="both"/>
              <w:rPr>
                <w:rFonts w:asciiTheme="majorHAnsi" w:hAnsiTheme="majorHAnsi" w:cstheme="majorHAnsi"/>
                <w:sz w:val="24"/>
                <w:szCs w:val="24"/>
              </w:rPr>
            </w:pPr>
          </w:p>
        </w:tc>
        <w:tc>
          <w:tcPr>
            <w:tcW w:w="4075" w:type="dxa"/>
          </w:tcPr>
          <w:p w14:paraId="603096F9" w14:textId="77777777" w:rsidR="00A5652D" w:rsidRPr="00D462F0" w:rsidRDefault="00A5652D" w:rsidP="00D462F0">
            <w:pPr>
              <w:jc w:val="both"/>
              <w:rPr>
                <w:rFonts w:asciiTheme="majorHAnsi" w:hAnsiTheme="majorHAnsi" w:cstheme="majorHAnsi"/>
                <w:bCs/>
                <w:sz w:val="24"/>
                <w:szCs w:val="24"/>
              </w:rPr>
            </w:pPr>
          </w:p>
        </w:tc>
      </w:tr>
      <w:tr w:rsidR="00A5652D" w:rsidRPr="00C93770" w14:paraId="66D9429B" w14:textId="77777777" w:rsidTr="1756A420">
        <w:tc>
          <w:tcPr>
            <w:tcW w:w="4074" w:type="dxa"/>
          </w:tcPr>
          <w:p w14:paraId="0062741F" w14:textId="302C4B3A"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5C0D8B92" w14:textId="0EDBA8B9" w:rsidR="00A5652D" w:rsidRPr="00D462F0" w:rsidRDefault="00A5652D"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XLI - Portaria Previc nº 1.107, de 23 de dezembro de 2019.</w:t>
            </w:r>
          </w:p>
        </w:tc>
        <w:tc>
          <w:tcPr>
            <w:tcW w:w="4074" w:type="dxa"/>
          </w:tcPr>
          <w:p w14:paraId="0EB056BB" w14:textId="77777777" w:rsidR="00A5652D" w:rsidRPr="00D462F0" w:rsidRDefault="00A5652D" w:rsidP="00D462F0">
            <w:pPr>
              <w:jc w:val="both"/>
              <w:rPr>
                <w:rFonts w:asciiTheme="majorHAnsi" w:hAnsiTheme="majorHAnsi" w:cstheme="majorHAnsi"/>
                <w:sz w:val="24"/>
                <w:szCs w:val="24"/>
              </w:rPr>
            </w:pPr>
          </w:p>
        </w:tc>
        <w:tc>
          <w:tcPr>
            <w:tcW w:w="4075" w:type="dxa"/>
          </w:tcPr>
          <w:p w14:paraId="1DFBFB02" w14:textId="4E1A739C"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IV.</w:t>
            </w:r>
          </w:p>
        </w:tc>
      </w:tr>
      <w:tr w:rsidR="00A5652D" w:rsidRPr="00C93770" w14:paraId="6192212F" w14:textId="77777777" w:rsidTr="1756A420">
        <w:tc>
          <w:tcPr>
            <w:tcW w:w="4074" w:type="dxa"/>
          </w:tcPr>
          <w:p w14:paraId="0DBA484A" w14:textId="2F898DAD"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3E7407B7" w14:textId="56484486" w:rsidR="00A5652D" w:rsidRPr="00D462F0" w:rsidRDefault="00A5652D" w:rsidP="00D462F0">
            <w:pPr>
              <w:jc w:val="both"/>
              <w:rPr>
                <w:rFonts w:asciiTheme="majorHAnsi" w:hAnsiTheme="majorHAnsi" w:cstheme="majorHAnsi"/>
                <w:bCs/>
                <w:color w:val="000000"/>
                <w:sz w:val="24"/>
                <w:szCs w:val="24"/>
              </w:rPr>
            </w:pPr>
            <w:bookmarkStart w:id="2" w:name="_Hlk205978639"/>
            <w:r w:rsidRPr="00D462F0">
              <w:rPr>
                <w:rFonts w:asciiTheme="majorHAnsi" w:hAnsiTheme="majorHAnsi" w:cstheme="majorHAnsi"/>
                <w:bCs/>
                <w:color w:val="0000FF"/>
                <w:sz w:val="24"/>
                <w:szCs w:val="24"/>
              </w:rPr>
              <w:t>Art. 38</w:t>
            </w:r>
            <w:r w:rsidR="00E734B5">
              <w:rPr>
                <w:rFonts w:asciiTheme="majorHAnsi" w:hAnsiTheme="majorHAnsi" w:cstheme="majorHAnsi"/>
                <w:bCs/>
                <w:color w:val="0000FF"/>
                <w:sz w:val="24"/>
                <w:szCs w:val="24"/>
              </w:rPr>
              <w:t>8</w:t>
            </w:r>
            <w:r w:rsidRPr="00D462F0">
              <w:rPr>
                <w:rFonts w:asciiTheme="majorHAnsi" w:hAnsiTheme="majorHAnsi" w:cstheme="majorHAnsi"/>
                <w:bCs/>
                <w:color w:val="0000FF"/>
                <w:sz w:val="24"/>
                <w:szCs w:val="24"/>
              </w:rPr>
              <w:t>-A.  Tornar sem efeito o Ofício Circular DINOR nº 03, de 25 de abril de 2025.</w:t>
            </w:r>
            <w:bookmarkEnd w:id="2"/>
          </w:p>
        </w:tc>
        <w:tc>
          <w:tcPr>
            <w:tcW w:w="4074" w:type="dxa"/>
          </w:tcPr>
          <w:p w14:paraId="0458C03D" w14:textId="124B3F4D" w:rsidR="00A5652D" w:rsidRPr="00D462F0" w:rsidRDefault="00A5652D" w:rsidP="00D462F0">
            <w:pPr>
              <w:jc w:val="both"/>
              <w:rPr>
                <w:rFonts w:asciiTheme="majorHAnsi" w:hAnsiTheme="majorHAnsi" w:cstheme="majorHAnsi"/>
                <w:sz w:val="24"/>
                <w:szCs w:val="24"/>
              </w:rPr>
            </w:pPr>
            <w:bookmarkStart w:id="3" w:name="_Hlk205978735"/>
            <w:r w:rsidRPr="00D462F0">
              <w:rPr>
                <w:rFonts w:asciiTheme="majorHAnsi" w:hAnsiTheme="majorHAnsi" w:cstheme="majorHAnsi"/>
                <w:sz w:val="24"/>
                <w:szCs w:val="24"/>
              </w:rPr>
              <w:t>Inclusão de dispositivo para tornar sem efeito o disposto no Ofício Circular DINOR nº 03, de 25 de abril de 2025, visto que o seu conteúdo foi incorporado nas alterações de Resolução Previc nº 23/2023 realizadas em 2025.</w:t>
            </w:r>
            <w:bookmarkEnd w:id="3"/>
          </w:p>
        </w:tc>
        <w:tc>
          <w:tcPr>
            <w:tcW w:w="4075" w:type="dxa"/>
          </w:tcPr>
          <w:p w14:paraId="6D466A85" w14:textId="598138D5"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III do art. 4º do Decreto nº 10.411,2020.</w:t>
            </w:r>
          </w:p>
          <w:p w14:paraId="5BD3A5F2" w14:textId="78443F89"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está baseada em ato normativo de baixo impacto, pois se trata de desconsiderar os efeitos do Ofício Circular DINOR nº 03, de 25 de abril de 2025, por ter sido contemplado na proposta de alteração da resolução Previc nº 23, de 2023.</w:t>
            </w:r>
          </w:p>
        </w:tc>
      </w:tr>
      <w:tr w:rsidR="00E734B5" w:rsidRPr="00C93770" w14:paraId="340E89CF" w14:textId="77777777" w:rsidTr="1756A420">
        <w:tc>
          <w:tcPr>
            <w:tcW w:w="4074" w:type="dxa"/>
          </w:tcPr>
          <w:p w14:paraId="7339E3A8" w14:textId="289A5B02" w:rsidR="00E734B5" w:rsidRPr="00856191" w:rsidRDefault="00E734B5" w:rsidP="00856191">
            <w:pPr>
              <w:jc w:val="both"/>
              <w:rPr>
                <w:rFonts w:ascii="Calibri" w:hAnsi="Calibri" w:cs="Calibri"/>
                <w:color w:val="000000"/>
                <w:sz w:val="24"/>
                <w:szCs w:val="24"/>
              </w:rPr>
            </w:pPr>
            <w:r w:rsidRPr="00856191">
              <w:rPr>
                <w:rFonts w:ascii="Calibri" w:hAnsi="Calibri" w:cs="Calibri"/>
                <w:sz w:val="24"/>
                <w:szCs w:val="24"/>
              </w:rPr>
              <w:t>Art. 389. Esta Resolução entra em vigor em 1º de setembro de 2023.</w:t>
            </w:r>
          </w:p>
        </w:tc>
        <w:tc>
          <w:tcPr>
            <w:tcW w:w="4074" w:type="dxa"/>
          </w:tcPr>
          <w:p w14:paraId="0EDFA044" w14:textId="50A762A4" w:rsidR="00E734B5" w:rsidRPr="00856191" w:rsidRDefault="00E734B5" w:rsidP="00856191">
            <w:pPr>
              <w:jc w:val="both"/>
              <w:rPr>
                <w:rFonts w:ascii="Calibri" w:hAnsi="Calibri" w:cs="Calibri"/>
                <w:bCs/>
                <w:color w:val="000000"/>
                <w:sz w:val="24"/>
                <w:szCs w:val="24"/>
              </w:rPr>
            </w:pPr>
          </w:p>
        </w:tc>
        <w:tc>
          <w:tcPr>
            <w:tcW w:w="4074" w:type="dxa"/>
          </w:tcPr>
          <w:p w14:paraId="34140A79" w14:textId="77777777" w:rsidR="00E734B5" w:rsidRPr="00D462F0" w:rsidRDefault="00E734B5" w:rsidP="008F3FAE">
            <w:pPr>
              <w:jc w:val="center"/>
              <w:rPr>
                <w:rFonts w:asciiTheme="majorHAnsi" w:hAnsiTheme="majorHAnsi" w:cstheme="majorHAnsi"/>
                <w:sz w:val="24"/>
                <w:szCs w:val="24"/>
              </w:rPr>
            </w:pPr>
          </w:p>
        </w:tc>
        <w:tc>
          <w:tcPr>
            <w:tcW w:w="4075" w:type="dxa"/>
          </w:tcPr>
          <w:p w14:paraId="7FE29F84" w14:textId="77777777" w:rsidR="00E734B5" w:rsidRPr="00D462F0" w:rsidRDefault="00E734B5" w:rsidP="00D462F0">
            <w:pPr>
              <w:jc w:val="both"/>
              <w:rPr>
                <w:rFonts w:asciiTheme="majorHAnsi" w:hAnsiTheme="majorHAnsi" w:cstheme="majorHAnsi"/>
                <w:bCs/>
                <w:sz w:val="24"/>
                <w:szCs w:val="24"/>
              </w:rPr>
            </w:pPr>
          </w:p>
        </w:tc>
      </w:tr>
      <w:tr w:rsidR="00A5652D" w:rsidRPr="00C93770" w14:paraId="5A5E353D" w14:textId="77777777" w:rsidTr="1756A420">
        <w:tc>
          <w:tcPr>
            <w:tcW w:w="4074" w:type="dxa"/>
          </w:tcPr>
          <w:p w14:paraId="038A33B3" w14:textId="596ED4B4" w:rsidR="00A5652D" w:rsidRPr="00D462F0" w:rsidRDefault="00A5652D"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67EDFB12" w14:textId="0BE2E53F"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2FC5BF5A" w14:textId="1A814BED" w:rsidR="00A5652D" w:rsidRPr="00D462F0" w:rsidRDefault="00A5652D" w:rsidP="008F3FAE">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5" w:type="dxa"/>
          </w:tcPr>
          <w:p w14:paraId="504AA30E" w14:textId="77777777" w:rsidR="00A5652D" w:rsidRPr="00D462F0" w:rsidRDefault="00A5652D" w:rsidP="00D462F0">
            <w:pPr>
              <w:jc w:val="both"/>
              <w:rPr>
                <w:rFonts w:asciiTheme="majorHAnsi" w:hAnsiTheme="majorHAnsi" w:cstheme="majorHAnsi"/>
                <w:bCs/>
                <w:sz w:val="24"/>
                <w:szCs w:val="24"/>
              </w:rPr>
            </w:pPr>
          </w:p>
        </w:tc>
      </w:tr>
      <w:tr w:rsidR="00A5652D" w:rsidRPr="00C93770" w14:paraId="0E98EFD1" w14:textId="77777777" w:rsidTr="1756A420">
        <w:tc>
          <w:tcPr>
            <w:tcW w:w="4074" w:type="dxa"/>
          </w:tcPr>
          <w:p w14:paraId="089A819B" w14:textId="5E0DC301"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Alterações dos prazos do Anexo III</w:t>
            </w:r>
          </w:p>
        </w:tc>
        <w:tc>
          <w:tcPr>
            <w:tcW w:w="4074" w:type="dxa"/>
          </w:tcPr>
          <w:p w14:paraId="2A6ACD1C" w14:textId="50FEDB9F"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Alterações dos prazos do Anexo III</w:t>
            </w:r>
          </w:p>
        </w:tc>
        <w:tc>
          <w:tcPr>
            <w:tcW w:w="4074" w:type="dxa"/>
          </w:tcPr>
          <w:p w14:paraId="5C3C4FEE"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Trata-se de alteração de impacto operacional interno que tem objetivo de estabelecer prazo mínimo para tramitação das análises de requerimento.</w:t>
            </w:r>
          </w:p>
          <w:p w14:paraId="5E4B6EAE" w14:textId="10D35041"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Nesse sentido, por se tratar de artigo de natureza administrativa, com efeitos diretos à Previc, o caso se enquadra em não aplicabilidade para a realização de AIR. </w:t>
            </w:r>
          </w:p>
        </w:tc>
        <w:tc>
          <w:tcPr>
            <w:tcW w:w="4075" w:type="dxa"/>
          </w:tcPr>
          <w:p w14:paraId="392558C4" w14:textId="77777777"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2º, § 2º, inciso I.</w:t>
            </w:r>
          </w:p>
          <w:p w14:paraId="68CB2B58" w14:textId="77777777"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alteração de impacto operacional interno que tem objetivo de estabelecer prazo mínimo para tramitação das análises de requerimento.</w:t>
            </w:r>
          </w:p>
          <w:p w14:paraId="0EE1FC4E" w14:textId="554ACE7F"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se tratar de artigo de natureza administrativa, com efeitos diretos à Previc, o caso se enquadra em não aplicabilidade para a realização de AIR.</w:t>
            </w:r>
          </w:p>
        </w:tc>
      </w:tr>
    </w:tbl>
    <w:p w14:paraId="146B4441" w14:textId="77777777" w:rsidR="001F7F30" w:rsidRPr="00E17468" w:rsidRDefault="001F7F30">
      <w:pPr>
        <w:rPr>
          <w:sz w:val="24"/>
          <w:szCs w:val="24"/>
        </w:rPr>
      </w:pPr>
      <w:r w:rsidRPr="00E17468">
        <w:rPr>
          <w:sz w:val="24"/>
          <w:szCs w:val="24"/>
        </w:rPr>
        <w:br w:type="page"/>
      </w:r>
    </w:p>
    <w:p w14:paraId="1E47CB58" w14:textId="62647D76" w:rsidR="00C96878" w:rsidRPr="00460126" w:rsidRDefault="00C96878" w:rsidP="00E461A7">
      <w:pPr>
        <w:jc w:val="both"/>
        <w:rPr>
          <w:b/>
          <w:sz w:val="36"/>
          <w:szCs w:val="36"/>
        </w:rPr>
      </w:pPr>
      <w:r w:rsidRPr="00460126">
        <w:rPr>
          <w:b/>
          <w:sz w:val="36"/>
          <w:szCs w:val="36"/>
        </w:rPr>
        <w:lastRenderedPageBreak/>
        <w:t>Alterações do prazo do Anexo III</w:t>
      </w:r>
    </w:p>
    <w:p w14:paraId="2F65C540" w14:textId="77777777" w:rsidR="00C96878" w:rsidRPr="002E3FB9" w:rsidRDefault="00C96878" w:rsidP="00C96878">
      <w:pPr>
        <w:jc w:val="center"/>
        <w:rPr>
          <w:b/>
          <w:bCs/>
          <w:sz w:val="24"/>
          <w:szCs w:val="24"/>
        </w:rPr>
      </w:pPr>
      <w:r w:rsidRPr="002E3FB9">
        <w:rPr>
          <w:b/>
          <w:bCs/>
          <w:sz w:val="24"/>
          <w:szCs w:val="24"/>
        </w:rPr>
        <w:t>ANEXO III</w:t>
      </w:r>
    </w:p>
    <w:p w14:paraId="6E4CFE87" w14:textId="77777777" w:rsidR="00C96878" w:rsidRPr="002E3FB9" w:rsidRDefault="00C96878" w:rsidP="00C96878">
      <w:pPr>
        <w:jc w:val="center"/>
        <w:rPr>
          <w:sz w:val="24"/>
          <w:szCs w:val="24"/>
        </w:rPr>
      </w:pPr>
      <w:r w:rsidRPr="002E3FB9">
        <w:rPr>
          <w:sz w:val="24"/>
          <w:szCs w:val="24"/>
        </w:rPr>
        <w:t>PRAZOS DE ANÁLISE DE REQUERIMENTOS</w:t>
      </w:r>
    </w:p>
    <w:p w14:paraId="1ACD742C" w14:textId="77777777" w:rsidR="00C96878" w:rsidRPr="002E3FB9" w:rsidRDefault="00C96878" w:rsidP="00C96878">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5148"/>
        <w:gridCol w:w="1990"/>
        <w:gridCol w:w="1828"/>
        <w:gridCol w:w="2315"/>
        <w:gridCol w:w="1457"/>
        <w:gridCol w:w="2429"/>
      </w:tblGrid>
      <w:tr w:rsidR="00C96878" w:rsidRPr="002E3FB9" w14:paraId="6D45B619" w14:textId="77777777" w:rsidTr="00CD5175">
        <w:trPr>
          <w:trHeight w:val="679"/>
        </w:trPr>
        <w:tc>
          <w:tcPr>
            <w:tcW w:w="336" w:type="pct"/>
            <w:vMerge w:val="restart"/>
            <w:vAlign w:val="center"/>
          </w:tcPr>
          <w:p w14:paraId="56EE863D" w14:textId="671C9421" w:rsidR="00C96878" w:rsidRPr="002E3FB9" w:rsidRDefault="00C96878" w:rsidP="00CD5175">
            <w:pPr>
              <w:pStyle w:val="Default"/>
              <w:jc w:val="center"/>
              <w:rPr>
                <w:rFonts w:ascii="Aptos" w:hAnsi="Aptos"/>
                <w:b/>
                <w:bCs/>
              </w:rPr>
            </w:pPr>
            <w:r w:rsidRPr="002E3FB9">
              <w:rPr>
                <w:rFonts w:ascii="Aptos" w:hAnsi="Aptos"/>
                <w:b/>
                <w:bCs/>
              </w:rPr>
              <w:t>Item</w:t>
            </w:r>
          </w:p>
        </w:tc>
        <w:tc>
          <w:tcPr>
            <w:tcW w:w="1583" w:type="pct"/>
            <w:vMerge w:val="restart"/>
            <w:vAlign w:val="center"/>
          </w:tcPr>
          <w:p w14:paraId="17A0AC3A" w14:textId="4E6BA4BB" w:rsidR="00C96878" w:rsidRPr="002E3FB9" w:rsidRDefault="00C96878" w:rsidP="00CD5175">
            <w:pPr>
              <w:pStyle w:val="Default"/>
              <w:jc w:val="center"/>
              <w:rPr>
                <w:rFonts w:ascii="Aptos" w:hAnsi="Aptos"/>
                <w:b/>
                <w:bCs/>
              </w:rPr>
            </w:pPr>
            <w:r w:rsidRPr="002E3FB9">
              <w:rPr>
                <w:rFonts w:ascii="Aptos" w:hAnsi="Aptos"/>
                <w:b/>
                <w:bCs/>
              </w:rPr>
              <w:t>Tipo de Requerimento</w:t>
            </w:r>
          </w:p>
        </w:tc>
        <w:tc>
          <w:tcPr>
            <w:tcW w:w="1174" w:type="pct"/>
            <w:gridSpan w:val="2"/>
            <w:vAlign w:val="center"/>
          </w:tcPr>
          <w:p w14:paraId="09FBED4A" w14:textId="77777777" w:rsidR="00C96878" w:rsidRPr="002E3FB9" w:rsidRDefault="00C96878" w:rsidP="00CD5175">
            <w:pPr>
              <w:pStyle w:val="Default"/>
              <w:jc w:val="center"/>
              <w:rPr>
                <w:rFonts w:ascii="Aptos" w:hAnsi="Aptos"/>
                <w:b/>
                <w:bCs/>
              </w:rPr>
            </w:pPr>
            <w:r w:rsidRPr="002E3FB9">
              <w:rPr>
                <w:rFonts w:ascii="Aptos" w:hAnsi="Aptos"/>
                <w:b/>
                <w:bCs/>
              </w:rPr>
              <w:t>Prazo de análise</w:t>
            </w:r>
          </w:p>
          <w:p w14:paraId="20CAD68C" w14:textId="77777777" w:rsidR="00C96878" w:rsidRPr="002E3FB9" w:rsidRDefault="00C96878" w:rsidP="00CD5175">
            <w:pPr>
              <w:pStyle w:val="Default"/>
              <w:jc w:val="center"/>
              <w:rPr>
                <w:rFonts w:ascii="Aptos" w:hAnsi="Aptos"/>
                <w:b/>
                <w:bCs/>
              </w:rPr>
            </w:pPr>
            <w:r w:rsidRPr="002E3FB9">
              <w:rPr>
                <w:rFonts w:ascii="Aptos" w:hAnsi="Aptos"/>
                <w:b/>
                <w:bCs/>
              </w:rPr>
              <w:t>FASE DE INSTRUÇÃO</w:t>
            </w:r>
          </w:p>
          <w:p w14:paraId="20958836" w14:textId="2E9AB89F" w:rsidR="00C96878" w:rsidRPr="002E3FB9" w:rsidRDefault="00C96878" w:rsidP="00CD5175">
            <w:pPr>
              <w:pStyle w:val="Default"/>
              <w:jc w:val="center"/>
              <w:rPr>
                <w:rFonts w:ascii="Aptos" w:hAnsi="Aptos"/>
                <w:b/>
                <w:bCs/>
              </w:rPr>
            </w:pPr>
            <w:r w:rsidRPr="002E3FB9">
              <w:rPr>
                <w:rFonts w:ascii="Aptos" w:hAnsi="Aptos"/>
                <w:b/>
                <w:bCs/>
              </w:rPr>
              <w:t>(em dias)</w:t>
            </w:r>
          </w:p>
        </w:tc>
        <w:tc>
          <w:tcPr>
            <w:tcW w:w="712" w:type="pct"/>
            <w:vMerge w:val="restart"/>
            <w:vAlign w:val="center"/>
          </w:tcPr>
          <w:p w14:paraId="239740CF" w14:textId="77777777" w:rsidR="00C96878" w:rsidRPr="002E3FB9" w:rsidRDefault="00C96878" w:rsidP="00CD5175">
            <w:pPr>
              <w:pStyle w:val="Default"/>
              <w:jc w:val="center"/>
              <w:rPr>
                <w:rFonts w:ascii="Aptos" w:hAnsi="Aptos"/>
                <w:b/>
                <w:bCs/>
              </w:rPr>
            </w:pPr>
            <w:r w:rsidRPr="002E3FB9">
              <w:rPr>
                <w:rFonts w:ascii="Aptos" w:hAnsi="Aptos"/>
                <w:b/>
                <w:bCs/>
              </w:rPr>
              <w:t>Prazo de decisão</w:t>
            </w:r>
          </w:p>
          <w:p w14:paraId="7C9DF9B8" w14:textId="77777777" w:rsidR="00C96878" w:rsidRPr="002E3FB9" w:rsidRDefault="00C96878" w:rsidP="00CD5175">
            <w:pPr>
              <w:pStyle w:val="Default"/>
              <w:jc w:val="center"/>
              <w:rPr>
                <w:rFonts w:ascii="Aptos" w:hAnsi="Aptos"/>
                <w:b/>
                <w:bCs/>
              </w:rPr>
            </w:pPr>
            <w:r w:rsidRPr="002E3FB9">
              <w:rPr>
                <w:rFonts w:ascii="Aptos" w:hAnsi="Aptos"/>
                <w:b/>
                <w:bCs/>
              </w:rPr>
              <w:t>FASE DE DECISÃO</w:t>
            </w:r>
          </w:p>
          <w:p w14:paraId="538214B5" w14:textId="00A968E8" w:rsidR="00C96878" w:rsidRPr="002E3FB9" w:rsidRDefault="00C96878" w:rsidP="00CD5175">
            <w:pPr>
              <w:pStyle w:val="Default"/>
              <w:jc w:val="center"/>
              <w:rPr>
                <w:rFonts w:ascii="Aptos" w:hAnsi="Aptos"/>
                <w:b/>
                <w:bCs/>
              </w:rPr>
            </w:pPr>
            <w:r w:rsidRPr="002E3FB9">
              <w:rPr>
                <w:rFonts w:ascii="Aptos" w:hAnsi="Aptos"/>
                <w:b/>
                <w:bCs/>
              </w:rPr>
              <w:t>(em dias)</w:t>
            </w:r>
          </w:p>
        </w:tc>
        <w:tc>
          <w:tcPr>
            <w:tcW w:w="448" w:type="pct"/>
            <w:vMerge w:val="restart"/>
            <w:vAlign w:val="center"/>
          </w:tcPr>
          <w:p w14:paraId="4061502D" w14:textId="77777777" w:rsidR="00C96878" w:rsidRPr="002E3FB9" w:rsidRDefault="00C96878" w:rsidP="00CD5175">
            <w:pPr>
              <w:pStyle w:val="Default"/>
              <w:jc w:val="center"/>
              <w:rPr>
                <w:rFonts w:ascii="Aptos" w:hAnsi="Aptos"/>
                <w:b/>
                <w:bCs/>
              </w:rPr>
            </w:pPr>
            <w:r w:rsidRPr="002E3FB9">
              <w:rPr>
                <w:rFonts w:ascii="Aptos" w:hAnsi="Aptos"/>
                <w:b/>
                <w:bCs/>
              </w:rPr>
              <w:t>Nível de Risco</w:t>
            </w:r>
          </w:p>
        </w:tc>
        <w:tc>
          <w:tcPr>
            <w:tcW w:w="747" w:type="pct"/>
            <w:vMerge w:val="restart"/>
            <w:vAlign w:val="center"/>
          </w:tcPr>
          <w:p w14:paraId="704DA1D1" w14:textId="77777777" w:rsidR="00C96878" w:rsidRPr="002E3FB9" w:rsidRDefault="00C96878" w:rsidP="00CD5175">
            <w:pPr>
              <w:pStyle w:val="Default"/>
              <w:jc w:val="center"/>
              <w:rPr>
                <w:rFonts w:ascii="Aptos" w:hAnsi="Aptos"/>
                <w:b/>
                <w:bCs/>
              </w:rPr>
            </w:pPr>
            <w:r w:rsidRPr="002E3FB9">
              <w:rPr>
                <w:rFonts w:ascii="Aptos" w:hAnsi="Aptos"/>
                <w:b/>
                <w:bCs/>
              </w:rPr>
              <w:t>Base Normativa</w:t>
            </w:r>
          </w:p>
        </w:tc>
      </w:tr>
      <w:tr w:rsidR="00C96878" w:rsidRPr="002E3FB9" w14:paraId="0C1F7CC9" w14:textId="77777777" w:rsidTr="00D1730A">
        <w:trPr>
          <w:trHeight w:val="337"/>
        </w:trPr>
        <w:tc>
          <w:tcPr>
            <w:tcW w:w="336" w:type="pct"/>
            <w:vMerge/>
          </w:tcPr>
          <w:p w14:paraId="2667E1EF" w14:textId="77777777" w:rsidR="00C96878" w:rsidRPr="002E3FB9" w:rsidRDefault="00C96878" w:rsidP="00D1730A">
            <w:pPr>
              <w:pStyle w:val="Default"/>
              <w:rPr>
                <w:rFonts w:ascii="Aptos" w:hAnsi="Aptos"/>
                <w:b/>
                <w:bCs/>
              </w:rPr>
            </w:pPr>
          </w:p>
        </w:tc>
        <w:tc>
          <w:tcPr>
            <w:tcW w:w="1583" w:type="pct"/>
            <w:vMerge/>
          </w:tcPr>
          <w:p w14:paraId="7A53433F" w14:textId="77777777" w:rsidR="00C96878" w:rsidRPr="002E3FB9" w:rsidRDefault="00C96878" w:rsidP="00D1730A">
            <w:pPr>
              <w:pStyle w:val="Default"/>
              <w:rPr>
                <w:rFonts w:ascii="Aptos" w:hAnsi="Aptos"/>
                <w:b/>
                <w:bCs/>
              </w:rPr>
            </w:pPr>
          </w:p>
        </w:tc>
        <w:tc>
          <w:tcPr>
            <w:tcW w:w="612" w:type="pct"/>
          </w:tcPr>
          <w:p w14:paraId="6747B548" w14:textId="77777777" w:rsidR="00C96878" w:rsidRPr="002E3FB9" w:rsidRDefault="00C96878" w:rsidP="002E3FB9">
            <w:pPr>
              <w:spacing w:after="0" w:line="240" w:lineRule="auto"/>
              <w:jc w:val="center"/>
              <w:rPr>
                <w:b/>
                <w:bCs/>
              </w:rPr>
            </w:pPr>
            <w:r w:rsidRPr="002E3FB9">
              <w:rPr>
                <w:b/>
                <w:color w:val="0000FF"/>
                <w:sz w:val="24"/>
                <w:szCs w:val="24"/>
              </w:rPr>
              <w:t>Mínimo</w:t>
            </w:r>
          </w:p>
        </w:tc>
        <w:tc>
          <w:tcPr>
            <w:tcW w:w="562" w:type="pct"/>
          </w:tcPr>
          <w:p w14:paraId="45026C7D" w14:textId="77777777" w:rsidR="00C96878" w:rsidRPr="002E3FB9" w:rsidRDefault="00C96878" w:rsidP="002E3FB9">
            <w:pPr>
              <w:spacing w:after="0" w:line="240" w:lineRule="auto"/>
              <w:jc w:val="center"/>
              <w:rPr>
                <w:b/>
              </w:rPr>
            </w:pPr>
            <w:r w:rsidRPr="003F0A4C">
              <w:rPr>
                <w:b/>
                <w:color w:val="0000FF"/>
                <w:sz w:val="24"/>
                <w:szCs w:val="24"/>
              </w:rPr>
              <w:t>Máximo</w:t>
            </w:r>
          </w:p>
        </w:tc>
        <w:tc>
          <w:tcPr>
            <w:tcW w:w="712" w:type="pct"/>
            <w:vMerge/>
          </w:tcPr>
          <w:p w14:paraId="0908CF61" w14:textId="77777777" w:rsidR="00C96878" w:rsidRPr="002E3FB9" w:rsidRDefault="00C96878" w:rsidP="00D1730A">
            <w:pPr>
              <w:pStyle w:val="Default"/>
              <w:rPr>
                <w:rFonts w:ascii="Aptos" w:hAnsi="Aptos"/>
                <w:b/>
                <w:bCs/>
              </w:rPr>
            </w:pPr>
          </w:p>
        </w:tc>
        <w:tc>
          <w:tcPr>
            <w:tcW w:w="448" w:type="pct"/>
            <w:vMerge/>
          </w:tcPr>
          <w:p w14:paraId="32087928" w14:textId="77777777" w:rsidR="00C96878" w:rsidRPr="002E3FB9" w:rsidRDefault="00C96878" w:rsidP="00D1730A">
            <w:pPr>
              <w:pStyle w:val="Default"/>
              <w:rPr>
                <w:rFonts w:ascii="Aptos" w:hAnsi="Aptos"/>
                <w:b/>
                <w:bCs/>
              </w:rPr>
            </w:pPr>
          </w:p>
        </w:tc>
        <w:tc>
          <w:tcPr>
            <w:tcW w:w="747" w:type="pct"/>
            <w:vMerge/>
          </w:tcPr>
          <w:p w14:paraId="0A1CC0DC" w14:textId="77777777" w:rsidR="00C96878" w:rsidRPr="002E3FB9" w:rsidRDefault="00C96878" w:rsidP="00D1730A">
            <w:pPr>
              <w:pStyle w:val="Default"/>
              <w:rPr>
                <w:rFonts w:ascii="Aptos" w:hAnsi="Aptos"/>
                <w:b/>
                <w:bCs/>
              </w:rPr>
            </w:pPr>
          </w:p>
        </w:tc>
      </w:tr>
      <w:tr w:rsidR="00BA32FC" w:rsidRPr="002E3FB9" w14:paraId="204DAF48" w14:textId="77777777" w:rsidTr="00D1730A">
        <w:trPr>
          <w:trHeight w:val="472"/>
        </w:trPr>
        <w:tc>
          <w:tcPr>
            <w:tcW w:w="336" w:type="pct"/>
          </w:tcPr>
          <w:p w14:paraId="2F02DBB9" w14:textId="666369F2" w:rsidR="00BA32FC" w:rsidRPr="002E3FB9" w:rsidRDefault="00BA32FC" w:rsidP="00BA32FC">
            <w:pPr>
              <w:pStyle w:val="Default"/>
              <w:rPr>
                <w:rFonts w:ascii="Aptos" w:hAnsi="Aptos"/>
              </w:rPr>
            </w:pPr>
            <w:r>
              <w:t>1</w:t>
            </w:r>
          </w:p>
        </w:tc>
        <w:tc>
          <w:tcPr>
            <w:tcW w:w="1583" w:type="pct"/>
          </w:tcPr>
          <w:p w14:paraId="1BB42499" w14:textId="663DB3A5" w:rsidR="00BA32FC" w:rsidRPr="002E3FB9" w:rsidRDefault="00BA32FC" w:rsidP="00BA32FC">
            <w:pPr>
              <w:pStyle w:val="Default"/>
              <w:rPr>
                <w:rFonts w:ascii="Aptos" w:hAnsi="Aptos"/>
              </w:rPr>
            </w:pPr>
            <w:r>
              <w:t>Constituição de EFPC</w:t>
            </w:r>
          </w:p>
        </w:tc>
        <w:tc>
          <w:tcPr>
            <w:tcW w:w="612" w:type="pct"/>
          </w:tcPr>
          <w:p w14:paraId="68ECB3A2" w14:textId="6F6657DB"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5BB43494" w14:textId="34A9DAC3"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2B51ECBB" w14:textId="1CFF3DAC"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00F3890B" w14:textId="655DCB5D" w:rsidR="00BA32FC" w:rsidRPr="002E3FB9" w:rsidRDefault="00BA32FC" w:rsidP="00BA32FC">
            <w:pPr>
              <w:pStyle w:val="Default"/>
              <w:jc w:val="center"/>
              <w:rPr>
                <w:rFonts w:ascii="Aptos" w:hAnsi="Aptos"/>
              </w:rPr>
            </w:pPr>
            <w:r>
              <w:t>III</w:t>
            </w:r>
          </w:p>
        </w:tc>
        <w:tc>
          <w:tcPr>
            <w:tcW w:w="747" w:type="pct"/>
          </w:tcPr>
          <w:p w14:paraId="3D85F6C1"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5511A0AB" w14:textId="57582EE4"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7114DC25" w14:textId="77777777" w:rsidTr="00D1730A">
        <w:trPr>
          <w:trHeight w:val="473"/>
        </w:trPr>
        <w:tc>
          <w:tcPr>
            <w:tcW w:w="336" w:type="pct"/>
          </w:tcPr>
          <w:p w14:paraId="5F4A0F35" w14:textId="77C84F7C" w:rsidR="00BA32FC" w:rsidRPr="002E3FB9" w:rsidRDefault="00BA32FC" w:rsidP="00BA32FC">
            <w:pPr>
              <w:pStyle w:val="Default"/>
              <w:rPr>
                <w:rFonts w:ascii="Aptos" w:hAnsi="Aptos"/>
              </w:rPr>
            </w:pPr>
            <w:r>
              <w:t>2</w:t>
            </w:r>
          </w:p>
        </w:tc>
        <w:tc>
          <w:tcPr>
            <w:tcW w:w="1583" w:type="pct"/>
          </w:tcPr>
          <w:p w14:paraId="37364AFB" w14:textId="05FE88B9" w:rsidR="00BA32FC" w:rsidRPr="002E3FB9" w:rsidRDefault="00BA32FC" w:rsidP="00BA32FC">
            <w:pPr>
              <w:pStyle w:val="Default"/>
              <w:rPr>
                <w:rFonts w:ascii="Aptos" w:hAnsi="Aptos"/>
              </w:rPr>
            </w:pPr>
            <w:r>
              <w:t>Alteração de estatuto</w:t>
            </w:r>
          </w:p>
        </w:tc>
        <w:tc>
          <w:tcPr>
            <w:tcW w:w="612" w:type="pct"/>
          </w:tcPr>
          <w:p w14:paraId="38E75A26" w14:textId="11D11BB9"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1E7A2AEA" w14:textId="7AA569A2" w:rsidR="00BA32FC" w:rsidRPr="00CD5175" w:rsidRDefault="00BA32FC" w:rsidP="00BA32FC">
            <w:pPr>
              <w:pStyle w:val="Default"/>
              <w:jc w:val="center"/>
              <w:rPr>
                <w:rFonts w:ascii="Aptos" w:hAnsi="Aptos"/>
                <w:b/>
                <w:bCs/>
                <w:color w:val="0000FF"/>
              </w:rPr>
            </w:pPr>
            <w:r w:rsidRPr="00CD5175">
              <w:rPr>
                <w:rStyle w:val="Forte"/>
                <w:b w:val="0"/>
                <w:bCs w:val="0"/>
                <w:color w:val="0000FF"/>
              </w:rPr>
              <w:t>75</w:t>
            </w:r>
          </w:p>
        </w:tc>
        <w:tc>
          <w:tcPr>
            <w:tcW w:w="712" w:type="pct"/>
          </w:tcPr>
          <w:p w14:paraId="4FCD14F2" w14:textId="4037D60A"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09A95BC3" w14:textId="5EEA73EE" w:rsidR="00BA32FC" w:rsidRPr="002E3FB9" w:rsidRDefault="00BA32FC" w:rsidP="00BA32FC">
            <w:pPr>
              <w:pStyle w:val="Default"/>
              <w:jc w:val="center"/>
              <w:rPr>
                <w:rFonts w:ascii="Aptos" w:hAnsi="Aptos"/>
              </w:rPr>
            </w:pPr>
            <w:r>
              <w:t>III</w:t>
            </w:r>
          </w:p>
        </w:tc>
        <w:tc>
          <w:tcPr>
            <w:tcW w:w="747" w:type="pct"/>
          </w:tcPr>
          <w:p w14:paraId="1B8D60A7"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6FBB328" w14:textId="19C1A95B"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5669228B" w14:textId="77777777" w:rsidTr="00D1730A">
        <w:trPr>
          <w:trHeight w:val="473"/>
        </w:trPr>
        <w:tc>
          <w:tcPr>
            <w:tcW w:w="336" w:type="pct"/>
          </w:tcPr>
          <w:p w14:paraId="484E76BF" w14:textId="2A14DCBB" w:rsidR="00BA32FC" w:rsidRPr="002E3FB9" w:rsidRDefault="00BA32FC" w:rsidP="00BA32FC">
            <w:pPr>
              <w:pStyle w:val="Default"/>
              <w:rPr>
                <w:rFonts w:ascii="Aptos" w:hAnsi="Aptos"/>
              </w:rPr>
            </w:pPr>
            <w:r>
              <w:t>3</w:t>
            </w:r>
          </w:p>
        </w:tc>
        <w:tc>
          <w:tcPr>
            <w:tcW w:w="1583" w:type="pct"/>
          </w:tcPr>
          <w:p w14:paraId="052E483E" w14:textId="1D12D1D0" w:rsidR="00BA32FC" w:rsidRPr="002E3FB9" w:rsidRDefault="00BA32FC" w:rsidP="00BA32FC">
            <w:pPr>
              <w:spacing w:after="0" w:line="240" w:lineRule="auto"/>
            </w:pPr>
            <w:r>
              <w:rPr>
                <w:rFonts w:ascii="Calibri" w:hAnsi="Calibri" w:cs="Calibri"/>
                <w:b/>
                <w:bCs/>
                <w:color w:val="0000FF"/>
              </w:rPr>
              <w:t>Implantação</w:t>
            </w:r>
            <w:r>
              <w:rPr>
                <w:rFonts w:ascii="Calibri" w:hAnsi="Calibri" w:cs="Calibri"/>
                <w:color w:val="0000FF"/>
              </w:rPr>
              <w:t> </w:t>
            </w:r>
            <w:r>
              <w:rPr>
                <w:rFonts w:ascii="Calibri" w:hAnsi="Calibri" w:cs="Calibri"/>
                <w:color w:val="000000"/>
              </w:rPr>
              <w:t>de plano de benefícios</w:t>
            </w:r>
          </w:p>
        </w:tc>
        <w:tc>
          <w:tcPr>
            <w:tcW w:w="612" w:type="pct"/>
          </w:tcPr>
          <w:p w14:paraId="5B96379B" w14:textId="27AC44F5"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2CE02148" w14:textId="650186CC" w:rsidR="00BA32FC" w:rsidRPr="00CD5175" w:rsidRDefault="00BA32FC" w:rsidP="00BA32FC">
            <w:pPr>
              <w:pStyle w:val="Default"/>
              <w:jc w:val="center"/>
              <w:rPr>
                <w:rFonts w:ascii="Aptos" w:hAnsi="Aptos"/>
                <w:b/>
                <w:bCs/>
                <w:color w:val="0000FF"/>
              </w:rPr>
            </w:pPr>
            <w:r w:rsidRPr="00CD5175">
              <w:rPr>
                <w:rStyle w:val="Forte"/>
                <w:b w:val="0"/>
                <w:bCs w:val="0"/>
                <w:color w:val="0000FF"/>
              </w:rPr>
              <w:t>75</w:t>
            </w:r>
          </w:p>
        </w:tc>
        <w:tc>
          <w:tcPr>
            <w:tcW w:w="712" w:type="pct"/>
          </w:tcPr>
          <w:p w14:paraId="2D69972E" w14:textId="58715D7A"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46D99940" w14:textId="1B72460D" w:rsidR="00BA32FC" w:rsidRPr="002E3FB9" w:rsidRDefault="00BA32FC" w:rsidP="00BA32FC">
            <w:pPr>
              <w:pStyle w:val="Default"/>
              <w:jc w:val="center"/>
              <w:rPr>
                <w:rFonts w:ascii="Aptos" w:hAnsi="Aptos"/>
              </w:rPr>
            </w:pPr>
            <w:r>
              <w:t>III</w:t>
            </w:r>
          </w:p>
        </w:tc>
        <w:tc>
          <w:tcPr>
            <w:tcW w:w="747" w:type="pct"/>
          </w:tcPr>
          <w:p w14:paraId="410173BC"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5248E05" w14:textId="6FC1BE73"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0609E2B8" w14:textId="77777777" w:rsidTr="00D1730A">
        <w:trPr>
          <w:trHeight w:val="705"/>
        </w:trPr>
        <w:tc>
          <w:tcPr>
            <w:tcW w:w="336" w:type="pct"/>
          </w:tcPr>
          <w:p w14:paraId="1A5F0856" w14:textId="77A561EE" w:rsidR="00BA32FC" w:rsidRPr="002E3FB9" w:rsidRDefault="00BA32FC" w:rsidP="00BA32FC">
            <w:pPr>
              <w:pStyle w:val="Default"/>
              <w:rPr>
                <w:rFonts w:ascii="Aptos" w:hAnsi="Aptos"/>
              </w:rPr>
            </w:pPr>
            <w:r>
              <w:t>4</w:t>
            </w:r>
          </w:p>
        </w:tc>
        <w:tc>
          <w:tcPr>
            <w:tcW w:w="1583" w:type="pct"/>
          </w:tcPr>
          <w:p w14:paraId="4ACF9CEA" w14:textId="1E60ACAE" w:rsidR="00BA32FC" w:rsidRPr="002E3FB9" w:rsidRDefault="00BA32FC" w:rsidP="00BA32FC">
            <w:pPr>
              <w:spacing w:after="0" w:line="240" w:lineRule="auto"/>
            </w:pPr>
            <w:r>
              <w:rPr>
                <w:rFonts w:ascii="Calibri" w:hAnsi="Calibri" w:cs="Calibri"/>
                <w:b/>
                <w:bCs/>
                <w:color w:val="0000FF"/>
              </w:rPr>
              <w:t>Implantação</w:t>
            </w:r>
            <w:r>
              <w:rPr>
                <w:rFonts w:ascii="Calibri" w:hAnsi="Calibri" w:cs="Calibri"/>
                <w:color w:val="0000FF"/>
              </w:rPr>
              <w:t> </w:t>
            </w:r>
            <w:r>
              <w:rPr>
                <w:rFonts w:ascii="Calibri" w:hAnsi="Calibri" w:cs="Calibri"/>
                <w:color w:val="000000"/>
              </w:rPr>
              <w:t>de plano de benefícios (com base em modelo certificado ou modelo padronizado)</w:t>
            </w:r>
          </w:p>
        </w:tc>
        <w:tc>
          <w:tcPr>
            <w:tcW w:w="612" w:type="pct"/>
          </w:tcPr>
          <w:p w14:paraId="19C39666" w14:textId="468CCB39"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w:t>
            </w:r>
          </w:p>
        </w:tc>
        <w:tc>
          <w:tcPr>
            <w:tcW w:w="562" w:type="pct"/>
          </w:tcPr>
          <w:p w14:paraId="7F6D9547" w14:textId="6840D984"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712" w:type="pct"/>
          </w:tcPr>
          <w:p w14:paraId="2A04B6E9" w14:textId="717B0ADD"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448" w:type="pct"/>
          </w:tcPr>
          <w:p w14:paraId="11E9D4B3" w14:textId="34F03F98" w:rsidR="00BA32FC" w:rsidRPr="002E3FB9" w:rsidRDefault="00BA32FC" w:rsidP="00BA32FC">
            <w:pPr>
              <w:pStyle w:val="Default"/>
              <w:jc w:val="center"/>
              <w:rPr>
                <w:rFonts w:ascii="Aptos" w:hAnsi="Aptos"/>
              </w:rPr>
            </w:pPr>
            <w:r>
              <w:t>II</w:t>
            </w:r>
          </w:p>
        </w:tc>
        <w:tc>
          <w:tcPr>
            <w:tcW w:w="747" w:type="pct"/>
          </w:tcPr>
          <w:p w14:paraId="3169E0DB"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694D05A" w14:textId="45E3F61E"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2CAE8153" w14:textId="77777777" w:rsidTr="00D1730A">
        <w:trPr>
          <w:trHeight w:val="472"/>
        </w:trPr>
        <w:tc>
          <w:tcPr>
            <w:tcW w:w="336" w:type="pct"/>
          </w:tcPr>
          <w:p w14:paraId="444B4E09" w14:textId="3B485503" w:rsidR="00BA32FC" w:rsidRPr="002E3FB9" w:rsidRDefault="00BA32FC" w:rsidP="00BA32FC">
            <w:pPr>
              <w:pStyle w:val="Default"/>
              <w:rPr>
                <w:rFonts w:ascii="Aptos" w:hAnsi="Aptos"/>
              </w:rPr>
            </w:pPr>
            <w:r>
              <w:t>5</w:t>
            </w:r>
          </w:p>
        </w:tc>
        <w:tc>
          <w:tcPr>
            <w:tcW w:w="1583" w:type="pct"/>
          </w:tcPr>
          <w:p w14:paraId="17FD9B05" w14:textId="4568BA2D" w:rsidR="00BA32FC" w:rsidRPr="002E3FB9" w:rsidRDefault="00BA32FC" w:rsidP="00BA32FC">
            <w:pPr>
              <w:pStyle w:val="Default"/>
              <w:rPr>
                <w:rFonts w:ascii="Aptos" w:hAnsi="Aptos"/>
              </w:rPr>
            </w:pPr>
            <w:r>
              <w:t>Alteração de regulamento de plano de benefícios</w:t>
            </w:r>
          </w:p>
        </w:tc>
        <w:tc>
          <w:tcPr>
            <w:tcW w:w="612" w:type="pct"/>
          </w:tcPr>
          <w:p w14:paraId="7730C9EF" w14:textId="7153D957"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10</w:t>
            </w:r>
          </w:p>
        </w:tc>
        <w:tc>
          <w:tcPr>
            <w:tcW w:w="562" w:type="pct"/>
          </w:tcPr>
          <w:p w14:paraId="25BFBBBB" w14:textId="157B10FE" w:rsidR="00BA32FC" w:rsidRPr="00CD5175" w:rsidRDefault="00BA32FC" w:rsidP="00BA32FC">
            <w:pPr>
              <w:pStyle w:val="Default"/>
              <w:jc w:val="center"/>
              <w:rPr>
                <w:rFonts w:ascii="Aptos" w:hAnsi="Aptos"/>
                <w:b/>
                <w:bCs/>
                <w:color w:val="0000FF"/>
              </w:rPr>
            </w:pPr>
            <w:r w:rsidRPr="00CD5175">
              <w:rPr>
                <w:rStyle w:val="Forte"/>
                <w:b w:val="0"/>
                <w:bCs w:val="0"/>
                <w:color w:val="0000FF"/>
              </w:rPr>
              <w:t>35</w:t>
            </w:r>
          </w:p>
        </w:tc>
        <w:tc>
          <w:tcPr>
            <w:tcW w:w="712" w:type="pct"/>
          </w:tcPr>
          <w:p w14:paraId="4791A99C" w14:textId="2F970BEE"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3A2493BF" w14:textId="42E1EB59" w:rsidR="00BA32FC" w:rsidRPr="002E3FB9" w:rsidRDefault="00BA32FC" w:rsidP="00BA32FC">
            <w:pPr>
              <w:pStyle w:val="Default"/>
              <w:jc w:val="center"/>
              <w:rPr>
                <w:rFonts w:ascii="Aptos" w:hAnsi="Aptos"/>
              </w:rPr>
            </w:pPr>
            <w:r>
              <w:t>III</w:t>
            </w:r>
          </w:p>
        </w:tc>
        <w:tc>
          <w:tcPr>
            <w:tcW w:w="747" w:type="pct"/>
          </w:tcPr>
          <w:p w14:paraId="76C01D5F"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76E790E4" w14:textId="4333CC28"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4C312550" w14:textId="77777777" w:rsidTr="00D1730A">
        <w:trPr>
          <w:trHeight w:val="472"/>
        </w:trPr>
        <w:tc>
          <w:tcPr>
            <w:tcW w:w="336" w:type="pct"/>
          </w:tcPr>
          <w:p w14:paraId="3DA428CA" w14:textId="74A65706" w:rsidR="00BA32FC" w:rsidRPr="002E3FB9" w:rsidRDefault="00BA32FC" w:rsidP="00BA32FC">
            <w:pPr>
              <w:pStyle w:val="Default"/>
              <w:rPr>
                <w:rFonts w:ascii="Aptos" w:hAnsi="Aptos"/>
              </w:rPr>
            </w:pPr>
            <w:r>
              <w:t>6</w:t>
            </w:r>
          </w:p>
        </w:tc>
        <w:tc>
          <w:tcPr>
            <w:tcW w:w="1583" w:type="pct"/>
          </w:tcPr>
          <w:p w14:paraId="5DBDACD7" w14:textId="49DA041C" w:rsidR="00BA32FC" w:rsidRPr="002E3FB9" w:rsidRDefault="00BA32FC" w:rsidP="00BA32FC">
            <w:pPr>
              <w:pStyle w:val="Default"/>
              <w:rPr>
                <w:rFonts w:ascii="Aptos" w:hAnsi="Aptos"/>
              </w:rPr>
            </w:pPr>
            <w:r>
              <w:t>Alteração de regulamento de plano de benefícios por licenciamento automático</w:t>
            </w:r>
          </w:p>
        </w:tc>
        <w:tc>
          <w:tcPr>
            <w:tcW w:w="612" w:type="pct"/>
          </w:tcPr>
          <w:p w14:paraId="509C9DAE" w14:textId="683E4132"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w:t>
            </w:r>
          </w:p>
        </w:tc>
        <w:tc>
          <w:tcPr>
            <w:tcW w:w="562" w:type="pct"/>
          </w:tcPr>
          <w:p w14:paraId="2359F36E" w14:textId="46F13B6B"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712" w:type="pct"/>
          </w:tcPr>
          <w:p w14:paraId="4CDC86EC" w14:textId="11648B0E"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448" w:type="pct"/>
          </w:tcPr>
          <w:p w14:paraId="4330DBE8" w14:textId="3CDE5C82" w:rsidR="00BA32FC" w:rsidRPr="002E3FB9" w:rsidRDefault="00BA32FC" w:rsidP="00BA32FC">
            <w:pPr>
              <w:pStyle w:val="Default"/>
              <w:jc w:val="center"/>
              <w:rPr>
                <w:rFonts w:ascii="Aptos" w:hAnsi="Aptos"/>
              </w:rPr>
            </w:pPr>
            <w:r>
              <w:t>II</w:t>
            </w:r>
          </w:p>
        </w:tc>
        <w:tc>
          <w:tcPr>
            <w:tcW w:w="747" w:type="pct"/>
          </w:tcPr>
          <w:p w14:paraId="574844E1"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46E7F865" w14:textId="0A8741C2"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7D09A60D" w14:textId="77777777" w:rsidTr="00D1730A">
        <w:trPr>
          <w:trHeight w:val="472"/>
        </w:trPr>
        <w:tc>
          <w:tcPr>
            <w:tcW w:w="336" w:type="pct"/>
          </w:tcPr>
          <w:p w14:paraId="14715A1D" w14:textId="4DCD59A7" w:rsidR="00BA32FC" w:rsidRPr="002E3FB9" w:rsidRDefault="00BA32FC" w:rsidP="00BA32FC">
            <w:pPr>
              <w:pStyle w:val="Default"/>
              <w:rPr>
                <w:rFonts w:ascii="Aptos" w:hAnsi="Aptos"/>
              </w:rPr>
            </w:pPr>
            <w:r>
              <w:t>7</w:t>
            </w:r>
          </w:p>
        </w:tc>
        <w:tc>
          <w:tcPr>
            <w:tcW w:w="1583" w:type="pct"/>
          </w:tcPr>
          <w:p w14:paraId="5B9ABB2A" w14:textId="3037D7B6" w:rsidR="00BA32FC" w:rsidRPr="002E3FB9" w:rsidRDefault="00BA32FC" w:rsidP="00BA32FC">
            <w:pPr>
              <w:pStyle w:val="Default"/>
              <w:rPr>
                <w:rFonts w:ascii="Aptos" w:hAnsi="Aptos"/>
              </w:rPr>
            </w:pPr>
            <w:r>
              <w:t>Aprovação de convênio de adesão</w:t>
            </w:r>
          </w:p>
        </w:tc>
        <w:tc>
          <w:tcPr>
            <w:tcW w:w="612" w:type="pct"/>
          </w:tcPr>
          <w:p w14:paraId="5A0B0FAD" w14:textId="6AC3C841"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75653C62" w14:textId="64A6E518" w:rsidR="00BA32FC" w:rsidRPr="00CD5175" w:rsidRDefault="00BA32FC" w:rsidP="00BA32FC">
            <w:pPr>
              <w:pStyle w:val="Default"/>
              <w:jc w:val="center"/>
              <w:rPr>
                <w:rFonts w:ascii="Aptos" w:hAnsi="Aptos"/>
                <w:b/>
                <w:bCs/>
                <w:color w:val="0000FF"/>
              </w:rPr>
            </w:pPr>
            <w:r w:rsidRPr="00CD5175">
              <w:rPr>
                <w:rStyle w:val="Forte"/>
                <w:b w:val="0"/>
                <w:bCs w:val="0"/>
                <w:color w:val="0000FF"/>
              </w:rPr>
              <w:t>55</w:t>
            </w:r>
          </w:p>
        </w:tc>
        <w:tc>
          <w:tcPr>
            <w:tcW w:w="712" w:type="pct"/>
          </w:tcPr>
          <w:p w14:paraId="47CA61F4" w14:textId="7BB4E483"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3A1CAC47" w14:textId="1701C199" w:rsidR="00BA32FC" w:rsidRPr="002E3FB9" w:rsidRDefault="00BA32FC" w:rsidP="00BA32FC">
            <w:pPr>
              <w:pStyle w:val="Default"/>
              <w:jc w:val="center"/>
              <w:rPr>
                <w:rFonts w:ascii="Aptos" w:hAnsi="Aptos"/>
              </w:rPr>
            </w:pPr>
            <w:r>
              <w:t>III</w:t>
            </w:r>
          </w:p>
        </w:tc>
        <w:tc>
          <w:tcPr>
            <w:tcW w:w="747" w:type="pct"/>
          </w:tcPr>
          <w:p w14:paraId="20110597"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0B595474" w14:textId="481045C6"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362B2CA3" w14:textId="77777777" w:rsidTr="00D1730A">
        <w:trPr>
          <w:trHeight w:val="472"/>
        </w:trPr>
        <w:tc>
          <w:tcPr>
            <w:tcW w:w="336" w:type="pct"/>
          </w:tcPr>
          <w:p w14:paraId="76343E99" w14:textId="5E95B845" w:rsidR="00BA32FC" w:rsidRPr="002E3FB9" w:rsidRDefault="00BA32FC" w:rsidP="00BA32FC">
            <w:pPr>
              <w:pStyle w:val="Default"/>
              <w:rPr>
                <w:rFonts w:ascii="Aptos" w:hAnsi="Aptos"/>
              </w:rPr>
            </w:pPr>
            <w:r>
              <w:lastRenderedPageBreak/>
              <w:t>8</w:t>
            </w:r>
          </w:p>
        </w:tc>
        <w:tc>
          <w:tcPr>
            <w:tcW w:w="1583" w:type="pct"/>
          </w:tcPr>
          <w:p w14:paraId="4D5279C7" w14:textId="77B442DD" w:rsidR="00BA32FC" w:rsidRPr="002E3FB9" w:rsidRDefault="00BA32FC" w:rsidP="00BA32FC">
            <w:pPr>
              <w:pStyle w:val="Default"/>
              <w:rPr>
                <w:rFonts w:ascii="Aptos" w:hAnsi="Aptos"/>
              </w:rPr>
            </w:pPr>
            <w:r>
              <w:t>Aprovação de convênio de adesão (com base em modelo certificado ou modelo padronizado)</w:t>
            </w:r>
          </w:p>
        </w:tc>
        <w:tc>
          <w:tcPr>
            <w:tcW w:w="612" w:type="pct"/>
          </w:tcPr>
          <w:p w14:paraId="7016AD6B" w14:textId="22FDC081"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w:t>
            </w:r>
          </w:p>
        </w:tc>
        <w:tc>
          <w:tcPr>
            <w:tcW w:w="562" w:type="pct"/>
          </w:tcPr>
          <w:p w14:paraId="3107D1D1" w14:textId="48A60F3B"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712" w:type="pct"/>
          </w:tcPr>
          <w:p w14:paraId="140900CA" w14:textId="00A78C9A"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448" w:type="pct"/>
          </w:tcPr>
          <w:p w14:paraId="38701243" w14:textId="7244243F" w:rsidR="00BA32FC" w:rsidRPr="002E3FB9" w:rsidRDefault="00BA32FC" w:rsidP="00BA32FC">
            <w:pPr>
              <w:pStyle w:val="Default"/>
              <w:jc w:val="center"/>
              <w:rPr>
                <w:rFonts w:ascii="Aptos" w:hAnsi="Aptos"/>
              </w:rPr>
            </w:pPr>
            <w:r>
              <w:t>II</w:t>
            </w:r>
          </w:p>
        </w:tc>
        <w:tc>
          <w:tcPr>
            <w:tcW w:w="747" w:type="pct"/>
          </w:tcPr>
          <w:p w14:paraId="28D537E5"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4FDB968B" w14:textId="16CE16F9"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21273C92" w14:textId="77777777" w:rsidTr="00D1730A">
        <w:trPr>
          <w:trHeight w:val="472"/>
        </w:trPr>
        <w:tc>
          <w:tcPr>
            <w:tcW w:w="336" w:type="pct"/>
          </w:tcPr>
          <w:p w14:paraId="315C3066" w14:textId="62732D21" w:rsidR="00BA32FC" w:rsidRPr="002E3FB9" w:rsidRDefault="00BA32FC" w:rsidP="00BA32FC">
            <w:pPr>
              <w:pStyle w:val="Default"/>
              <w:rPr>
                <w:rFonts w:ascii="Aptos" w:hAnsi="Aptos"/>
              </w:rPr>
            </w:pPr>
            <w:r>
              <w:t>9</w:t>
            </w:r>
          </w:p>
        </w:tc>
        <w:tc>
          <w:tcPr>
            <w:tcW w:w="1583" w:type="pct"/>
          </w:tcPr>
          <w:p w14:paraId="38B981F6" w14:textId="00A57A11" w:rsidR="00BA32FC" w:rsidRPr="002E3FB9" w:rsidRDefault="00BA32FC" w:rsidP="00BA32FC">
            <w:pPr>
              <w:pStyle w:val="Default"/>
              <w:rPr>
                <w:rFonts w:ascii="Aptos" w:hAnsi="Aptos"/>
              </w:rPr>
            </w:pPr>
            <w:r>
              <w:t>Alteração de convênio de adesão</w:t>
            </w:r>
          </w:p>
        </w:tc>
        <w:tc>
          <w:tcPr>
            <w:tcW w:w="612" w:type="pct"/>
          </w:tcPr>
          <w:p w14:paraId="3FBB8A17" w14:textId="63BE1FB9"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10</w:t>
            </w:r>
          </w:p>
        </w:tc>
        <w:tc>
          <w:tcPr>
            <w:tcW w:w="562" w:type="pct"/>
          </w:tcPr>
          <w:p w14:paraId="18AD7863" w14:textId="4DEF6EB6" w:rsidR="00BA32FC" w:rsidRPr="00CD5175" w:rsidRDefault="00BA32FC" w:rsidP="00BA32FC">
            <w:pPr>
              <w:pStyle w:val="Default"/>
              <w:jc w:val="center"/>
              <w:rPr>
                <w:rFonts w:ascii="Aptos" w:hAnsi="Aptos"/>
                <w:b/>
                <w:bCs/>
                <w:color w:val="0000FF"/>
              </w:rPr>
            </w:pPr>
            <w:r w:rsidRPr="00CD5175">
              <w:rPr>
                <w:rStyle w:val="Forte"/>
                <w:b w:val="0"/>
                <w:bCs w:val="0"/>
                <w:color w:val="0000FF"/>
              </w:rPr>
              <w:t>35</w:t>
            </w:r>
          </w:p>
        </w:tc>
        <w:tc>
          <w:tcPr>
            <w:tcW w:w="712" w:type="pct"/>
          </w:tcPr>
          <w:p w14:paraId="51F0343F" w14:textId="74220EB7"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07113D44" w14:textId="3EF9B96C" w:rsidR="00BA32FC" w:rsidRPr="002E3FB9" w:rsidRDefault="00BA32FC" w:rsidP="00BA32FC">
            <w:pPr>
              <w:pStyle w:val="Default"/>
              <w:jc w:val="center"/>
              <w:rPr>
                <w:rFonts w:ascii="Aptos" w:hAnsi="Aptos"/>
              </w:rPr>
            </w:pPr>
            <w:r>
              <w:t>III</w:t>
            </w:r>
          </w:p>
        </w:tc>
        <w:tc>
          <w:tcPr>
            <w:tcW w:w="747" w:type="pct"/>
          </w:tcPr>
          <w:p w14:paraId="1C3FBD91"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21F3CDB4" w14:textId="54581EB8"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02EB8613" w14:textId="77777777" w:rsidTr="00D1730A">
        <w:trPr>
          <w:trHeight w:val="472"/>
        </w:trPr>
        <w:tc>
          <w:tcPr>
            <w:tcW w:w="336" w:type="pct"/>
          </w:tcPr>
          <w:p w14:paraId="794B8022" w14:textId="22F74C74" w:rsidR="00BA32FC" w:rsidRPr="002E3FB9" w:rsidRDefault="00BA32FC" w:rsidP="00BA32FC">
            <w:pPr>
              <w:pStyle w:val="Default"/>
              <w:rPr>
                <w:rFonts w:ascii="Aptos" w:hAnsi="Aptos"/>
              </w:rPr>
            </w:pPr>
            <w:r>
              <w:t>10</w:t>
            </w:r>
          </w:p>
        </w:tc>
        <w:tc>
          <w:tcPr>
            <w:tcW w:w="1583" w:type="pct"/>
          </w:tcPr>
          <w:p w14:paraId="607F830C" w14:textId="2B64DECF" w:rsidR="00BA32FC" w:rsidRPr="002E3FB9" w:rsidRDefault="00BA32FC" w:rsidP="00BA32FC">
            <w:pPr>
              <w:pStyle w:val="Default"/>
              <w:rPr>
                <w:rFonts w:ascii="Aptos" w:hAnsi="Aptos"/>
              </w:rPr>
            </w:pPr>
            <w:r>
              <w:t>Alteração de convênio de adesão por licenciamento automático</w:t>
            </w:r>
          </w:p>
        </w:tc>
        <w:tc>
          <w:tcPr>
            <w:tcW w:w="612" w:type="pct"/>
          </w:tcPr>
          <w:p w14:paraId="16D35661" w14:textId="25AFCAA8"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w:t>
            </w:r>
          </w:p>
        </w:tc>
        <w:tc>
          <w:tcPr>
            <w:tcW w:w="562" w:type="pct"/>
          </w:tcPr>
          <w:p w14:paraId="44A573BF" w14:textId="2F2FE589"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712" w:type="pct"/>
          </w:tcPr>
          <w:p w14:paraId="1A563C2F" w14:textId="2A28EC74"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448" w:type="pct"/>
          </w:tcPr>
          <w:p w14:paraId="794F89B9" w14:textId="56026D38" w:rsidR="00BA32FC" w:rsidRPr="002E3FB9" w:rsidRDefault="00BA32FC" w:rsidP="00BA32FC">
            <w:pPr>
              <w:pStyle w:val="Default"/>
              <w:jc w:val="center"/>
              <w:rPr>
                <w:rFonts w:ascii="Aptos" w:hAnsi="Aptos"/>
              </w:rPr>
            </w:pPr>
            <w:r>
              <w:t>II</w:t>
            </w:r>
          </w:p>
        </w:tc>
        <w:tc>
          <w:tcPr>
            <w:tcW w:w="747" w:type="pct"/>
          </w:tcPr>
          <w:p w14:paraId="3D1E063B"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1BEE1DC" w14:textId="43E1E006"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71D19A29" w14:textId="77777777" w:rsidTr="00D1730A">
        <w:trPr>
          <w:trHeight w:val="472"/>
        </w:trPr>
        <w:tc>
          <w:tcPr>
            <w:tcW w:w="336" w:type="pct"/>
          </w:tcPr>
          <w:p w14:paraId="20832F84" w14:textId="25FDABBE" w:rsidR="00BA32FC" w:rsidRPr="002E3FB9" w:rsidRDefault="00BA32FC" w:rsidP="00BA32FC">
            <w:pPr>
              <w:pStyle w:val="Default"/>
              <w:rPr>
                <w:rFonts w:ascii="Aptos" w:hAnsi="Aptos"/>
              </w:rPr>
            </w:pPr>
            <w:r>
              <w:t>11</w:t>
            </w:r>
          </w:p>
        </w:tc>
        <w:tc>
          <w:tcPr>
            <w:tcW w:w="1583" w:type="pct"/>
          </w:tcPr>
          <w:p w14:paraId="63C29FAA" w14:textId="4A992A89" w:rsidR="00BA32FC" w:rsidRPr="002E3FB9" w:rsidRDefault="00BA32FC" w:rsidP="00BA32FC">
            <w:pPr>
              <w:pStyle w:val="Default"/>
              <w:rPr>
                <w:rFonts w:ascii="Aptos" w:hAnsi="Aptos"/>
              </w:rPr>
            </w:pPr>
            <w:proofErr w:type="spellStart"/>
            <w:r>
              <w:t>Saldamento</w:t>
            </w:r>
            <w:proofErr w:type="spellEnd"/>
            <w:r>
              <w:t xml:space="preserve"> de plano de benefícios</w:t>
            </w:r>
          </w:p>
        </w:tc>
        <w:tc>
          <w:tcPr>
            <w:tcW w:w="612" w:type="pct"/>
          </w:tcPr>
          <w:p w14:paraId="3C741CE4" w14:textId="687837A0"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4D853264" w14:textId="4075194C"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09EAFED2" w14:textId="42151AD0"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173E85A0" w14:textId="5E598A93" w:rsidR="00BA32FC" w:rsidRPr="002E3FB9" w:rsidRDefault="00BA32FC" w:rsidP="00BA32FC">
            <w:pPr>
              <w:pStyle w:val="Default"/>
              <w:jc w:val="center"/>
              <w:rPr>
                <w:rFonts w:ascii="Aptos" w:hAnsi="Aptos"/>
              </w:rPr>
            </w:pPr>
            <w:r>
              <w:t>III</w:t>
            </w:r>
          </w:p>
        </w:tc>
        <w:tc>
          <w:tcPr>
            <w:tcW w:w="747" w:type="pct"/>
          </w:tcPr>
          <w:p w14:paraId="4973F1E7"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0BF930CB" w14:textId="00140177"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13E70E0C" w14:textId="77777777" w:rsidTr="00D1730A">
        <w:trPr>
          <w:trHeight w:val="472"/>
        </w:trPr>
        <w:tc>
          <w:tcPr>
            <w:tcW w:w="336" w:type="pct"/>
          </w:tcPr>
          <w:p w14:paraId="1113FC80" w14:textId="0FB35002" w:rsidR="00BA32FC" w:rsidRPr="002E3FB9" w:rsidRDefault="00BA32FC" w:rsidP="00BA32FC">
            <w:pPr>
              <w:pStyle w:val="Default"/>
              <w:rPr>
                <w:rFonts w:ascii="Aptos" w:hAnsi="Aptos"/>
              </w:rPr>
            </w:pPr>
            <w:r>
              <w:t>12</w:t>
            </w:r>
          </w:p>
        </w:tc>
        <w:tc>
          <w:tcPr>
            <w:tcW w:w="1583" w:type="pct"/>
          </w:tcPr>
          <w:p w14:paraId="46CA79AA" w14:textId="463D1B46" w:rsidR="00BA32FC" w:rsidRPr="002E3FB9" w:rsidRDefault="00BA32FC" w:rsidP="00BA32FC">
            <w:pPr>
              <w:pStyle w:val="Default"/>
              <w:rPr>
                <w:rFonts w:ascii="Aptos" w:hAnsi="Aptos"/>
              </w:rPr>
            </w:pPr>
            <w:r>
              <w:t>Transferência de gerenciamento de plano de benefícios</w:t>
            </w:r>
          </w:p>
        </w:tc>
        <w:tc>
          <w:tcPr>
            <w:tcW w:w="612" w:type="pct"/>
          </w:tcPr>
          <w:p w14:paraId="60AA4D51" w14:textId="53F45940"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0064FF1C" w14:textId="0166512F" w:rsidR="00BA32FC" w:rsidRPr="00CD5175" w:rsidRDefault="00BA32FC" w:rsidP="00BA32FC">
            <w:pPr>
              <w:pStyle w:val="Default"/>
              <w:jc w:val="center"/>
              <w:rPr>
                <w:rFonts w:ascii="Aptos" w:hAnsi="Aptos"/>
                <w:b/>
                <w:bCs/>
                <w:color w:val="0000FF"/>
              </w:rPr>
            </w:pPr>
            <w:r w:rsidRPr="00CD5175">
              <w:rPr>
                <w:rStyle w:val="Forte"/>
                <w:b w:val="0"/>
                <w:bCs w:val="0"/>
                <w:color w:val="0000FF"/>
              </w:rPr>
              <w:t>75</w:t>
            </w:r>
          </w:p>
        </w:tc>
        <w:tc>
          <w:tcPr>
            <w:tcW w:w="712" w:type="pct"/>
          </w:tcPr>
          <w:p w14:paraId="3D9B911D" w14:textId="6FEFA58D"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141AEB5E" w14:textId="702C6AE5" w:rsidR="00BA32FC" w:rsidRPr="002E3FB9" w:rsidRDefault="00BA32FC" w:rsidP="00BA32FC">
            <w:pPr>
              <w:pStyle w:val="Default"/>
              <w:jc w:val="center"/>
              <w:rPr>
                <w:rFonts w:ascii="Aptos" w:hAnsi="Aptos"/>
              </w:rPr>
            </w:pPr>
            <w:r>
              <w:t>III</w:t>
            </w:r>
          </w:p>
        </w:tc>
        <w:tc>
          <w:tcPr>
            <w:tcW w:w="747" w:type="pct"/>
          </w:tcPr>
          <w:p w14:paraId="71A7DBB6"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4FA4D937"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Resol</w:t>
            </w:r>
            <w:proofErr w:type="spellEnd"/>
            <w:r>
              <w:rPr>
                <w:rFonts w:ascii="Calibri" w:hAnsi="Calibri" w:cs="Calibri"/>
                <w:color w:val="000000"/>
              </w:rPr>
              <w:t>. CNPC nº 25/2017;</w:t>
            </w:r>
          </w:p>
          <w:p w14:paraId="19D823EE" w14:textId="022DF5D1" w:rsidR="00BA32FC" w:rsidRPr="002E3FB9" w:rsidRDefault="00BA32FC" w:rsidP="00BA32FC">
            <w:pPr>
              <w:pStyle w:val="Default"/>
              <w:rPr>
                <w:rFonts w:ascii="Aptos" w:hAnsi="Aptos"/>
              </w:rPr>
            </w:pPr>
            <w:r>
              <w:t xml:space="preserve">- </w:t>
            </w:r>
            <w:proofErr w:type="spellStart"/>
            <w:r>
              <w:t>Resol</w:t>
            </w:r>
            <w:proofErr w:type="spellEnd"/>
            <w:r>
              <w:t>. CNPC nº 51/2022.</w:t>
            </w:r>
          </w:p>
        </w:tc>
      </w:tr>
      <w:tr w:rsidR="00BA32FC" w:rsidRPr="002E3FB9" w14:paraId="41B49220" w14:textId="77777777" w:rsidTr="00D1730A">
        <w:trPr>
          <w:trHeight w:val="472"/>
        </w:trPr>
        <w:tc>
          <w:tcPr>
            <w:tcW w:w="336" w:type="pct"/>
          </w:tcPr>
          <w:p w14:paraId="221298C2" w14:textId="6F6A2AA3" w:rsidR="00BA32FC" w:rsidRPr="002E3FB9" w:rsidRDefault="00BA32FC" w:rsidP="00BA32FC">
            <w:pPr>
              <w:pStyle w:val="Default"/>
              <w:rPr>
                <w:rFonts w:ascii="Aptos" w:hAnsi="Aptos"/>
              </w:rPr>
            </w:pPr>
            <w:r>
              <w:t>13</w:t>
            </w:r>
          </w:p>
        </w:tc>
        <w:tc>
          <w:tcPr>
            <w:tcW w:w="1583" w:type="pct"/>
          </w:tcPr>
          <w:p w14:paraId="3E7B1F5F" w14:textId="343290CC" w:rsidR="00BA32FC" w:rsidRPr="002E3FB9" w:rsidRDefault="00BA32FC" w:rsidP="00BA32FC">
            <w:pPr>
              <w:pStyle w:val="Default"/>
              <w:rPr>
                <w:rFonts w:ascii="Aptos" w:hAnsi="Aptos"/>
              </w:rPr>
            </w:pPr>
            <w:r>
              <w:t>Fusão, cisão ou incorporação de planos de benefícios ou de EFPC</w:t>
            </w:r>
          </w:p>
        </w:tc>
        <w:tc>
          <w:tcPr>
            <w:tcW w:w="612" w:type="pct"/>
          </w:tcPr>
          <w:p w14:paraId="146F51A3" w14:textId="2858736E"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0D9B90B1" w14:textId="148EAFE2"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240A8BCD" w14:textId="72E79B40"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43A20579" w14:textId="26722869" w:rsidR="00BA32FC" w:rsidRPr="002E3FB9" w:rsidRDefault="00BA32FC" w:rsidP="00BA32FC">
            <w:pPr>
              <w:pStyle w:val="Default"/>
              <w:jc w:val="center"/>
              <w:rPr>
                <w:rFonts w:ascii="Aptos" w:hAnsi="Aptos"/>
              </w:rPr>
            </w:pPr>
            <w:r>
              <w:t>III</w:t>
            </w:r>
          </w:p>
        </w:tc>
        <w:tc>
          <w:tcPr>
            <w:tcW w:w="747" w:type="pct"/>
          </w:tcPr>
          <w:p w14:paraId="7ECB6185"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0216D9F7" w14:textId="5B693795"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062DBB82" w14:textId="77777777" w:rsidTr="00D1730A">
        <w:trPr>
          <w:trHeight w:val="472"/>
        </w:trPr>
        <w:tc>
          <w:tcPr>
            <w:tcW w:w="336" w:type="pct"/>
          </w:tcPr>
          <w:p w14:paraId="4756B4B6" w14:textId="2C0C81B3" w:rsidR="00BA32FC" w:rsidRPr="002E3FB9" w:rsidRDefault="00BA32FC" w:rsidP="00BA32FC">
            <w:pPr>
              <w:pStyle w:val="Default"/>
              <w:rPr>
                <w:rFonts w:ascii="Aptos" w:hAnsi="Aptos"/>
              </w:rPr>
            </w:pPr>
            <w:r>
              <w:t>14</w:t>
            </w:r>
          </w:p>
        </w:tc>
        <w:tc>
          <w:tcPr>
            <w:tcW w:w="1583" w:type="pct"/>
          </w:tcPr>
          <w:p w14:paraId="645F87DA" w14:textId="68008B6D" w:rsidR="00BA32FC" w:rsidRPr="002E3FB9" w:rsidRDefault="00BA32FC" w:rsidP="00BA32FC">
            <w:pPr>
              <w:pStyle w:val="Default"/>
              <w:rPr>
                <w:rFonts w:ascii="Aptos" w:hAnsi="Aptos"/>
              </w:rPr>
            </w:pPr>
            <w:r>
              <w:t>Migração</w:t>
            </w:r>
          </w:p>
        </w:tc>
        <w:tc>
          <w:tcPr>
            <w:tcW w:w="612" w:type="pct"/>
          </w:tcPr>
          <w:p w14:paraId="3FEB98F3" w14:textId="13389140"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4C578B8D" w14:textId="4DFBC67A"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559181EE" w14:textId="6DE29D2E"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4A325BE8" w14:textId="1ADED55D" w:rsidR="00BA32FC" w:rsidRPr="002E3FB9" w:rsidRDefault="00BA32FC" w:rsidP="00BA32FC">
            <w:pPr>
              <w:pStyle w:val="Default"/>
              <w:jc w:val="center"/>
              <w:rPr>
                <w:rFonts w:ascii="Aptos" w:hAnsi="Aptos"/>
              </w:rPr>
            </w:pPr>
            <w:r>
              <w:t>III</w:t>
            </w:r>
          </w:p>
        </w:tc>
        <w:tc>
          <w:tcPr>
            <w:tcW w:w="747" w:type="pct"/>
          </w:tcPr>
          <w:p w14:paraId="71B312E9"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5EDE0334" w14:textId="7DE96DF3"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6E9FA18E" w14:textId="77777777" w:rsidTr="00D1730A">
        <w:trPr>
          <w:trHeight w:val="472"/>
        </w:trPr>
        <w:tc>
          <w:tcPr>
            <w:tcW w:w="336" w:type="pct"/>
          </w:tcPr>
          <w:p w14:paraId="237F26FF" w14:textId="57015242" w:rsidR="00BA32FC" w:rsidRPr="002E3FB9" w:rsidRDefault="00BA32FC" w:rsidP="00BA32FC">
            <w:pPr>
              <w:pStyle w:val="Default"/>
              <w:rPr>
                <w:rFonts w:ascii="Aptos" w:hAnsi="Aptos"/>
              </w:rPr>
            </w:pPr>
            <w:r>
              <w:t>15</w:t>
            </w:r>
          </w:p>
        </w:tc>
        <w:tc>
          <w:tcPr>
            <w:tcW w:w="1583" w:type="pct"/>
          </w:tcPr>
          <w:p w14:paraId="6007C406" w14:textId="495836E0" w:rsidR="00BA32FC" w:rsidRPr="002E3FB9" w:rsidRDefault="00BA32FC" w:rsidP="00BA32FC">
            <w:pPr>
              <w:pStyle w:val="Default"/>
              <w:rPr>
                <w:rFonts w:ascii="Aptos" w:hAnsi="Aptos"/>
              </w:rPr>
            </w:pPr>
            <w:r>
              <w:t>Operações estruturais relacionadas</w:t>
            </w:r>
          </w:p>
        </w:tc>
        <w:tc>
          <w:tcPr>
            <w:tcW w:w="612" w:type="pct"/>
          </w:tcPr>
          <w:p w14:paraId="24F80DA5" w14:textId="5E2B1DB4"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5B304942" w14:textId="4C0D737B"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66774C68" w14:textId="0BFA957A"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09BB0D0C" w14:textId="20159F4D" w:rsidR="00BA32FC" w:rsidRPr="002E3FB9" w:rsidRDefault="00BA32FC" w:rsidP="00BA32FC">
            <w:pPr>
              <w:pStyle w:val="Default"/>
              <w:jc w:val="center"/>
              <w:rPr>
                <w:rFonts w:ascii="Aptos" w:hAnsi="Aptos"/>
              </w:rPr>
            </w:pPr>
            <w:r>
              <w:t>III</w:t>
            </w:r>
          </w:p>
        </w:tc>
        <w:tc>
          <w:tcPr>
            <w:tcW w:w="747" w:type="pct"/>
          </w:tcPr>
          <w:p w14:paraId="59649340"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071FEBA4" w14:textId="0271F0F8"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5B436981" w14:textId="77777777" w:rsidTr="00D1730A">
        <w:trPr>
          <w:trHeight w:val="472"/>
        </w:trPr>
        <w:tc>
          <w:tcPr>
            <w:tcW w:w="336" w:type="pct"/>
          </w:tcPr>
          <w:p w14:paraId="7D05C084" w14:textId="7D3A85A2" w:rsidR="00BA32FC" w:rsidRPr="002E3FB9" w:rsidRDefault="00BA32FC" w:rsidP="00BA32FC">
            <w:pPr>
              <w:pStyle w:val="Default"/>
              <w:rPr>
                <w:rFonts w:ascii="Aptos" w:hAnsi="Aptos"/>
              </w:rPr>
            </w:pPr>
            <w:r>
              <w:t>16</w:t>
            </w:r>
          </w:p>
        </w:tc>
        <w:tc>
          <w:tcPr>
            <w:tcW w:w="1583" w:type="pct"/>
          </w:tcPr>
          <w:p w14:paraId="60B77293" w14:textId="3FA0C15B" w:rsidR="00BA32FC" w:rsidRPr="002E3FB9" w:rsidRDefault="00BA32FC" w:rsidP="00BA32FC">
            <w:pPr>
              <w:pStyle w:val="Default"/>
              <w:rPr>
                <w:rFonts w:ascii="Aptos" w:hAnsi="Aptos"/>
              </w:rPr>
            </w:pPr>
            <w:r>
              <w:t>Destinação de reserva especial em requerimento que envolva reversão de valores</w:t>
            </w:r>
          </w:p>
        </w:tc>
        <w:tc>
          <w:tcPr>
            <w:tcW w:w="612" w:type="pct"/>
          </w:tcPr>
          <w:p w14:paraId="78B35D85" w14:textId="022A9DEA"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1417BBA5" w14:textId="60B32B6A"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6D865406" w14:textId="0505C728"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55525507" w14:textId="671C775C" w:rsidR="00BA32FC" w:rsidRPr="002E3FB9" w:rsidRDefault="00BA32FC" w:rsidP="00BA32FC">
            <w:pPr>
              <w:pStyle w:val="Default"/>
              <w:jc w:val="center"/>
              <w:rPr>
                <w:rFonts w:ascii="Aptos" w:hAnsi="Aptos"/>
              </w:rPr>
            </w:pPr>
            <w:r>
              <w:t>III</w:t>
            </w:r>
          </w:p>
        </w:tc>
        <w:tc>
          <w:tcPr>
            <w:tcW w:w="747" w:type="pct"/>
          </w:tcPr>
          <w:p w14:paraId="2E0195C9"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0D44AB9" w14:textId="0DDBFD17" w:rsidR="00BA32FC" w:rsidRPr="002E3FB9" w:rsidRDefault="00BA32FC" w:rsidP="00BA32FC">
            <w:pPr>
              <w:pStyle w:val="Default"/>
              <w:rPr>
                <w:rFonts w:ascii="Aptos" w:hAnsi="Aptos"/>
              </w:rPr>
            </w:pPr>
            <w:r>
              <w:t xml:space="preserve">- </w:t>
            </w:r>
            <w:proofErr w:type="spellStart"/>
            <w:r>
              <w:t>Resol</w:t>
            </w:r>
            <w:proofErr w:type="spellEnd"/>
            <w:r>
              <w:t>. CNPC nº 30/2018.</w:t>
            </w:r>
          </w:p>
        </w:tc>
      </w:tr>
      <w:tr w:rsidR="00BA32FC" w:rsidRPr="002E3FB9" w14:paraId="241F045D" w14:textId="77777777" w:rsidTr="00D1730A">
        <w:trPr>
          <w:trHeight w:val="472"/>
        </w:trPr>
        <w:tc>
          <w:tcPr>
            <w:tcW w:w="336" w:type="pct"/>
          </w:tcPr>
          <w:p w14:paraId="443372F3" w14:textId="64417097" w:rsidR="00BA32FC" w:rsidRPr="002E3FB9" w:rsidRDefault="00BA32FC" w:rsidP="00BA32FC">
            <w:pPr>
              <w:pStyle w:val="Default"/>
              <w:rPr>
                <w:rFonts w:ascii="Aptos" w:hAnsi="Aptos"/>
              </w:rPr>
            </w:pPr>
            <w:r>
              <w:lastRenderedPageBreak/>
              <w:t>17</w:t>
            </w:r>
          </w:p>
        </w:tc>
        <w:tc>
          <w:tcPr>
            <w:tcW w:w="1583" w:type="pct"/>
          </w:tcPr>
          <w:p w14:paraId="04CD9C23" w14:textId="57A9E19D" w:rsidR="00BA32FC" w:rsidRPr="002E3FB9" w:rsidRDefault="00BA32FC" w:rsidP="00BA32FC">
            <w:pPr>
              <w:pStyle w:val="Default"/>
              <w:rPr>
                <w:rFonts w:ascii="Aptos" w:hAnsi="Aptos"/>
              </w:rPr>
            </w:pPr>
            <w:r>
              <w:t>Retirada de patrocínio</w:t>
            </w:r>
          </w:p>
        </w:tc>
        <w:tc>
          <w:tcPr>
            <w:tcW w:w="612" w:type="pct"/>
          </w:tcPr>
          <w:p w14:paraId="5EEBA59B" w14:textId="7B80136A"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113D22AC" w14:textId="716BF56A"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7167E185" w14:textId="4A1317A8"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39439EA2" w14:textId="0994FA43" w:rsidR="00BA32FC" w:rsidRPr="002E3FB9" w:rsidRDefault="00BA32FC" w:rsidP="00BA32FC">
            <w:pPr>
              <w:pStyle w:val="Default"/>
              <w:jc w:val="center"/>
              <w:rPr>
                <w:rFonts w:ascii="Aptos" w:hAnsi="Aptos"/>
              </w:rPr>
            </w:pPr>
            <w:r>
              <w:t>III</w:t>
            </w:r>
          </w:p>
        </w:tc>
        <w:tc>
          <w:tcPr>
            <w:tcW w:w="747" w:type="pct"/>
          </w:tcPr>
          <w:p w14:paraId="5A5D7E3A"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B8623FA" w14:textId="4FC05D6C" w:rsidR="00BA32FC" w:rsidRPr="002E3FB9" w:rsidRDefault="00BA32FC" w:rsidP="00BA32FC">
            <w:pPr>
              <w:pStyle w:val="Default"/>
              <w:rPr>
                <w:rFonts w:ascii="Aptos" w:hAnsi="Aptos"/>
              </w:rPr>
            </w:pPr>
            <w:r>
              <w:t xml:space="preserve">- </w:t>
            </w:r>
            <w:proofErr w:type="spellStart"/>
            <w:r>
              <w:t>Resol</w:t>
            </w:r>
            <w:proofErr w:type="spellEnd"/>
            <w:r>
              <w:t>. CNPC nº 11/2013;</w:t>
            </w:r>
          </w:p>
        </w:tc>
      </w:tr>
      <w:tr w:rsidR="00BA32FC" w:rsidRPr="002E3FB9" w14:paraId="088DD0CB" w14:textId="77777777" w:rsidTr="00D1730A">
        <w:trPr>
          <w:trHeight w:val="472"/>
        </w:trPr>
        <w:tc>
          <w:tcPr>
            <w:tcW w:w="336" w:type="pct"/>
          </w:tcPr>
          <w:p w14:paraId="54F735C1" w14:textId="4A562C8E" w:rsidR="00BA32FC" w:rsidRPr="002E3FB9" w:rsidRDefault="00BA32FC" w:rsidP="00BA32FC">
            <w:pPr>
              <w:pStyle w:val="Default"/>
              <w:rPr>
                <w:rFonts w:ascii="Aptos" w:hAnsi="Aptos"/>
              </w:rPr>
            </w:pPr>
            <w:r>
              <w:t>18</w:t>
            </w:r>
          </w:p>
        </w:tc>
        <w:tc>
          <w:tcPr>
            <w:tcW w:w="1583" w:type="pct"/>
          </w:tcPr>
          <w:p w14:paraId="2AD62261" w14:textId="59709A8B" w:rsidR="00BA32FC" w:rsidRPr="002E3FB9" w:rsidRDefault="00BA32FC" w:rsidP="00BA32FC">
            <w:pPr>
              <w:pStyle w:val="Default"/>
              <w:rPr>
                <w:rFonts w:ascii="Aptos" w:hAnsi="Aptos"/>
              </w:rPr>
            </w:pPr>
            <w:r>
              <w:t>Rescisão de convênio de adesão por iniciativa da EFPC (Redação dada pela Resolução Previc nº 25, de 15 de outubro de 2024)</w:t>
            </w:r>
          </w:p>
        </w:tc>
        <w:tc>
          <w:tcPr>
            <w:tcW w:w="612" w:type="pct"/>
          </w:tcPr>
          <w:p w14:paraId="73F1A0FA" w14:textId="36EE98CB"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17B98A70" w14:textId="16DD2733"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4400A8A7" w14:textId="4B2E752B"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6852F0D2" w14:textId="70033B2C" w:rsidR="00BA32FC" w:rsidRPr="002E3FB9" w:rsidRDefault="00BA32FC" w:rsidP="00BA32FC">
            <w:pPr>
              <w:pStyle w:val="Default"/>
              <w:jc w:val="center"/>
              <w:rPr>
                <w:rFonts w:ascii="Aptos" w:hAnsi="Aptos"/>
              </w:rPr>
            </w:pPr>
            <w:r>
              <w:t>III</w:t>
            </w:r>
          </w:p>
        </w:tc>
        <w:tc>
          <w:tcPr>
            <w:tcW w:w="747" w:type="pct"/>
          </w:tcPr>
          <w:p w14:paraId="2FAD3E4B"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243BA21B"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Resol</w:t>
            </w:r>
            <w:proofErr w:type="spellEnd"/>
            <w:r>
              <w:rPr>
                <w:rFonts w:ascii="Calibri" w:hAnsi="Calibri" w:cs="Calibri"/>
                <w:color w:val="000000"/>
              </w:rPr>
              <w:t>. CNPC nº 11/2013;</w:t>
            </w:r>
          </w:p>
          <w:p w14:paraId="4EAE1CA5" w14:textId="1EC6BE00" w:rsidR="00BA32FC" w:rsidRPr="002E3FB9" w:rsidRDefault="00BA32FC" w:rsidP="00BA32FC">
            <w:pPr>
              <w:pStyle w:val="Default"/>
              <w:rPr>
                <w:rFonts w:ascii="Aptos" w:hAnsi="Aptos"/>
              </w:rPr>
            </w:pPr>
            <w:r>
              <w:t xml:space="preserve">- </w:t>
            </w:r>
            <w:proofErr w:type="spellStart"/>
            <w:r>
              <w:t>Resol</w:t>
            </w:r>
            <w:proofErr w:type="spellEnd"/>
            <w:r>
              <w:t>. CNPC nº 53/2022.</w:t>
            </w:r>
          </w:p>
        </w:tc>
      </w:tr>
      <w:tr w:rsidR="00BA32FC" w:rsidRPr="002E3FB9" w14:paraId="6E89BCAE" w14:textId="77777777" w:rsidTr="00D1730A">
        <w:trPr>
          <w:trHeight w:val="472"/>
        </w:trPr>
        <w:tc>
          <w:tcPr>
            <w:tcW w:w="336" w:type="pct"/>
          </w:tcPr>
          <w:p w14:paraId="438FAFF9" w14:textId="7C2B7A9D" w:rsidR="00BA32FC" w:rsidRPr="002E3FB9" w:rsidRDefault="00BA32FC" w:rsidP="00BA32FC">
            <w:pPr>
              <w:pStyle w:val="Default"/>
              <w:rPr>
                <w:rFonts w:ascii="Aptos" w:hAnsi="Aptos"/>
              </w:rPr>
            </w:pPr>
            <w:r>
              <w:t>19</w:t>
            </w:r>
          </w:p>
        </w:tc>
        <w:tc>
          <w:tcPr>
            <w:tcW w:w="1583" w:type="pct"/>
          </w:tcPr>
          <w:p w14:paraId="7A5EAE15" w14:textId="7DA00D40" w:rsidR="00BA32FC" w:rsidRPr="002E3FB9" w:rsidRDefault="00BA32FC" w:rsidP="00BA32FC">
            <w:pPr>
              <w:pStyle w:val="Default"/>
              <w:rPr>
                <w:rFonts w:ascii="Aptos" w:hAnsi="Aptos"/>
              </w:rPr>
            </w:pPr>
            <w:r>
              <w:t>Encerramento de plano de benefícios</w:t>
            </w:r>
          </w:p>
        </w:tc>
        <w:tc>
          <w:tcPr>
            <w:tcW w:w="612" w:type="pct"/>
          </w:tcPr>
          <w:p w14:paraId="1D495889" w14:textId="4AF4EFFD"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10</w:t>
            </w:r>
          </w:p>
        </w:tc>
        <w:tc>
          <w:tcPr>
            <w:tcW w:w="562" w:type="pct"/>
          </w:tcPr>
          <w:p w14:paraId="21D651D1" w14:textId="07462D2E" w:rsidR="00BA32FC" w:rsidRPr="00CD5175" w:rsidRDefault="00BA32FC" w:rsidP="00BA32FC">
            <w:pPr>
              <w:pStyle w:val="Default"/>
              <w:jc w:val="center"/>
              <w:rPr>
                <w:rFonts w:ascii="Aptos" w:hAnsi="Aptos"/>
                <w:b/>
                <w:bCs/>
                <w:color w:val="0000FF"/>
              </w:rPr>
            </w:pPr>
            <w:r w:rsidRPr="00CD5175">
              <w:rPr>
                <w:rStyle w:val="Forte"/>
                <w:b w:val="0"/>
                <w:bCs w:val="0"/>
                <w:color w:val="0000FF"/>
              </w:rPr>
              <w:t>35</w:t>
            </w:r>
          </w:p>
        </w:tc>
        <w:tc>
          <w:tcPr>
            <w:tcW w:w="712" w:type="pct"/>
          </w:tcPr>
          <w:p w14:paraId="360D94CB" w14:textId="72736BD7"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42120FBB" w14:textId="1540C862" w:rsidR="00BA32FC" w:rsidRPr="002E3FB9" w:rsidRDefault="00BA32FC" w:rsidP="00BA32FC">
            <w:pPr>
              <w:pStyle w:val="Default"/>
              <w:jc w:val="center"/>
              <w:rPr>
                <w:rFonts w:ascii="Aptos" w:hAnsi="Aptos"/>
              </w:rPr>
            </w:pPr>
            <w:r>
              <w:t>III</w:t>
            </w:r>
          </w:p>
        </w:tc>
        <w:tc>
          <w:tcPr>
            <w:tcW w:w="747" w:type="pct"/>
          </w:tcPr>
          <w:p w14:paraId="49F2468F" w14:textId="4008F223" w:rsidR="00BA32FC" w:rsidRPr="002E3FB9" w:rsidRDefault="00BA32FC" w:rsidP="00BA32FC">
            <w:pPr>
              <w:pStyle w:val="Default"/>
              <w:rPr>
                <w:rFonts w:ascii="Aptos" w:hAnsi="Aptos"/>
              </w:rPr>
            </w:pPr>
            <w:r>
              <w:t>- LC nº 109/2001.</w:t>
            </w:r>
          </w:p>
        </w:tc>
      </w:tr>
      <w:tr w:rsidR="00BA32FC" w:rsidRPr="002E3FB9" w14:paraId="5D386905" w14:textId="77777777" w:rsidTr="00D1730A">
        <w:trPr>
          <w:trHeight w:val="472"/>
        </w:trPr>
        <w:tc>
          <w:tcPr>
            <w:tcW w:w="336" w:type="pct"/>
          </w:tcPr>
          <w:p w14:paraId="35184C28" w14:textId="0EE69F6B" w:rsidR="00BA32FC" w:rsidRPr="002E3FB9" w:rsidRDefault="00BA32FC" w:rsidP="00BA32FC">
            <w:pPr>
              <w:pStyle w:val="Default"/>
              <w:rPr>
                <w:rFonts w:ascii="Aptos" w:hAnsi="Aptos"/>
              </w:rPr>
            </w:pPr>
            <w:r>
              <w:t>20</w:t>
            </w:r>
          </w:p>
        </w:tc>
        <w:tc>
          <w:tcPr>
            <w:tcW w:w="1583" w:type="pct"/>
          </w:tcPr>
          <w:p w14:paraId="002E7892" w14:textId="5066C550" w:rsidR="00BA32FC" w:rsidRPr="002E3FB9" w:rsidRDefault="00BA32FC" w:rsidP="00BA32FC">
            <w:pPr>
              <w:pStyle w:val="Default"/>
              <w:rPr>
                <w:rFonts w:ascii="Aptos" w:hAnsi="Aptos"/>
              </w:rPr>
            </w:pPr>
            <w:r>
              <w:t>Encerramento de EFPC</w:t>
            </w:r>
          </w:p>
        </w:tc>
        <w:tc>
          <w:tcPr>
            <w:tcW w:w="612" w:type="pct"/>
          </w:tcPr>
          <w:p w14:paraId="11D42AF2" w14:textId="1F9C0943"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8</w:t>
            </w:r>
          </w:p>
        </w:tc>
        <w:tc>
          <w:tcPr>
            <w:tcW w:w="562" w:type="pct"/>
          </w:tcPr>
          <w:p w14:paraId="13803858" w14:textId="110EB649" w:rsidR="00BA32FC" w:rsidRPr="00CD5175" w:rsidRDefault="00BA32FC" w:rsidP="00BA32FC">
            <w:pPr>
              <w:pStyle w:val="Default"/>
              <w:jc w:val="center"/>
              <w:rPr>
                <w:rFonts w:ascii="Aptos" w:hAnsi="Aptos"/>
                <w:b/>
                <w:bCs/>
                <w:color w:val="0000FF"/>
              </w:rPr>
            </w:pPr>
            <w:r w:rsidRPr="00CD5175">
              <w:rPr>
                <w:rStyle w:val="Forte"/>
                <w:b w:val="0"/>
                <w:bCs w:val="0"/>
                <w:color w:val="0000FF"/>
              </w:rPr>
              <w:t>25</w:t>
            </w:r>
          </w:p>
        </w:tc>
        <w:tc>
          <w:tcPr>
            <w:tcW w:w="712" w:type="pct"/>
          </w:tcPr>
          <w:p w14:paraId="38FE532E" w14:textId="01CECF54"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0FC9D520" w14:textId="3DD9800E" w:rsidR="00BA32FC" w:rsidRPr="002E3FB9" w:rsidRDefault="00BA32FC" w:rsidP="00BA32FC">
            <w:pPr>
              <w:pStyle w:val="Default"/>
              <w:jc w:val="center"/>
              <w:rPr>
                <w:rFonts w:ascii="Aptos" w:hAnsi="Aptos"/>
              </w:rPr>
            </w:pPr>
            <w:r>
              <w:t>III</w:t>
            </w:r>
          </w:p>
        </w:tc>
        <w:tc>
          <w:tcPr>
            <w:tcW w:w="747" w:type="pct"/>
          </w:tcPr>
          <w:p w14:paraId="4D01E844" w14:textId="48AD9857" w:rsidR="00BA32FC" w:rsidRPr="002E3FB9" w:rsidRDefault="00BA32FC" w:rsidP="00BA32FC">
            <w:pPr>
              <w:pStyle w:val="Default"/>
              <w:rPr>
                <w:rFonts w:ascii="Aptos" w:hAnsi="Aptos"/>
              </w:rPr>
            </w:pPr>
            <w:r>
              <w:t>- LC nº 109/2001.</w:t>
            </w:r>
          </w:p>
        </w:tc>
      </w:tr>
      <w:tr w:rsidR="00BA32FC" w:rsidRPr="002E3FB9" w14:paraId="106DC92C" w14:textId="77777777" w:rsidTr="00D1730A">
        <w:trPr>
          <w:trHeight w:val="472"/>
        </w:trPr>
        <w:tc>
          <w:tcPr>
            <w:tcW w:w="336" w:type="pct"/>
          </w:tcPr>
          <w:p w14:paraId="5821C95E" w14:textId="6F061BB3" w:rsidR="00BA32FC" w:rsidRPr="002E3FB9" w:rsidRDefault="00BA32FC" w:rsidP="00BA32FC">
            <w:pPr>
              <w:pStyle w:val="Default"/>
              <w:rPr>
                <w:rFonts w:ascii="Aptos" w:hAnsi="Aptos"/>
              </w:rPr>
            </w:pPr>
            <w:r>
              <w:t>21</w:t>
            </w:r>
          </w:p>
        </w:tc>
        <w:tc>
          <w:tcPr>
            <w:tcW w:w="1583" w:type="pct"/>
          </w:tcPr>
          <w:p w14:paraId="23371236" w14:textId="3506BE44" w:rsidR="00BA32FC" w:rsidRPr="002E3FB9" w:rsidRDefault="00BA32FC" w:rsidP="00BA32FC">
            <w:pPr>
              <w:pStyle w:val="Default"/>
              <w:rPr>
                <w:rFonts w:ascii="Aptos" w:hAnsi="Aptos"/>
              </w:rPr>
            </w:pPr>
            <w:r>
              <w:t>Certificação de modelo de regulamento de plano de benefícios</w:t>
            </w:r>
          </w:p>
        </w:tc>
        <w:tc>
          <w:tcPr>
            <w:tcW w:w="612" w:type="pct"/>
          </w:tcPr>
          <w:p w14:paraId="12C26D26" w14:textId="3D0ED059"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47E201E0" w14:textId="67CB3F70" w:rsidR="00BA32FC" w:rsidRPr="00CD5175" w:rsidRDefault="00BA32FC" w:rsidP="00BA32FC">
            <w:pPr>
              <w:pStyle w:val="Default"/>
              <w:jc w:val="center"/>
              <w:rPr>
                <w:rFonts w:ascii="Aptos" w:hAnsi="Aptos"/>
                <w:b/>
                <w:bCs/>
                <w:color w:val="0000FF"/>
              </w:rPr>
            </w:pPr>
            <w:r w:rsidRPr="00CD5175">
              <w:rPr>
                <w:rStyle w:val="Forte"/>
                <w:b w:val="0"/>
                <w:bCs w:val="0"/>
                <w:color w:val="0000FF"/>
              </w:rPr>
              <w:t>75</w:t>
            </w:r>
          </w:p>
        </w:tc>
        <w:tc>
          <w:tcPr>
            <w:tcW w:w="712" w:type="pct"/>
          </w:tcPr>
          <w:p w14:paraId="446EDB9F" w14:textId="6AEDFC59"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6BEC3628" w14:textId="043023A1" w:rsidR="00BA32FC" w:rsidRPr="002E3FB9" w:rsidRDefault="00BA32FC" w:rsidP="00BA32FC">
            <w:pPr>
              <w:pStyle w:val="Default"/>
              <w:jc w:val="center"/>
              <w:rPr>
                <w:rFonts w:ascii="Aptos" w:hAnsi="Aptos"/>
              </w:rPr>
            </w:pPr>
            <w:r>
              <w:t>III</w:t>
            </w:r>
          </w:p>
        </w:tc>
        <w:tc>
          <w:tcPr>
            <w:tcW w:w="747" w:type="pct"/>
          </w:tcPr>
          <w:p w14:paraId="60478EBC"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284C4131" w14:textId="343BBA7C"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01563A0B" w14:textId="77777777" w:rsidTr="00D1730A">
        <w:trPr>
          <w:trHeight w:val="472"/>
        </w:trPr>
        <w:tc>
          <w:tcPr>
            <w:tcW w:w="336" w:type="pct"/>
          </w:tcPr>
          <w:p w14:paraId="5ECB64B0" w14:textId="7D6A8112" w:rsidR="00BA32FC" w:rsidRPr="002E3FB9" w:rsidRDefault="00BA32FC" w:rsidP="00BA32FC">
            <w:pPr>
              <w:pStyle w:val="Default"/>
              <w:rPr>
                <w:rFonts w:ascii="Aptos" w:hAnsi="Aptos"/>
              </w:rPr>
            </w:pPr>
            <w:r>
              <w:t>22</w:t>
            </w:r>
          </w:p>
        </w:tc>
        <w:tc>
          <w:tcPr>
            <w:tcW w:w="1583" w:type="pct"/>
          </w:tcPr>
          <w:p w14:paraId="3BE2AD9F" w14:textId="1B2B5489" w:rsidR="00BA32FC" w:rsidRPr="002E3FB9" w:rsidRDefault="00BA32FC" w:rsidP="00BA32FC">
            <w:pPr>
              <w:pStyle w:val="Default"/>
              <w:rPr>
                <w:rFonts w:ascii="Aptos" w:hAnsi="Aptos"/>
              </w:rPr>
            </w:pPr>
            <w:r>
              <w:t>Certificação de modelo de convênio de adesão</w:t>
            </w:r>
          </w:p>
        </w:tc>
        <w:tc>
          <w:tcPr>
            <w:tcW w:w="612" w:type="pct"/>
          </w:tcPr>
          <w:p w14:paraId="022B8601" w14:textId="6366A062"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5AC094A7" w14:textId="3E21B7F1" w:rsidR="00BA32FC" w:rsidRPr="00CD5175" w:rsidRDefault="00BA32FC" w:rsidP="00BA32FC">
            <w:pPr>
              <w:pStyle w:val="Default"/>
              <w:jc w:val="center"/>
              <w:rPr>
                <w:rFonts w:ascii="Aptos" w:hAnsi="Aptos"/>
                <w:b/>
                <w:bCs/>
                <w:color w:val="0000FF"/>
              </w:rPr>
            </w:pPr>
            <w:r w:rsidRPr="00CD5175">
              <w:rPr>
                <w:rStyle w:val="Forte"/>
                <w:b w:val="0"/>
                <w:bCs w:val="0"/>
                <w:color w:val="0000FF"/>
              </w:rPr>
              <w:t>55</w:t>
            </w:r>
          </w:p>
        </w:tc>
        <w:tc>
          <w:tcPr>
            <w:tcW w:w="712" w:type="pct"/>
          </w:tcPr>
          <w:p w14:paraId="29139EAB" w14:textId="75E9BA95"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70BAC1FC" w14:textId="1F055393" w:rsidR="00BA32FC" w:rsidRPr="002E3FB9" w:rsidRDefault="00BA32FC" w:rsidP="00BA32FC">
            <w:pPr>
              <w:pStyle w:val="Default"/>
              <w:jc w:val="center"/>
              <w:rPr>
                <w:rFonts w:ascii="Aptos" w:hAnsi="Aptos"/>
              </w:rPr>
            </w:pPr>
            <w:r>
              <w:t>III</w:t>
            </w:r>
          </w:p>
        </w:tc>
        <w:tc>
          <w:tcPr>
            <w:tcW w:w="747" w:type="pct"/>
          </w:tcPr>
          <w:p w14:paraId="589A7B58"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686B8EE8" w14:textId="397AC120"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54D72B4C" w14:textId="77777777" w:rsidTr="00D1730A">
        <w:trPr>
          <w:trHeight w:val="472"/>
        </w:trPr>
        <w:tc>
          <w:tcPr>
            <w:tcW w:w="336" w:type="pct"/>
          </w:tcPr>
          <w:p w14:paraId="63FD70B7" w14:textId="4F996444" w:rsidR="00BA32FC" w:rsidRPr="002E3FB9" w:rsidRDefault="00BA32FC" w:rsidP="00BA32FC">
            <w:pPr>
              <w:pStyle w:val="Default"/>
              <w:rPr>
                <w:rFonts w:ascii="Aptos" w:hAnsi="Aptos"/>
              </w:rPr>
            </w:pPr>
            <w:r>
              <w:t>23</w:t>
            </w:r>
          </w:p>
        </w:tc>
        <w:tc>
          <w:tcPr>
            <w:tcW w:w="1583" w:type="pct"/>
          </w:tcPr>
          <w:p w14:paraId="0CDA0995" w14:textId="36FDDAA7" w:rsidR="00BA32FC" w:rsidRPr="002E3FB9" w:rsidRDefault="00BA32FC" w:rsidP="00BA32FC">
            <w:pPr>
              <w:pStyle w:val="Default"/>
              <w:rPr>
                <w:rFonts w:ascii="Aptos" w:hAnsi="Aptos"/>
              </w:rPr>
            </w:pPr>
            <w:r>
              <w:t>Habilitação de membro da diretoria-executiva ou de membro do conselho deliberativo ou do conselho fiscal de EFPC classificada no segmento S1</w:t>
            </w:r>
          </w:p>
        </w:tc>
        <w:tc>
          <w:tcPr>
            <w:tcW w:w="612" w:type="pct"/>
          </w:tcPr>
          <w:p w14:paraId="23AE43B1" w14:textId="5481959B"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10</w:t>
            </w:r>
          </w:p>
        </w:tc>
        <w:tc>
          <w:tcPr>
            <w:tcW w:w="562" w:type="pct"/>
          </w:tcPr>
          <w:p w14:paraId="6F67975E" w14:textId="01664A2C" w:rsidR="00BA32FC" w:rsidRPr="00CD5175" w:rsidRDefault="00BA32FC" w:rsidP="00BA32FC">
            <w:pPr>
              <w:pStyle w:val="Default"/>
              <w:jc w:val="center"/>
              <w:rPr>
                <w:rFonts w:ascii="Aptos" w:hAnsi="Aptos"/>
                <w:b/>
                <w:bCs/>
                <w:color w:val="0000FF"/>
              </w:rPr>
            </w:pPr>
            <w:r w:rsidRPr="00CD5175">
              <w:rPr>
                <w:rStyle w:val="Forte"/>
                <w:b w:val="0"/>
                <w:bCs w:val="0"/>
                <w:color w:val="0000FF"/>
              </w:rPr>
              <w:t>35</w:t>
            </w:r>
          </w:p>
        </w:tc>
        <w:tc>
          <w:tcPr>
            <w:tcW w:w="712" w:type="pct"/>
          </w:tcPr>
          <w:p w14:paraId="7426E895" w14:textId="20912C6D" w:rsidR="00BA32FC" w:rsidRPr="00CD5175" w:rsidRDefault="00BA32FC" w:rsidP="00BA32FC">
            <w:pPr>
              <w:pStyle w:val="Default"/>
              <w:jc w:val="center"/>
              <w:rPr>
                <w:rFonts w:ascii="Aptos" w:hAnsi="Aptos"/>
                <w:b/>
                <w:bCs/>
                <w:color w:val="0000FF"/>
              </w:rPr>
            </w:pPr>
            <w:r w:rsidRPr="00CD5175">
              <w:rPr>
                <w:rStyle w:val="Forte"/>
                <w:b w:val="0"/>
                <w:bCs w:val="0"/>
                <w:color w:val="0000FF"/>
              </w:rPr>
              <w:t>15</w:t>
            </w:r>
          </w:p>
        </w:tc>
        <w:tc>
          <w:tcPr>
            <w:tcW w:w="448" w:type="pct"/>
          </w:tcPr>
          <w:p w14:paraId="13B58AA7" w14:textId="573E5D83" w:rsidR="00BA32FC" w:rsidRPr="002E3FB9" w:rsidRDefault="00BA32FC" w:rsidP="00BA32FC">
            <w:pPr>
              <w:pStyle w:val="Default"/>
              <w:jc w:val="center"/>
              <w:rPr>
                <w:rFonts w:ascii="Aptos" w:hAnsi="Aptos"/>
              </w:rPr>
            </w:pPr>
            <w:r>
              <w:t>III</w:t>
            </w:r>
          </w:p>
        </w:tc>
        <w:tc>
          <w:tcPr>
            <w:tcW w:w="747" w:type="pct"/>
          </w:tcPr>
          <w:p w14:paraId="075B4E4A" w14:textId="394159CD" w:rsidR="00BA32FC" w:rsidRPr="002E3FB9" w:rsidRDefault="00BA32FC" w:rsidP="00BA32FC">
            <w:pPr>
              <w:pStyle w:val="Default"/>
              <w:rPr>
                <w:rFonts w:ascii="Aptos" w:hAnsi="Aptos"/>
              </w:rPr>
            </w:pPr>
            <w:r>
              <w:t xml:space="preserve">- </w:t>
            </w:r>
            <w:proofErr w:type="spellStart"/>
            <w:r>
              <w:t>Resol</w:t>
            </w:r>
            <w:proofErr w:type="spellEnd"/>
            <w:r>
              <w:t>. CNPC nº 39/2021;</w:t>
            </w:r>
          </w:p>
        </w:tc>
      </w:tr>
      <w:tr w:rsidR="00BA32FC" w:rsidRPr="002E3FB9" w14:paraId="18E71CF9" w14:textId="77777777" w:rsidTr="00D1730A">
        <w:trPr>
          <w:trHeight w:val="472"/>
        </w:trPr>
        <w:tc>
          <w:tcPr>
            <w:tcW w:w="336" w:type="pct"/>
          </w:tcPr>
          <w:p w14:paraId="5DA4E836" w14:textId="0B0D0034" w:rsidR="00BA32FC" w:rsidRPr="002E3FB9" w:rsidRDefault="00BA32FC" w:rsidP="00BA32FC">
            <w:pPr>
              <w:pStyle w:val="Default"/>
              <w:rPr>
                <w:rFonts w:ascii="Aptos" w:hAnsi="Aptos"/>
              </w:rPr>
            </w:pPr>
            <w:r>
              <w:t>24</w:t>
            </w:r>
          </w:p>
        </w:tc>
        <w:tc>
          <w:tcPr>
            <w:tcW w:w="1583" w:type="pct"/>
          </w:tcPr>
          <w:p w14:paraId="1A6D4526" w14:textId="44869606" w:rsidR="00BA32FC" w:rsidRPr="002E3FB9" w:rsidRDefault="00BA32FC" w:rsidP="00BA32FC">
            <w:pPr>
              <w:pStyle w:val="Default"/>
              <w:rPr>
                <w:rFonts w:ascii="Aptos" w:hAnsi="Aptos"/>
              </w:rPr>
            </w:pPr>
            <w:r>
              <w:t>Habilitação de membro dos órgãos estatutários de EFPC não enquadrada no item anterior</w:t>
            </w:r>
          </w:p>
        </w:tc>
        <w:tc>
          <w:tcPr>
            <w:tcW w:w="612" w:type="pct"/>
          </w:tcPr>
          <w:p w14:paraId="6D027B00" w14:textId="0F3DC8C0"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133591AF" w14:textId="6BCB10D0" w:rsidR="00BA32FC" w:rsidRPr="00CD5175" w:rsidRDefault="00BA32FC" w:rsidP="00BA32FC">
            <w:pPr>
              <w:pStyle w:val="Default"/>
              <w:jc w:val="center"/>
              <w:rPr>
                <w:rFonts w:ascii="Aptos" w:hAnsi="Aptos"/>
                <w:b/>
                <w:bCs/>
                <w:color w:val="0000FF"/>
              </w:rPr>
            </w:pPr>
            <w:r w:rsidRPr="00CD5175">
              <w:rPr>
                <w:rStyle w:val="Forte"/>
                <w:b w:val="0"/>
                <w:bCs w:val="0"/>
                <w:color w:val="0000FF"/>
              </w:rPr>
              <w:t>55</w:t>
            </w:r>
          </w:p>
        </w:tc>
        <w:tc>
          <w:tcPr>
            <w:tcW w:w="712" w:type="pct"/>
          </w:tcPr>
          <w:p w14:paraId="0922A298" w14:textId="010ED70C" w:rsidR="00BA32FC" w:rsidRPr="00CD5175" w:rsidRDefault="00BA32FC" w:rsidP="00BA32FC">
            <w:pPr>
              <w:pStyle w:val="Default"/>
              <w:jc w:val="center"/>
              <w:rPr>
                <w:rFonts w:ascii="Aptos" w:hAnsi="Aptos"/>
                <w:b/>
                <w:bCs/>
                <w:color w:val="0000FF"/>
              </w:rPr>
            </w:pPr>
            <w:r w:rsidRPr="00CD5175">
              <w:rPr>
                <w:rStyle w:val="Forte"/>
                <w:b w:val="0"/>
                <w:bCs w:val="0"/>
                <w:color w:val="0000FF"/>
              </w:rPr>
              <w:t>15</w:t>
            </w:r>
          </w:p>
        </w:tc>
        <w:tc>
          <w:tcPr>
            <w:tcW w:w="448" w:type="pct"/>
          </w:tcPr>
          <w:p w14:paraId="10C467A8" w14:textId="484839F1" w:rsidR="00BA32FC" w:rsidRPr="002E3FB9" w:rsidRDefault="00BA32FC" w:rsidP="00BA32FC">
            <w:pPr>
              <w:pStyle w:val="Default"/>
              <w:jc w:val="center"/>
              <w:rPr>
                <w:rFonts w:ascii="Aptos" w:hAnsi="Aptos"/>
              </w:rPr>
            </w:pPr>
            <w:r>
              <w:t>I</w:t>
            </w:r>
          </w:p>
        </w:tc>
        <w:tc>
          <w:tcPr>
            <w:tcW w:w="747" w:type="pct"/>
          </w:tcPr>
          <w:p w14:paraId="59C9419D" w14:textId="5A9FB6CB" w:rsidR="00BA32FC" w:rsidRPr="002E3FB9" w:rsidRDefault="00BA32FC" w:rsidP="00BA32FC">
            <w:pPr>
              <w:pStyle w:val="Default"/>
              <w:rPr>
                <w:rFonts w:ascii="Aptos" w:hAnsi="Aptos"/>
              </w:rPr>
            </w:pPr>
            <w:r>
              <w:t xml:space="preserve">- </w:t>
            </w:r>
            <w:proofErr w:type="spellStart"/>
            <w:r>
              <w:t>Resol</w:t>
            </w:r>
            <w:proofErr w:type="spellEnd"/>
            <w:r>
              <w:t>. CNPC nº 39/2021.</w:t>
            </w:r>
          </w:p>
        </w:tc>
      </w:tr>
      <w:tr w:rsidR="00BA32FC" w:rsidRPr="002E3FB9" w14:paraId="659ECBC4" w14:textId="77777777" w:rsidTr="00D1730A">
        <w:trPr>
          <w:trHeight w:val="472"/>
        </w:trPr>
        <w:tc>
          <w:tcPr>
            <w:tcW w:w="336" w:type="pct"/>
          </w:tcPr>
          <w:p w14:paraId="754F3660" w14:textId="42643193" w:rsidR="00BA32FC" w:rsidRPr="002E3FB9" w:rsidRDefault="00BA32FC" w:rsidP="00BA32FC">
            <w:pPr>
              <w:pStyle w:val="Default"/>
              <w:rPr>
                <w:rFonts w:ascii="Aptos" w:hAnsi="Aptos"/>
              </w:rPr>
            </w:pPr>
            <w:r>
              <w:t>25</w:t>
            </w:r>
          </w:p>
        </w:tc>
        <w:tc>
          <w:tcPr>
            <w:tcW w:w="1583" w:type="pct"/>
          </w:tcPr>
          <w:p w14:paraId="7AE5EA5F" w14:textId="4E2CF91B" w:rsidR="00BA32FC" w:rsidRPr="002E3FB9" w:rsidRDefault="00BA32FC" w:rsidP="00BA32FC">
            <w:pPr>
              <w:pStyle w:val="Default"/>
              <w:rPr>
                <w:rFonts w:ascii="Aptos" w:hAnsi="Aptos"/>
              </w:rPr>
            </w:pPr>
            <w:r>
              <w:t>Reconhecimento de instituição certificadora</w:t>
            </w:r>
          </w:p>
        </w:tc>
        <w:tc>
          <w:tcPr>
            <w:tcW w:w="612" w:type="pct"/>
          </w:tcPr>
          <w:p w14:paraId="615D351F" w14:textId="4F45DA26"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4FCBD4C8" w14:textId="264B8041" w:rsidR="00BA32FC" w:rsidRPr="00CD5175" w:rsidRDefault="00BA32FC" w:rsidP="00BA32FC">
            <w:pPr>
              <w:pStyle w:val="Default"/>
              <w:jc w:val="center"/>
              <w:rPr>
                <w:rFonts w:ascii="Aptos" w:hAnsi="Aptos"/>
                <w:b/>
                <w:bCs/>
                <w:color w:val="0000FF"/>
              </w:rPr>
            </w:pPr>
            <w:r w:rsidRPr="00CD5175">
              <w:rPr>
                <w:rStyle w:val="Forte"/>
                <w:b w:val="0"/>
                <w:bCs w:val="0"/>
                <w:color w:val="0000FF"/>
              </w:rPr>
              <w:t>55</w:t>
            </w:r>
          </w:p>
        </w:tc>
        <w:tc>
          <w:tcPr>
            <w:tcW w:w="712" w:type="pct"/>
          </w:tcPr>
          <w:p w14:paraId="59AED36C" w14:textId="198AA594" w:rsidR="00BA32FC" w:rsidRPr="00CD5175" w:rsidRDefault="00BA32FC" w:rsidP="00BA32FC">
            <w:pPr>
              <w:pStyle w:val="Default"/>
              <w:jc w:val="center"/>
              <w:rPr>
                <w:rFonts w:ascii="Aptos" w:hAnsi="Aptos"/>
                <w:b/>
                <w:bCs/>
                <w:color w:val="0000FF"/>
              </w:rPr>
            </w:pPr>
            <w:r w:rsidRPr="00CD5175">
              <w:rPr>
                <w:rStyle w:val="Forte"/>
                <w:b w:val="0"/>
                <w:bCs w:val="0"/>
                <w:color w:val="0000FF"/>
              </w:rPr>
              <w:t>15</w:t>
            </w:r>
          </w:p>
        </w:tc>
        <w:tc>
          <w:tcPr>
            <w:tcW w:w="448" w:type="pct"/>
          </w:tcPr>
          <w:p w14:paraId="22F1BD1D" w14:textId="28392D2E" w:rsidR="00BA32FC" w:rsidRPr="002E3FB9" w:rsidRDefault="00BA32FC" w:rsidP="00BA32FC">
            <w:pPr>
              <w:pStyle w:val="Default"/>
              <w:jc w:val="center"/>
              <w:rPr>
                <w:rFonts w:ascii="Aptos" w:hAnsi="Aptos"/>
              </w:rPr>
            </w:pPr>
            <w:r>
              <w:t>III</w:t>
            </w:r>
          </w:p>
        </w:tc>
        <w:tc>
          <w:tcPr>
            <w:tcW w:w="747" w:type="pct"/>
          </w:tcPr>
          <w:p w14:paraId="2EF0C413" w14:textId="3C68DBDD" w:rsidR="00BA32FC" w:rsidRPr="002E3FB9" w:rsidRDefault="00BA32FC" w:rsidP="00BA32FC">
            <w:pPr>
              <w:pStyle w:val="Default"/>
              <w:rPr>
                <w:rFonts w:ascii="Aptos" w:hAnsi="Aptos"/>
              </w:rPr>
            </w:pPr>
            <w:r>
              <w:t xml:space="preserve">- </w:t>
            </w:r>
            <w:proofErr w:type="spellStart"/>
            <w:r>
              <w:t>Resol</w:t>
            </w:r>
            <w:proofErr w:type="spellEnd"/>
            <w:r>
              <w:t>. CNPC nº 39/2021.</w:t>
            </w:r>
          </w:p>
        </w:tc>
      </w:tr>
    </w:tbl>
    <w:p w14:paraId="4E4E55D2" w14:textId="2E33027C" w:rsidR="00AE75E2" w:rsidRPr="00E17468" w:rsidRDefault="00AE75E2" w:rsidP="00B2316F">
      <w:pPr>
        <w:rPr>
          <w:color w:val="0000FF"/>
          <w:sz w:val="24"/>
          <w:szCs w:val="24"/>
        </w:rPr>
      </w:pPr>
    </w:p>
    <w:sectPr w:rsidR="00AE75E2" w:rsidRPr="00E17468" w:rsidSect="00ED6416">
      <w:pgSz w:w="16838" w:h="11906" w:orient="landscape"/>
      <w:pgMar w:top="284" w:right="284" w:bottom="284" w:left="28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DE63D" w14:textId="77777777" w:rsidR="00C73E3E" w:rsidRDefault="00C73E3E" w:rsidP="009A7CFD">
      <w:pPr>
        <w:spacing w:after="0" w:line="240" w:lineRule="auto"/>
      </w:pPr>
      <w:r>
        <w:separator/>
      </w:r>
    </w:p>
  </w:endnote>
  <w:endnote w:type="continuationSeparator" w:id="0">
    <w:p w14:paraId="637F3BA3" w14:textId="77777777" w:rsidR="00C73E3E" w:rsidRDefault="00C73E3E" w:rsidP="009A7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DCA5CA9-3C1B-456D-95D9-EEE4FE255266}"/>
    <w:embedBold r:id="rId2" w:fontKey="{22729BAA-C25E-4E05-9010-863616349000}"/>
    <w:embedItalic r:id="rId3" w:fontKey="{3F021D4D-0B1A-477E-9962-6BB51BE50BE1}"/>
    <w:embedBoldItalic r:id="rId4" w:fontKey="{42118246-3BF8-4BB9-9B31-3D5354FDEA72}"/>
  </w:font>
  <w:font w:name="Play">
    <w:altName w:val="Calibri"/>
    <w:charset w:val="00"/>
    <w:family w:val="auto"/>
    <w:pitch w:val="default"/>
    <w:embedRegular r:id="rId5" w:fontKey="{524E8601-EF7E-4BE3-86FC-4EDB952F97E5}"/>
  </w:font>
  <w:font w:name="Georgia">
    <w:panose1 w:val="02040502050405020303"/>
    <w:charset w:val="00"/>
    <w:family w:val="roman"/>
    <w:pitch w:val="variable"/>
    <w:sig w:usb0="00000287" w:usb1="00000000" w:usb2="00000000" w:usb3="00000000" w:csb0="0000009F" w:csb1="00000000"/>
    <w:embedRegular r:id="rId6" w:fontKey="{192DF8F5-6DEA-47BA-8EB0-C1E0140CA413}"/>
    <w:embedItalic r:id="rId7" w:fontKey="{D8199714-23D2-4063-8284-E24E21426C37}"/>
  </w:font>
  <w:font w:name="Calibri">
    <w:panose1 w:val="020F0502020204030204"/>
    <w:charset w:val="00"/>
    <w:family w:val="swiss"/>
    <w:pitch w:val="variable"/>
    <w:sig w:usb0="E4002EFF" w:usb1="C000247B" w:usb2="00000009" w:usb3="00000000" w:csb0="000001FF" w:csb1="00000000"/>
    <w:embedRegular r:id="rId8" w:fontKey="{2EC99291-C9C2-4A00-89BC-AE32B02F9EFD}"/>
    <w:embedBold r:id="rId9" w:fontKey="{BC1D28AB-91B7-4A5F-AEC5-E85F6DF41FB6}"/>
    <w:embedItalic r:id="rId10" w:fontKey="{0B3C903B-40B0-4557-BF48-051EC679CF3F}"/>
    <w:embedBoldItalic r:id="rId11" w:fontKey="{71C89555-2B9F-40C5-A1D7-3C04A4C110C0}"/>
  </w:font>
  <w:font w:name="Cambria">
    <w:panose1 w:val="02040503050406030204"/>
    <w:charset w:val="00"/>
    <w:family w:val="roman"/>
    <w:pitch w:val="variable"/>
    <w:sig w:usb0="E00006FF" w:usb1="420024FF" w:usb2="02000000" w:usb3="00000000" w:csb0="0000019F" w:csb1="00000000"/>
    <w:embedRegular r:id="rId12" w:fontKey="{EF86F642-702A-459F-9C75-F50346552964}"/>
    <w:embedBold r:id="rId13" w:fontKey="{9D495D44-9235-499C-B348-817D140B50CF}"/>
  </w:font>
  <w:font w:name="Segoe UI">
    <w:panose1 w:val="020B0502040204020203"/>
    <w:charset w:val="00"/>
    <w:family w:val="swiss"/>
    <w:pitch w:val="variable"/>
    <w:sig w:usb0="E4002EFF" w:usb1="C000E47F" w:usb2="00000009" w:usb3="00000000" w:csb0="000001FF" w:csb1="00000000"/>
    <w:embedRegular r:id="rId14" w:fontKey="{F24FC79E-7B46-495F-83C4-F4546690E4C2}"/>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CA7CF" w14:textId="77777777" w:rsidR="00C73E3E" w:rsidRDefault="00C73E3E" w:rsidP="009A7CFD">
      <w:pPr>
        <w:spacing w:after="0" w:line="240" w:lineRule="auto"/>
      </w:pPr>
      <w:r>
        <w:separator/>
      </w:r>
    </w:p>
  </w:footnote>
  <w:footnote w:type="continuationSeparator" w:id="0">
    <w:p w14:paraId="5EAED6BD" w14:textId="77777777" w:rsidR="00C73E3E" w:rsidRDefault="00C73E3E" w:rsidP="009A7C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4F6655"/>
    <w:multiLevelType w:val="multilevel"/>
    <w:tmpl w:val="2974A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87CF1"/>
    <w:multiLevelType w:val="hybridMultilevel"/>
    <w:tmpl w:val="D274531C"/>
    <w:lvl w:ilvl="0" w:tplc="B25C27C4">
      <w:start w:val="1"/>
      <w:numFmt w:val="decimal"/>
      <w:lvlText w:val="%1."/>
      <w:lvlJc w:val="left"/>
      <w:pPr>
        <w:ind w:left="405" w:hanging="360"/>
      </w:pPr>
      <w:rPr>
        <w:rFonts w:hint="default"/>
        <w:b w:val="0"/>
        <w:color w:val="0000FF"/>
        <w:sz w:val="22"/>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num w:numId="1" w16cid:durableId="1578980716">
    <w:abstractNumId w:val="1"/>
  </w:num>
  <w:num w:numId="2" w16cid:durableId="458033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BD0"/>
    <w:rsid w:val="000052C9"/>
    <w:rsid w:val="0001369C"/>
    <w:rsid w:val="00014F0A"/>
    <w:rsid w:val="00021265"/>
    <w:rsid w:val="00026B55"/>
    <w:rsid w:val="00033AC6"/>
    <w:rsid w:val="000432A1"/>
    <w:rsid w:val="000564C2"/>
    <w:rsid w:val="0006536D"/>
    <w:rsid w:val="00067635"/>
    <w:rsid w:val="00082F36"/>
    <w:rsid w:val="000A1A4B"/>
    <w:rsid w:val="000A1F82"/>
    <w:rsid w:val="000C2148"/>
    <w:rsid w:val="000D7D73"/>
    <w:rsid w:val="000E01B8"/>
    <w:rsid w:val="000E0F2D"/>
    <w:rsid w:val="000F15E0"/>
    <w:rsid w:val="00106AF3"/>
    <w:rsid w:val="00132F8C"/>
    <w:rsid w:val="0015100F"/>
    <w:rsid w:val="00160EB0"/>
    <w:rsid w:val="00162A71"/>
    <w:rsid w:val="00162C61"/>
    <w:rsid w:val="001705A9"/>
    <w:rsid w:val="001856D3"/>
    <w:rsid w:val="00187A6D"/>
    <w:rsid w:val="001A4ADD"/>
    <w:rsid w:val="001A7AC3"/>
    <w:rsid w:val="001B56D0"/>
    <w:rsid w:val="001C0C77"/>
    <w:rsid w:val="001D33D2"/>
    <w:rsid w:val="001D3C93"/>
    <w:rsid w:val="001D546F"/>
    <w:rsid w:val="001D7A41"/>
    <w:rsid w:val="001F273C"/>
    <w:rsid w:val="001F7F30"/>
    <w:rsid w:val="00204AFB"/>
    <w:rsid w:val="00213487"/>
    <w:rsid w:val="0021482B"/>
    <w:rsid w:val="00216CEE"/>
    <w:rsid w:val="00235944"/>
    <w:rsid w:val="00244D6F"/>
    <w:rsid w:val="00250981"/>
    <w:rsid w:val="0025626B"/>
    <w:rsid w:val="00257762"/>
    <w:rsid w:val="00261F74"/>
    <w:rsid w:val="002701A9"/>
    <w:rsid w:val="002773EE"/>
    <w:rsid w:val="00285C7D"/>
    <w:rsid w:val="0028717C"/>
    <w:rsid w:val="0029539F"/>
    <w:rsid w:val="0029794E"/>
    <w:rsid w:val="00297D09"/>
    <w:rsid w:val="002A2A6E"/>
    <w:rsid w:val="002B6B44"/>
    <w:rsid w:val="002C5366"/>
    <w:rsid w:val="002E0FE6"/>
    <w:rsid w:val="002E3FB9"/>
    <w:rsid w:val="002E6C4F"/>
    <w:rsid w:val="002F69D2"/>
    <w:rsid w:val="00305942"/>
    <w:rsid w:val="00331069"/>
    <w:rsid w:val="00340651"/>
    <w:rsid w:val="00345788"/>
    <w:rsid w:val="00347D55"/>
    <w:rsid w:val="00351443"/>
    <w:rsid w:val="00364905"/>
    <w:rsid w:val="003765BD"/>
    <w:rsid w:val="00391687"/>
    <w:rsid w:val="003A62EF"/>
    <w:rsid w:val="003B4D82"/>
    <w:rsid w:val="003C43B9"/>
    <w:rsid w:val="003D243B"/>
    <w:rsid w:val="003D63E3"/>
    <w:rsid w:val="003F0A4C"/>
    <w:rsid w:val="003F7538"/>
    <w:rsid w:val="0041273C"/>
    <w:rsid w:val="0041312D"/>
    <w:rsid w:val="004153BF"/>
    <w:rsid w:val="00450324"/>
    <w:rsid w:val="00460126"/>
    <w:rsid w:val="00465F10"/>
    <w:rsid w:val="00474E64"/>
    <w:rsid w:val="00477DED"/>
    <w:rsid w:val="00480C3D"/>
    <w:rsid w:val="0049035A"/>
    <w:rsid w:val="00497C15"/>
    <w:rsid w:val="004A2310"/>
    <w:rsid w:val="004B40A2"/>
    <w:rsid w:val="004C3E70"/>
    <w:rsid w:val="004D1974"/>
    <w:rsid w:val="004D5976"/>
    <w:rsid w:val="004E06F1"/>
    <w:rsid w:val="004E77EA"/>
    <w:rsid w:val="004F0F51"/>
    <w:rsid w:val="004F5B01"/>
    <w:rsid w:val="00513762"/>
    <w:rsid w:val="00514F55"/>
    <w:rsid w:val="00523882"/>
    <w:rsid w:val="00524962"/>
    <w:rsid w:val="00525B2C"/>
    <w:rsid w:val="00556C72"/>
    <w:rsid w:val="005619E2"/>
    <w:rsid w:val="00564784"/>
    <w:rsid w:val="005846AE"/>
    <w:rsid w:val="00596263"/>
    <w:rsid w:val="005B1E2B"/>
    <w:rsid w:val="005D32F7"/>
    <w:rsid w:val="005E2EBD"/>
    <w:rsid w:val="005F253D"/>
    <w:rsid w:val="005F3BE4"/>
    <w:rsid w:val="005F7D96"/>
    <w:rsid w:val="006258F5"/>
    <w:rsid w:val="00627F1C"/>
    <w:rsid w:val="006406F2"/>
    <w:rsid w:val="006414E3"/>
    <w:rsid w:val="00643C30"/>
    <w:rsid w:val="00653BE5"/>
    <w:rsid w:val="00661C50"/>
    <w:rsid w:val="006645AC"/>
    <w:rsid w:val="0068114E"/>
    <w:rsid w:val="006974ED"/>
    <w:rsid w:val="006C5BD0"/>
    <w:rsid w:val="006D4320"/>
    <w:rsid w:val="006E09D0"/>
    <w:rsid w:val="006F1170"/>
    <w:rsid w:val="00701360"/>
    <w:rsid w:val="00701692"/>
    <w:rsid w:val="00716A03"/>
    <w:rsid w:val="007258E7"/>
    <w:rsid w:val="007273DC"/>
    <w:rsid w:val="00765FAF"/>
    <w:rsid w:val="00780821"/>
    <w:rsid w:val="007978F1"/>
    <w:rsid w:val="007B48BC"/>
    <w:rsid w:val="007E0C21"/>
    <w:rsid w:val="007E378D"/>
    <w:rsid w:val="007E53F6"/>
    <w:rsid w:val="007E73F1"/>
    <w:rsid w:val="007F47DF"/>
    <w:rsid w:val="007F49B4"/>
    <w:rsid w:val="00801A10"/>
    <w:rsid w:val="00804B5A"/>
    <w:rsid w:val="00815BB1"/>
    <w:rsid w:val="00820077"/>
    <w:rsid w:val="008361AB"/>
    <w:rsid w:val="008460C2"/>
    <w:rsid w:val="00852740"/>
    <w:rsid w:val="00852ABA"/>
    <w:rsid w:val="00856191"/>
    <w:rsid w:val="00873D21"/>
    <w:rsid w:val="00877DE4"/>
    <w:rsid w:val="008911F6"/>
    <w:rsid w:val="00893D90"/>
    <w:rsid w:val="00894C75"/>
    <w:rsid w:val="00894D86"/>
    <w:rsid w:val="008A2672"/>
    <w:rsid w:val="008B2BA2"/>
    <w:rsid w:val="008B3B0E"/>
    <w:rsid w:val="008B3B42"/>
    <w:rsid w:val="008C248E"/>
    <w:rsid w:val="008C252E"/>
    <w:rsid w:val="008C259E"/>
    <w:rsid w:val="008F3FAE"/>
    <w:rsid w:val="009007FC"/>
    <w:rsid w:val="0091362C"/>
    <w:rsid w:val="00914A4A"/>
    <w:rsid w:val="00915B8E"/>
    <w:rsid w:val="00921875"/>
    <w:rsid w:val="00930666"/>
    <w:rsid w:val="00960B26"/>
    <w:rsid w:val="00963D6D"/>
    <w:rsid w:val="009715A9"/>
    <w:rsid w:val="00972724"/>
    <w:rsid w:val="009800BF"/>
    <w:rsid w:val="009A0ECC"/>
    <w:rsid w:val="009A0EED"/>
    <w:rsid w:val="009A7550"/>
    <w:rsid w:val="009A7CFD"/>
    <w:rsid w:val="009D465C"/>
    <w:rsid w:val="009D7CCF"/>
    <w:rsid w:val="009E4B96"/>
    <w:rsid w:val="009F0C7B"/>
    <w:rsid w:val="009F2ED0"/>
    <w:rsid w:val="009F4B20"/>
    <w:rsid w:val="00A06EAC"/>
    <w:rsid w:val="00A228B0"/>
    <w:rsid w:val="00A26CD8"/>
    <w:rsid w:val="00A27AA6"/>
    <w:rsid w:val="00A34B95"/>
    <w:rsid w:val="00A411D5"/>
    <w:rsid w:val="00A5652D"/>
    <w:rsid w:val="00A5764F"/>
    <w:rsid w:val="00A57FBA"/>
    <w:rsid w:val="00A65603"/>
    <w:rsid w:val="00A663CA"/>
    <w:rsid w:val="00A91A7B"/>
    <w:rsid w:val="00A95483"/>
    <w:rsid w:val="00AA49E8"/>
    <w:rsid w:val="00AA4BA2"/>
    <w:rsid w:val="00AB5693"/>
    <w:rsid w:val="00AB58EB"/>
    <w:rsid w:val="00AC0734"/>
    <w:rsid w:val="00AC6660"/>
    <w:rsid w:val="00AE75E2"/>
    <w:rsid w:val="00AF6905"/>
    <w:rsid w:val="00B020EC"/>
    <w:rsid w:val="00B04AEE"/>
    <w:rsid w:val="00B2316F"/>
    <w:rsid w:val="00B241D4"/>
    <w:rsid w:val="00B41399"/>
    <w:rsid w:val="00B41846"/>
    <w:rsid w:val="00B44326"/>
    <w:rsid w:val="00B53707"/>
    <w:rsid w:val="00B55094"/>
    <w:rsid w:val="00B570A5"/>
    <w:rsid w:val="00B70EE1"/>
    <w:rsid w:val="00B730DE"/>
    <w:rsid w:val="00B75A97"/>
    <w:rsid w:val="00B93DD1"/>
    <w:rsid w:val="00BA32FC"/>
    <w:rsid w:val="00BB6456"/>
    <w:rsid w:val="00BC0649"/>
    <w:rsid w:val="00BC0A2D"/>
    <w:rsid w:val="00BC1B73"/>
    <w:rsid w:val="00BC6F01"/>
    <w:rsid w:val="00BD2DF5"/>
    <w:rsid w:val="00BD5F18"/>
    <w:rsid w:val="00BF1068"/>
    <w:rsid w:val="00BF3D06"/>
    <w:rsid w:val="00BF3FBE"/>
    <w:rsid w:val="00BF5BA9"/>
    <w:rsid w:val="00C1578E"/>
    <w:rsid w:val="00C26F66"/>
    <w:rsid w:val="00C27252"/>
    <w:rsid w:val="00C51AEC"/>
    <w:rsid w:val="00C606DC"/>
    <w:rsid w:val="00C73B1F"/>
    <w:rsid w:val="00C73E3E"/>
    <w:rsid w:val="00C87618"/>
    <w:rsid w:val="00C905A7"/>
    <w:rsid w:val="00C92B38"/>
    <w:rsid w:val="00C9352D"/>
    <w:rsid w:val="00C93770"/>
    <w:rsid w:val="00C96878"/>
    <w:rsid w:val="00CC77CB"/>
    <w:rsid w:val="00CD3E97"/>
    <w:rsid w:val="00CD5175"/>
    <w:rsid w:val="00CE3254"/>
    <w:rsid w:val="00CF1107"/>
    <w:rsid w:val="00D02BDA"/>
    <w:rsid w:val="00D1730A"/>
    <w:rsid w:val="00D37958"/>
    <w:rsid w:val="00D37A86"/>
    <w:rsid w:val="00D462F0"/>
    <w:rsid w:val="00D4789C"/>
    <w:rsid w:val="00D53359"/>
    <w:rsid w:val="00D642B4"/>
    <w:rsid w:val="00D700C6"/>
    <w:rsid w:val="00D761F5"/>
    <w:rsid w:val="00D769ED"/>
    <w:rsid w:val="00D86C3D"/>
    <w:rsid w:val="00DB2B3D"/>
    <w:rsid w:val="00DD2A8A"/>
    <w:rsid w:val="00DD6067"/>
    <w:rsid w:val="00E0381E"/>
    <w:rsid w:val="00E04860"/>
    <w:rsid w:val="00E11DCF"/>
    <w:rsid w:val="00E17468"/>
    <w:rsid w:val="00E4154A"/>
    <w:rsid w:val="00E461A7"/>
    <w:rsid w:val="00E5209E"/>
    <w:rsid w:val="00E52969"/>
    <w:rsid w:val="00E60A5C"/>
    <w:rsid w:val="00E716A5"/>
    <w:rsid w:val="00E734B5"/>
    <w:rsid w:val="00EA698E"/>
    <w:rsid w:val="00EB19CA"/>
    <w:rsid w:val="00ED6416"/>
    <w:rsid w:val="00EE3188"/>
    <w:rsid w:val="00EF2AB4"/>
    <w:rsid w:val="00EF6DDD"/>
    <w:rsid w:val="00F10604"/>
    <w:rsid w:val="00F24D4F"/>
    <w:rsid w:val="00FB2305"/>
    <w:rsid w:val="00FE1093"/>
    <w:rsid w:val="00FE24A7"/>
    <w:rsid w:val="00FE74F0"/>
    <w:rsid w:val="00FE7BBA"/>
    <w:rsid w:val="00FF26E6"/>
    <w:rsid w:val="1756A420"/>
    <w:rsid w:val="2DA9B0F0"/>
    <w:rsid w:val="77568D4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1F1EF"/>
  <w15:docId w15:val="{2CBA687F-6EA3-42D7-8348-29890023D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443"/>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187A6D"/>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9A7CF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A7CFD"/>
    <w:rPr>
      <w:sz w:val="20"/>
      <w:szCs w:val="20"/>
    </w:rPr>
  </w:style>
  <w:style w:type="character" w:styleId="Refdenotaderodap">
    <w:name w:val="footnote reference"/>
    <w:basedOn w:val="Fontepargpadro"/>
    <w:uiPriority w:val="99"/>
    <w:semiHidden/>
    <w:unhideWhenUsed/>
    <w:rsid w:val="009A7CFD"/>
    <w:rPr>
      <w:vertAlign w:val="superscript"/>
    </w:rPr>
  </w:style>
  <w:style w:type="paragraph" w:styleId="PargrafodaLista">
    <w:name w:val="List Paragraph"/>
    <w:basedOn w:val="Normal"/>
    <w:uiPriority w:val="34"/>
    <w:qFormat/>
    <w:rsid w:val="009A7CFD"/>
    <w:pPr>
      <w:ind w:left="720"/>
      <w:contextualSpacing/>
    </w:pPr>
  </w:style>
  <w:style w:type="paragraph" w:styleId="Reviso">
    <w:name w:val="Revision"/>
    <w:hidden/>
    <w:uiPriority w:val="99"/>
    <w:semiHidden/>
    <w:rsid w:val="009F2ED0"/>
    <w:pPr>
      <w:spacing w:after="0" w:line="240" w:lineRule="auto"/>
    </w:pPr>
  </w:style>
  <w:style w:type="character" w:styleId="Refdecomentrio">
    <w:name w:val="annotation reference"/>
    <w:basedOn w:val="Fontepargpadro"/>
    <w:uiPriority w:val="99"/>
    <w:semiHidden/>
    <w:unhideWhenUsed/>
    <w:rsid w:val="00C96878"/>
    <w:rPr>
      <w:sz w:val="16"/>
      <w:szCs w:val="16"/>
    </w:rPr>
  </w:style>
  <w:style w:type="paragraph" w:styleId="Textodecomentrio">
    <w:name w:val="annotation text"/>
    <w:basedOn w:val="Normal"/>
    <w:link w:val="TextodecomentrioChar"/>
    <w:uiPriority w:val="99"/>
    <w:unhideWhenUsed/>
    <w:rsid w:val="00C96878"/>
    <w:pPr>
      <w:spacing w:line="240" w:lineRule="auto"/>
    </w:pPr>
    <w:rPr>
      <w:sz w:val="20"/>
      <w:szCs w:val="20"/>
    </w:rPr>
  </w:style>
  <w:style w:type="character" w:customStyle="1" w:styleId="TextodecomentrioChar">
    <w:name w:val="Texto de comentário Char"/>
    <w:basedOn w:val="Fontepargpadro"/>
    <w:link w:val="Textodecomentrio"/>
    <w:uiPriority w:val="99"/>
    <w:rsid w:val="00C96878"/>
    <w:rPr>
      <w:sz w:val="20"/>
      <w:szCs w:val="20"/>
    </w:rPr>
  </w:style>
  <w:style w:type="paragraph" w:customStyle="1" w:styleId="Default">
    <w:name w:val="Default"/>
    <w:rsid w:val="00C96878"/>
    <w:pPr>
      <w:autoSpaceDE w:val="0"/>
      <w:autoSpaceDN w:val="0"/>
      <w:adjustRightInd w:val="0"/>
      <w:spacing w:after="0" w:line="240" w:lineRule="auto"/>
    </w:pPr>
    <w:rPr>
      <w:rFonts w:ascii="Calibri" w:eastAsiaTheme="minorHAnsi" w:hAnsi="Calibri" w:cs="Calibri"/>
      <w:color w:val="000000"/>
      <w:sz w:val="24"/>
      <w:szCs w:val="24"/>
      <w:lang w:eastAsia="en-US"/>
      <w14:ligatures w14:val="standardContextual"/>
    </w:rPr>
  </w:style>
  <w:style w:type="character" w:styleId="Forte">
    <w:name w:val="Strong"/>
    <w:basedOn w:val="Fontepargpadro"/>
    <w:uiPriority w:val="22"/>
    <w:qFormat/>
    <w:rsid w:val="0015100F"/>
    <w:rPr>
      <w:b/>
      <w:bCs/>
    </w:rPr>
  </w:style>
  <w:style w:type="paragraph" w:customStyle="1" w:styleId="textojustificado">
    <w:name w:val="texto_justificado"/>
    <w:basedOn w:val="Normal"/>
    <w:rsid w:val="00BA32FC"/>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39"/>
    <w:rsid w:val="00026B5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D1730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1730A"/>
    <w:rPr>
      <w:rFonts w:ascii="Segoe UI" w:hAnsi="Segoe UI" w:cs="Segoe UI"/>
      <w:sz w:val="18"/>
      <w:szCs w:val="18"/>
    </w:rPr>
  </w:style>
  <w:style w:type="character" w:styleId="nfaseSutil">
    <w:name w:val="Subtle Emphasis"/>
    <w:basedOn w:val="Fontepargpadro"/>
    <w:uiPriority w:val="19"/>
    <w:qFormat/>
    <w:rsid w:val="00EB19CA"/>
    <w:rPr>
      <w:i/>
      <w:iCs/>
      <w:color w:val="404040" w:themeColor="text1" w:themeTint="BF"/>
    </w:rPr>
  </w:style>
  <w:style w:type="paragraph" w:styleId="Assuntodocomentrio">
    <w:name w:val="annotation subject"/>
    <w:basedOn w:val="Textodecomentrio"/>
    <w:next w:val="Textodecomentrio"/>
    <w:link w:val="AssuntodocomentrioChar"/>
    <w:uiPriority w:val="99"/>
    <w:semiHidden/>
    <w:unhideWhenUsed/>
    <w:rsid w:val="00EB19CA"/>
    <w:rPr>
      <w:b/>
      <w:bCs/>
    </w:rPr>
  </w:style>
  <w:style w:type="character" w:customStyle="1" w:styleId="AssuntodocomentrioChar">
    <w:name w:val="Assunto do comentário Char"/>
    <w:basedOn w:val="TextodecomentrioChar"/>
    <w:link w:val="Assuntodocomentrio"/>
    <w:uiPriority w:val="99"/>
    <w:semiHidden/>
    <w:rsid w:val="00EB19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799194">
      <w:bodyDiv w:val="1"/>
      <w:marLeft w:val="0"/>
      <w:marRight w:val="0"/>
      <w:marTop w:val="0"/>
      <w:marBottom w:val="0"/>
      <w:divBdr>
        <w:top w:val="none" w:sz="0" w:space="0" w:color="auto"/>
        <w:left w:val="none" w:sz="0" w:space="0" w:color="auto"/>
        <w:bottom w:val="none" w:sz="0" w:space="0" w:color="auto"/>
        <w:right w:val="none" w:sz="0" w:space="0" w:color="auto"/>
      </w:divBdr>
    </w:div>
    <w:div w:id="1416778775">
      <w:bodyDiv w:val="1"/>
      <w:marLeft w:val="0"/>
      <w:marRight w:val="0"/>
      <w:marTop w:val="0"/>
      <w:marBottom w:val="0"/>
      <w:divBdr>
        <w:top w:val="none" w:sz="0" w:space="0" w:color="auto"/>
        <w:left w:val="none" w:sz="0" w:space="0" w:color="auto"/>
        <w:bottom w:val="none" w:sz="0" w:space="0" w:color="auto"/>
        <w:right w:val="none" w:sz="0" w:space="0" w:color="auto"/>
      </w:divBdr>
    </w:div>
    <w:div w:id="1807160622">
      <w:bodyDiv w:val="1"/>
      <w:marLeft w:val="0"/>
      <w:marRight w:val="0"/>
      <w:marTop w:val="0"/>
      <w:marBottom w:val="0"/>
      <w:divBdr>
        <w:top w:val="none" w:sz="0" w:space="0" w:color="auto"/>
        <w:left w:val="none" w:sz="0" w:space="0" w:color="auto"/>
        <w:bottom w:val="none" w:sz="0" w:space="0" w:color="auto"/>
        <w:right w:val="none" w:sz="0" w:space="0" w:color="auto"/>
      </w:divBdr>
    </w:div>
    <w:div w:id="1875194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actoglobal.org.br/noticia/lei-anticorrupcao-exige-das-empresas-estrutura-de-complianc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50B53-BA93-41B5-B071-D0CDD01AF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87</Pages>
  <Words>28087</Words>
  <Characters>151676</Characters>
  <Application>Microsoft Office Word</Application>
  <DocSecurity>0</DocSecurity>
  <Lines>1263</Lines>
  <Paragraphs>358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Nepomuceno - PREVICDF</dc:creator>
  <cp:lastModifiedBy>Claudemiro Correia Quintal Junior - PREVICDF</cp:lastModifiedBy>
  <cp:revision>5</cp:revision>
  <cp:lastPrinted>2025-07-30T18:39:00Z</cp:lastPrinted>
  <dcterms:created xsi:type="dcterms:W3CDTF">2025-09-11T20:00:00Z</dcterms:created>
  <dcterms:modified xsi:type="dcterms:W3CDTF">2025-09-12T20:13:00Z</dcterms:modified>
</cp:coreProperties>
</file>