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3847"/>
        <w:gridCol w:w="3847"/>
        <w:gridCol w:w="3847"/>
        <w:gridCol w:w="3847"/>
      </w:tblGrid>
      <w:tr w:rsidR="00C25846" w:rsidRPr="00E17468" w14:paraId="5AE9D02A" w14:textId="02F5A7B7" w:rsidTr="000E7C01">
        <w:tc>
          <w:tcPr>
            <w:tcW w:w="1250" w:type="pct"/>
            <w:shd w:val="clear" w:color="auto" w:fill="D9D9D9"/>
          </w:tcPr>
          <w:p w14:paraId="3AAF5D41" w14:textId="77777777" w:rsidR="00C25846" w:rsidRPr="00E17468" w:rsidRDefault="00C25846" w:rsidP="009F2ED0">
            <w:pPr>
              <w:rPr>
                <w:b/>
                <w:sz w:val="24"/>
                <w:szCs w:val="24"/>
              </w:rPr>
            </w:pPr>
            <w:r w:rsidRPr="00E17468">
              <w:rPr>
                <w:b/>
                <w:sz w:val="24"/>
                <w:szCs w:val="24"/>
              </w:rPr>
              <w:t>DE</w:t>
            </w:r>
          </w:p>
        </w:tc>
        <w:tc>
          <w:tcPr>
            <w:tcW w:w="1250" w:type="pct"/>
            <w:shd w:val="clear" w:color="auto" w:fill="D9D9D9"/>
          </w:tcPr>
          <w:p w14:paraId="74996326" w14:textId="77777777" w:rsidR="00C25846" w:rsidRPr="00E17468" w:rsidRDefault="00C25846" w:rsidP="009F2ED0">
            <w:pPr>
              <w:rPr>
                <w:b/>
                <w:sz w:val="24"/>
                <w:szCs w:val="24"/>
              </w:rPr>
            </w:pPr>
            <w:r w:rsidRPr="00E17468">
              <w:rPr>
                <w:b/>
                <w:sz w:val="24"/>
                <w:szCs w:val="24"/>
              </w:rPr>
              <w:t>PARA</w:t>
            </w:r>
          </w:p>
        </w:tc>
        <w:tc>
          <w:tcPr>
            <w:tcW w:w="1250" w:type="pct"/>
            <w:shd w:val="clear" w:color="auto" w:fill="D9D9D9"/>
          </w:tcPr>
          <w:p w14:paraId="68D93A42" w14:textId="1B9CE353" w:rsidR="00C25846" w:rsidRPr="00E17468" w:rsidRDefault="00B53182" w:rsidP="002E1F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JUSTIFICATIVA PARA ALTERAÇÃO</w:t>
            </w:r>
          </w:p>
        </w:tc>
        <w:tc>
          <w:tcPr>
            <w:tcW w:w="1250" w:type="pct"/>
            <w:shd w:val="clear" w:color="auto" w:fill="D9D9D9"/>
          </w:tcPr>
          <w:p w14:paraId="4830BFF0" w14:textId="77777777" w:rsidR="00B53182" w:rsidRDefault="00B53182" w:rsidP="002E1F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FUNDAMENTAÇÃO DA DISPENSA DE AIR</w:t>
            </w:r>
            <w:r w:rsidRPr="00C25846">
              <w:rPr>
                <w:b/>
                <w:sz w:val="24"/>
                <w:szCs w:val="24"/>
              </w:rPr>
              <w:t xml:space="preserve"> </w:t>
            </w:r>
          </w:p>
          <w:p w14:paraId="252FCFC1" w14:textId="03CF710D" w:rsidR="00C25846" w:rsidRDefault="00C25846" w:rsidP="002E1F9D">
            <w:pPr>
              <w:jc w:val="center"/>
              <w:rPr>
                <w:b/>
                <w:sz w:val="24"/>
                <w:szCs w:val="24"/>
              </w:rPr>
            </w:pPr>
            <w:r w:rsidRPr="00C25846">
              <w:rPr>
                <w:b/>
                <w:sz w:val="24"/>
                <w:szCs w:val="24"/>
              </w:rPr>
              <w:t>DECRETO Nº 10.411, DE 2020</w:t>
            </w:r>
          </w:p>
        </w:tc>
      </w:tr>
      <w:tr w:rsidR="00B53182" w:rsidRPr="00E17468" w14:paraId="476A9415" w14:textId="77777777" w:rsidTr="000E7C01">
        <w:tc>
          <w:tcPr>
            <w:tcW w:w="1250" w:type="pct"/>
          </w:tcPr>
          <w:p w14:paraId="6EC4301A" w14:textId="0B49B59A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Art. 163. A fase de instrução se inicia na data do protocolo e contempla a análise das informações, dos documentos e do atendimento às condições legais e técnicas estabelecidas para o tipo de requerimento, observados os prazos estabelecidos no Anexo III.</w:t>
            </w:r>
          </w:p>
        </w:tc>
        <w:tc>
          <w:tcPr>
            <w:tcW w:w="1250" w:type="pct"/>
          </w:tcPr>
          <w:p w14:paraId="77765A37" w14:textId="25C893AA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(manter)</w:t>
            </w:r>
          </w:p>
        </w:tc>
        <w:tc>
          <w:tcPr>
            <w:tcW w:w="1250" w:type="pct"/>
          </w:tcPr>
          <w:p w14:paraId="126FEB17" w14:textId="1AD59583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50" w:type="pct"/>
          </w:tcPr>
          <w:p w14:paraId="6A9A959D" w14:textId="77777777" w:rsidR="00B53182" w:rsidRPr="00C25846" w:rsidRDefault="00B53182" w:rsidP="00B53182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B53182" w:rsidRPr="00E17468" w14:paraId="11AB1385" w14:textId="77777777" w:rsidTr="000E7C01">
        <w:tc>
          <w:tcPr>
            <w:tcW w:w="1250" w:type="pct"/>
          </w:tcPr>
          <w:p w14:paraId="5EBFC09E" w14:textId="0ED57146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50" w:type="pct"/>
          </w:tcPr>
          <w:p w14:paraId="7D4D692D" w14:textId="2D674420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Style w:val="Forte"/>
                <w:rFonts w:cs="Calibri"/>
                <w:color w:val="E74C3C"/>
                <w:sz w:val="24"/>
                <w:szCs w:val="24"/>
              </w:rPr>
              <w:t>Parágrafo único.  Aos requerimentos listados no Anexo III não se aplica a aprovação tácita por decurso do prazo de que trata o art. 10, § 1º do Decreto nº 10.178, de 18 de dezembro de 2019.</w:t>
            </w:r>
          </w:p>
        </w:tc>
        <w:tc>
          <w:tcPr>
            <w:tcW w:w="1250" w:type="pct"/>
          </w:tcPr>
          <w:p w14:paraId="1DC8E640" w14:textId="6DAD5437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Incluir, para atendimento à recomendação 2 do Relatório de Avaliação Preliminar da CGU (SEI 0829392).</w:t>
            </w:r>
          </w:p>
        </w:tc>
        <w:tc>
          <w:tcPr>
            <w:tcW w:w="1250" w:type="pct"/>
          </w:tcPr>
          <w:p w14:paraId="52790D0C" w14:textId="490F5C21" w:rsidR="00B53182" w:rsidRDefault="00B53182" w:rsidP="00B53182">
            <w:pPr>
              <w:rPr>
                <w:sz w:val="24"/>
                <w:szCs w:val="24"/>
              </w:rPr>
            </w:pPr>
            <w:r w:rsidRPr="00C25846">
              <w:rPr>
                <w:b/>
                <w:sz w:val="24"/>
                <w:szCs w:val="24"/>
              </w:rPr>
              <w:t>Decreto nº 10.411, de 2020</w:t>
            </w:r>
            <w:r>
              <w:rPr>
                <w:b/>
                <w:sz w:val="24"/>
                <w:szCs w:val="24"/>
              </w:rPr>
              <w:t>, a</w:t>
            </w:r>
            <w:r w:rsidRPr="00AE55F0">
              <w:rPr>
                <w:b/>
                <w:sz w:val="24"/>
                <w:szCs w:val="24"/>
              </w:rPr>
              <w:t xml:space="preserve">rt. </w:t>
            </w:r>
            <w:r>
              <w:rPr>
                <w:b/>
                <w:sz w:val="24"/>
                <w:szCs w:val="24"/>
              </w:rPr>
              <w:t>4</w:t>
            </w:r>
            <w:r w:rsidRPr="00AE55F0">
              <w:rPr>
                <w:b/>
                <w:sz w:val="24"/>
                <w:szCs w:val="24"/>
              </w:rPr>
              <w:t>º</w:t>
            </w:r>
            <w:r>
              <w:rPr>
                <w:b/>
                <w:sz w:val="24"/>
                <w:szCs w:val="24"/>
              </w:rPr>
              <w:t>, inciso II.</w:t>
            </w:r>
          </w:p>
          <w:p w14:paraId="6A5E9E1D" w14:textId="187C1410" w:rsidR="00B53182" w:rsidRDefault="00B53182" w:rsidP="00B53182">
            <w:pPr>
              <w:rPr>
                <w:b/>
                <w:bCs/>
                <w:color w:val="7030A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alteração trata de diretriz regulamentada em norma superior, </w:t>
            </w:r>
            <w:r w:rsidRPr="00B53182">
              <w:rPr>
                <w:sz w:val="24"/>
                <w:szCs w:val="24"/>
              </w:rPr>
              <w:t>Decreto nº 10.178, de 18 de dezembro de 2019.</w:t>
            </w:r>
            <w:r>
              <w:rPr>
                <w:sz w:val="24"/>
                <w:szCs w:val="24"/>
              </w:rPr>
              <w:t xml:space="preserve"> </w:t>
            </w:r>
          </w:p>
          <w:p w14:paraId="6EBE82F0" w14:textId="6784B40B" w:rsidR="00B53182" w:rsidRDefault="00B53182" w:rsidP="00B531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seu § 1º do art. 10, diz “</w:t>
            </w:r>
            <w:r w:rsidRPr="00B53182">
              <w:rPr>
                <w:sz w:val="24"/>
                <w:szCs w:val="24"/>
              </w:rPr>
              <w:t>Decorrido o prazo previsto no caput, a ausência de manifestação conclusiva do órgão ou da entidade acerca do deferimento do ato público de liberação requerido implicará sua aprovação tácita</w:t>
            </w:r>
            <w:r>
              <w:rPr>
                <w:sz w:val="24"/>
                <w:szCs w:val="24"/>
              </w:rPr>
              <w:t>”.</w:t>
            </w:r>
          </w:p>
          <w:p w14:paraId="344845D1" w14:textId="77777777" w:rsidR="00B53182" w:rsidRDefault="00B53182" w:rsidP="00B531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Acontece que, no caso da Previc, por determinação da Lei Complementar nº 109, de 2001, há impossibilidade de aprovação tácita para quaisquer um de seus licenciamentos.</w:t>
            </w:r>
          </w:p>
          <w:p w14:paraId="4C269FDC" w14:textId="77777777" w:rsidR="00B53182" w:rsidRDefault="00B53182" w:rsidP="00B531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Assim, para deixar expresso esse entendimento e em obediência ao citado Decreto, inclui-se esse dispositivo.</w:t>
            </w:r>
          </w:p>
          <w:p w14:paraId="3F35E550" w14:textId="4CD04FD4" w:rsidR="00B53182" w:rsidRPr="00C25846" w:rsidRDefault="00B53182" w:rsidP="00B53182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Nesse sentido, o </w:t>
            </w:r>
            <w:r>
              <w:rPr>
                <w:sz w:val="24"/>
                <w:szCs w:val="24"/>
              </w:rPr>
              <w:t>dispositivo</w:t>
            </w:r>
            <w:r>
              <w:rPr>
                <w:sz w:val="24"/>
                <w:szCs w:val="24"/>
              </w:rPr>
              <w:t xml:space="preserve"> em questão se enquadra na dispensa de AIR em função do </w:t>
            </w:r>
            <w:r w:rsidRPr="00D354DA">
              <w:rPr>
                <w:sz w:val="24"/>
                <w:szCs w:val="24"/>
              </w:rPr>
              <w:t>art. 4º, inciso II, do Decreto nº 10.411, de 2020, por se tratar de “ato</w:t>
            </w:r>
            <w:r w:rsidRPr="00D354DA">
              <w:rPr>
                <w:bCs/>
                <w:i/>
                <w:iCs/>
                <w:sz w:val="24"/>
                <w:szCs w:val="24"/>
              </w:rPr>
              <w:t xml:space="preserve"> normativo destinado a disciplinar direitos ou obrigações definidos em norma hierarquicamente superior que não permita, técnica ou juridicamente, diferentes alternativas regulatórias”.</w:t>
            </w:r>
          </w:p>
        </w:tc>
      </w:tr>
      <w:tr w:rsidR="00B53182" w:rsidRPr="00E17468" w14:paraId="2E6C6C5C" w14:textId="77777777" w:rsidTr="000E7C01">
        <w:tc>
          <w:tcPr>
            <w:tcW w:w="1250" w:type="pct"/>
          </w:tcPr>
          <w:p w14:paraId="6B18868B" w14:textId="2D84C4F5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lastRenderedPageBreak/>
              <w:t>Art. 177. O requerimento de encerramento de plano de benefícios ou de EFPC deve ser protocolado pela EFPC, instruído com o expediente explicativo e Termo de Responsabilidade de Encerramento de Plano de Benefícios ou Termo de Responsabilidade de Encerramento de EFPC, conforme o caso.</w:t>
            </w:r>
          </w:p>
        </w:tc>
        <w:tc>
          <w:tcPr>
            <w:tcW w:w="1250" w:type="pct"/>
          </w:tcPr>
          <w:p w14:paraId="26EE694D" w14:textId="5984B1F6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(manter)</w:t>
            </w:r>
          </w:p>
        </w:tc>
        <w:tc>
          <w:tcPr>
            <w:tcW w:w="1250" w:type="pct"/>
          </w:tcPr>
          <w:p w14:paraId="234A6A8B" w14:textId="52AC04BB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50" w:type="pct"/>
          </w:tcPr>
          <w:p w14:paraId="78E6197B" w14:textId="77777777" w:rsidR="00B53182" w:rsidRPr="00C25846" w:rsidRDefault="00B53182" w:rsidP="00B53182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B53182" w:rsidRPr="00E17468" w14:paraId="39F993F9" w14:textId="77777777" w:rsidTr="000E7C01">
        <w:tc>
          <w:tcPr>
            <w:tcW w:w="1250" w:type="pct"/>
          </w:tcPr>
          <w:p w14:paraId="4F95BEEE" w14:textId="2C3E5606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50" w:type="pct"/>
          </w:tcPr>
          <w:p w14:paraId="3ECA94F1" w14:textId="6E76E0B8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Style w:val="Forte"/>
                <w:rFonts w:cs="Calibri"/>
                <w:color w:val="E74C3C"/>
                <w:sz w:val="24"/>
                <w:szCs w:val="24"/>
              </w:rPr>
              <w:t>§ 1</w:t>
            </w:r>
            <w:proofErr w:type="gramStart"/>
            <w:r w:rsidRPr="00B53182">
              <w:rPr>
                <w:rStyle w:val="Forte"/>
                <w:rFonts w:cs="Calibri"/>
                <w:color w:val="E74C3C"/>
                <w:sz w:val="24"/>
                <w:szCs w:val="24"/>
              </w:rPr>
              <w:t>º  A</w:t>
            </w:r>
            <w:proofErr w:type="gramEnd"/>
            <w:r w:rsidRPr="00B53182">
              <w:rPr>
                <w:rStyle w:val="Forte"/>
                <w:rFonts w:cs="Calibri"/>
                <w:color w:val="E74C3C"/>
                <w:sz w:val="24"/>
                <w:szCs w:val="24"/>
              </w:rPr>
              <w:t xml:space="preserve"> EFPC, ou a respectiva patrocinadora envolvida, no caso de impossibilidade daquela, poderá nomear um procurador, devidamente qualificado, para representá-la no processo de encerramento de suas atividades, caso ainda existam pendências que impeçam o encerramento após a data efetiva da operação.</w:t>
            </w:r>
          </w:p>
        </w:tc>
        <w:tc>
          <w:tcPr>
            <w:tcW w:w="1250" w:type="pct"/>
          </w:tcPr>
          <w:p w14:paraId="7CC0AB47" w14:textId="6197EA0E" w:rsidR="00B53182" w:rsidRPr="00B53182" w:rsidRDefault="00B53182" w:rsidP="00B53182">
            <w:pPr>
              <w:rPr>
                <w:sz w:val="24"/>
                <w:szCs w:val="24"/>
              </w:rPr>
            </w:pPr>
            <w:r w:rsidRPr="00B53182">
              <w:rPr>
                <w:rFonts w:cs="Calibri"/>
                <w:color w:val="000000"/>
                <w:sz w:val="24"/>
                <w:szCs w:val="24"/>
              </w:rPr>
              <w:t>Proposta de inserção do §1º visa dar uma maior flexibilidade aos casos excepcionais em que as EFPC não têm mais dirigentes habilitados e ainda estão com processo de encerramento em curso.</w:t>
            </w:r>
          </w:p>
        </w:tc>
        <w:tc>
          <w:tcPr>
            <w:tcW w:w="1250" w:type="pct"/>
          </w:tcPr>
          <w:p w14:paraId="43CB8174" w14:textId="71321AED" w:rsidR="000E7C01" w:rsidRDefault="000E7C01" w:rsidP="000E7C01">
            <w:pPr>
              <w:rPr>
                <w:sz w:val="24"/>
                <w:szCs w:val="24"/>
              </w:rPr>
            </w:pPr>
            <w:r w:rsidRPr="00C25846">
              <w:rPr>
                <w:b/>
                <w:sz w:val="24"/>
                <w:szCs w:val="24"/>
              </w:rPr>
              <w:t>Decreto nº 10.411, de 2020</w:t>
            </w:r>
            <w:r>
              <w:rPr>
                <w:b/>
                <w:sz w:val="24"/>
                <w:szCs w:val="24"/>
              </w:rPr>
              <w:t>, a</w:t>
            </w:r>
            <w:r w:rsidRPr="00AE55F0">
              <w:rPr>
                <w:b/>
                <w:sz w:val="24"/>
                <w:szCs w:val="24"/>
              </w:rPr>
              <w:t xml:space="preserve">rt. </w:t>
            </w:r>
            <w:r>
              <w:rPr>
                <w:b/>
                <w:sz w:val="24"/>
                <w:szCs w:val="24"/>
              </w:rPr>
              <w:t>4</w:t>
            </w:r>
            <w:r w:rsidRPr="00AE55F0">
              <w:rPr>
                <w:b/>
                <w:sz w:val="24"/>
                <w:szCs w:val="24"/>
              </w:rPr>
              <w:t>º</w:t>
            </w:r>
            <w:r>
              <w:rPr>
                <w:b/>
                <w:sz w:val="24"/>
                <w:szCs w:val="24"/>
              </w:rPr>
              <w:t>, inciso V, alínea a.</w:t>
            </w:r>
          </w:p>
          <w:p w14:paraId="4D170EAD" w14:textId="5CADD932" w:rsidR="000E7C01" w:rsidRDefault="000E7C01" w:rsidP="000E7C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alteração em questão, em caráter de </w:t>
            </w:r>
            <w:r>
              <w:rPr>
                <w:sz w:val="24"/>
                <w:szCs w:val="24"/>
              </w:rPr>
              <w:t>possibilidade</w:t>
            </w:r>
            <w:r>
              <w:rPr>
                <w:sz w:val="24"/>
                <w:szCs w:val="24"/>
              </w:rPr>
              <w:t xml:space="preserve">, trata de diretriz </w:t>
            </w:r>
            <w:r>
              <w:rPr>
                <w:sz w:val="24"/>
                <w:szCs w:val="24"/>
              </w:rPr>
              <w:t>para nomeação de procurador em EFPC que estejam em encerramento.</w:t>
            </w:r>
            <w:r>
              <w:rPr>
                <w:sz w:val="24"/>
                <w:szCs w:val="24"/>
              </w:rPr>
              <w:t xml:space="preserve"> </w:t>
            </w:r>
          </w:p>
          <w:p w14:paraId="66886BEB" w14:textId="19BA61CC" w:rsidR="000E7C01" w:rsidRDefault="000E7C01" w:rsidP="000E7C01">
            <w:pPr>
              <w:ind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Tal medida pretende preservar a higidez d</w:t>
            </w:r>
            <w:r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 sistema</w:t>
            </w:r>
            <w:r>
              <w:rPr>
                <w:sz w:val="24"/>
                <w:szCs w:val="24"/>
              </w:rPr>
              <w:t xml:space="preserve"> como um todo</w:t>
            </w:r>
            <w:r>
              <w:rPr>
                <w:sz w:val="24"/>
                <w:szCs w:val="24"/>
              </w:rPr>
              <w:t xml:space="preserve">. </w:t>
            </w:r>
          </w:p>
          <w:p w14:paraId="4CB476CC" w14:textId="77777777" w:rsidR="000E7C01" w:rsidRDefault="000E7C01" w:rsidP="000E7C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Conceitualmente higidez </w:t>
            </w:r>
            <w:r w:rsidRPr="00D04A1C">
              <w:rPr>
                <w:sz w:val="24"/>
                <w:szCs w:val="24"/>
              </w:rPr>
              <w:t xml:space="preserve">é a condição de uma entidade que demonstra equilíbrio atuarial, </w:t>
            </w:r>
            <w:r w:rsidRPr="00D04A1C">
              <w:rPr>
                <w:sz w:val="24"/>
                <w:szCs w:val="24"/>
              </w:rPr>
              <w:lastRenderedPageBreak/>
              <w:t xml:space="preserve">sustentabilidade de longo prazo e </w:t>
            </w:r>
            <w:r w:rsidRPr="00A51078">
              <w:rPr>
                <w:sz w:val="24"/>
                <w:szCs w:val="24"/>
              </w:rPr>
              <w:t xml:space="preserve">conformidade regulatória. </w:t>
            </w:r>
          </w:p>
          <w:p w14:paraId="44114B74" w14:textId="07884E84" w:rsidR="000E7C01" w:rsidRDefault="000E7C01" w:rsidP="000E7C01">
            <w:pPr>
              <w:rPr>
                <w:sz w:val="24"/>
                <w:szCs w:val="24"/>
              </w:rPr>
            </w:pPr>
            <w:r w:rsidRPr="00A51078">
              <w:rPr>
                <w:sz w:val="24"/>
                <w:szCs w:val="24"/>
              </w:rPr>
              <w:t>Nesse sentido, trata-se de componente da higidez</w:t>
            </w:r>
            <w:r>
              <w:rPr>
                <w:sz w:val="24"/>
                <w:szCs w:val="24"/>
              </w:rPr>
              <w:t xml:space="preserve"> do sistema que a </w:t>
            </w:r>
            <w:r w:rsidRPr="00A51078">
              <w:rPr>
                <w:sz w:val="24"/>
                <w:szCs w:val="24"/>
              </w:rPr>
              <w:t xml:space="preserve">EFPC </w:t>
            </w:r>
            <w:r>
              <w:rPr>
                <w:sz w:val="24"/>
                <w:szCs w:val="24"/>
              </w:rPr>
              <w:t xml:space="preserve">faça </w:t>
            </w:r>
            <w:r w:rsidRPr="00A51078">
              <w:rPr>
                <w:sz w:val="24"/>
                <w:szCs w:val="24"/>
              </w:rPr>
              <w:t xml:space="preserve">a gestão </w:t>
            </w:r>
            <w:r>
              <w:rPr>
                <w:sz w:val="24"/>
                <w:szCs w:val="24"/>
              </w:rPr>
              <w:t>para o devido encerramento.</w:t>
            </w:r>
          </w:p>
          <w:p w14:paraId="0677B8CF" w14:textId="480DA5E6" w:rsidR="00B53182" w:rsidRPr="00C25846" w:rsidRDefault="000E7C01" w:rsidP="000E7C01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Por isso, o artigo em questão se enquadra na dispensa de análise de impacto regulatório, por visar preservar a </w:t>
            </w:r>
            <w:r w:rsidRPr="009B16AC">
              <w:rPr>
                <w:sz w:val="24"/>
                <w:szCs w:val="24"/>
              </w:rPr>
              <w:t>liquidez, solvência ou higidez</w:t>
            </w:r>
            <w:r>
              <w:rPr>
                <w:sz w:val="24"/>
                <w:szCs w:val="24"/>
              </w:rPr>
              <w:t xml:space="preserve">, conforme </w:t>
            </w:r>
            <w:r>
              <w:rPr>
                <w:bCs/>
                <w:sz w:val="24"/>
                <w:szCs w:val="24"/>
              </w:rPr>
              <w:t>art. 4º, inciso V, alínea “a”, do Decreto nº 10.411, de 2020.</w:t>
            </w:r>
          </w:p>
        </w:tc>
      </w:tr>
      <w:tr w:rsidR="000E7C01" w:rsidRPr="00E17468" w14:paraId="4A460A4F" w14:textId="77777777" w:rsidTr="000E7C01">
        <w:tc>
          <w:tcPr>
            <w:tcW w:w="1250" w:type="pct"/>
          </w:tcPr>
          <w:p w14:paraId="21355E87" w14:textId="3B33DF88" w:rsidR="000E7C01" w:rsidRPr="00B53182" w:rsidRDefault="000E7C01" w:rsidP="000E7C01">
            <w:pPr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Alterações dos prazos do Anexo III</w:t>
            </w:r>
          </w:p>
        </w:tc>
        <w:tc>
          <w:tcPr>
            <w:tcW w:w="1250" w:type="pct"/>
          </w:tcPr>
          <w:p w14:paraId="1778205C" w14:textId="50133BB2" w:rsidR="000E7C01" w:rsidRPr="00B53182" w:rsidRDefault="000E7C01" w:rsidP="000E7C01">
            <w:pPr>
              <w:rPr>
                <w:rStyle w:val="Forte"/>
                <w:rFonts w:cs="Calibri"/>
                <w:color w:val="E74C3C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Alterações dos prazos do Anexo III</w:t>
            </w:r>
          </w:p>
        </w:tc>
        <w:tc>
          <w:tcPr>
            <w:tcW w:w="1250" w:type="pct"/>
          </w:tcPr>
          <w:p w14:paraId="767E2F8D" w14:textId="18DAA88C" w:rsidR="000E7C01" w:rsidRPr="00B53182" w:rsidRDefault="000E7C01" w:rsidP="000E7C01">
            <w:pPr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Adaptações dos prazos para licenciamento.</w:t>
            </w:r>
          </w:p>
        </w:tc>
        <w:tc>
          <w:tcPr>
            <w:tcW w:w="1250" w:type="pct"/>
          </w:tcPr>
          <w:p w14:paraId="1C7C3BA9" w14:textId="77777777" w:rsidR="000E7C01" w:rsidRDefault="000E7C01" w:rsidP="000E7C01">
            <w:pPr>
              <w:rPr>
                <w:b/>
                <w:sz w:val="24"/>
                <w:szCs w:val="24"/>
              </w:rPr>
            </w:pPr>
            <w:r w:rsidRPr="00C25846">
              <w:rPr>
                <w:b/>
                <w:sz w:val="24"/>
                <w:szCs w:val="24"/>
              </w:rPr>
              <w:t>Decreto nº 10.411, de 2020</w:t>
            </w:r>
            <w:r>
              <w:rPr>
                <w:b/>
                <w:sz w:val="24"/>
                <w:szCs w:val="24"/>
              </w:rPr>
              <w:t>, a</w:t>
            </w:r>
            <w:r w:rsidRPr="00AE55F0">
              <w:rPr>
                <w:b/>
                <w:sz w:val="24"/>
                <w:szCs w:val="24"/>
              </w:rPr>
              <w:t>rt. 2º</w:t>
            </w:r>
            <w:r>
              <w:rPr>
                <w:b/>
                <w:sz w:val="24"/>
                <w:szCs w:val="24"/>
              </w:rPr>
              <w:t xml:space="preserve">, </w:t>
            </w:r>
            <w:r w:rsidRPr="00AE55F0">
              <w:rPr>
                <w:b/>
                <w:sz w:val="24"/>
                <w:szCs w:val="24"/>
              </w:rPr>
              <w:t>§ 2º</w:t>
            </w:r>
            <w:r>
              <w:rPr>
                <w:b/>
                <w:sz w:val="24"/>
                <w:szCs w:val="24"/>
              </w:rPr>
              <w:t>, inciso I.</w:t>
            </w:r>
          </w:p>
          <w:p w14:paraId="65097F16" w14:textId="60E3AFE8" w:rsidR="000E7C01" w:rsidRDefault="000E7C01" w:rsidP="000E7C01">
            <w:pPr>
              <w:rPr>
                <w:sz w:val="24"/>
                <w:szCs w:val="24"/>
              </w:rPr>
            </w:pPr>
            <w:r w:rsidRPr="00366FF5">
              <w:rPr>
                <w:sz w:val="24"/>
                <w:szCs w:val="24"/>
              </w:rPr>
              <w:t xml:space="preserve">Trata-se de alteração de impacto operacional interno que tem objetivo </w:t>
            </w:r>
            <w:r>
              <w:rPr>
                <w:sz w:val="24"/>
                <w:szCs w:val="24"/>
              </w:rPr>
              <w:t>de estabelecer prazo mínimo para tramitação das análises de requerimento</w:t>
            </w:r>
            <w:r>
              <w:rPr>
                <w:sz w:val="24"/>
                <w:szCs w:val="24"/>
              </w:rPr>
              <w:t xml:space="preserve"> e adequá-los ao padrão de dias corridos, e não úteis</w:t>
            </w:r>
            <w:r>
              <w:rPr>
                <w:sz w:val="24"/>
                <w:szCs w:val="24"/>
              </w:rPr>
              <w:t>.</w:t>
            </w:r>
          </w:p>
          <w:p w14:paraId="61F33506" w14:textId="385D4DC7" w:rsidR="000E7C01" w:rsidRPr="00C25846" w:rsidRDefault="000E7C01" w:rsidP="000E7C01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Nesse sentido, por se tratar de artigo de natureza administrativa, com efeitos diretos à Previc, o caso se enquadra em não aplicabilidade para a realização de AIR.</w:t>
            </w:r>
          </w:p>
        </w:tc>
      </w:tr>
    </w:tbl>
    <w:p w14:paraId="67AF8C7A" w14:textId="77777777" w:rsidR="008553C5" w:rsidRDefault="008553C5"/>
    <w:p w14:paraId="4E4E55D2" w14:textId="2E33027C" w:rsidR="00AE75E2" w:rsidRPr="00E17468" w:rsidRDefault="00AE75E2" w:rsidP="001A7FDA">
      <w:pPr>
        <w:jc w:val="both"/>
        <w:rPr>
          <w:color w:val="0000FF"/>
          <w:sz w:val="24"/>
          <w:szCs w:val="24"/>
        </w:rPr>
      </w:pPr>
    </w:p>
    <w:sectPr w:rsidR="00AE75E2" w:rsidRPr="00E17468">
      <w:pgSz w:w="16838" w:h="11906" w:orient="landscape"/>
      <w:pgMar w:top="720" w:right="720" w:bottom="720" w:left="72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ED679" w14:textId="77777777" w:rsidR="00FF1FE5" w:rsidRDefault="00FF1FE5" w:rsidP="009A7CFD">
      <w:pPr>
        <w:spacing w:after="0" w:line="240" w:lineRule="auto"/>
      </w:pPr>
      <w:r>
        <w:separator/>
      </w:r>
    </w:p>
  </w:endnote>
  <w:endnote w:type="continuationSeparator" w:id="0">
    <w:p w14:paraId="1AC2E9A7" w14:textId="77777777" w:rsidR="00FF1FE5" w:rsidRDefault="00FF1FE5" w:rsidP="009A7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B2F29552-45D4-4BCF-8A1D-7A66C46533D8}"/>
    <w:embedBold r:id="rId2" w:fontKey="{5FFAB98B-3594-4CA4-A098-F32DF4D61A08}"/>
    <w:embedItalic r:id="rId3" w:fontKey="{55055D8E-66E9-4792-976A-DD5FBFAB69AF}"/>
    <w:embedBoldItalic r:id="rId4" w:fontKey="{70AB2425-E85C-42BE-9154-D3F398CC95FA}"/>
  </w:font>
  <w:font w:name="Play">
    <w:altName w:val="Calibri"/>
    <w:charset w:val="00"/>
    <w:family w:val="auto"/>
    <w:pitch w:val="default"/>
    <w:embedRegular r:id="rId5" w:fontKey="{19808949-2751-40D5-8904-E51B4094BE85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6" w:fontKey="{B7864E11-67D2-4D8D-BFD3-A847167E4463}"/>
    <w:embedItalic r:id="rId7" w:fontKey="{5CA04FF9-84DF-4D8B-9BDC-6D400DB051A2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8" w:fontKey="{ECADB49A-B05B-4CE9-8EA1-5EB74C8CC741}"/>
    <w:embedBold r:id="rId9" w:fontKey="{96966856-EDDE-4DED-8246-08BBACA2D13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92BE8DDF-31AB-496A-A247-26C83F08A192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497CA" w14:textId="77777777" w:rsidR="00FF1FE5" w:rsidRDefault="00FF1FE5" w:rsidP="009A7CFD">
      <w:pPr>
        <w:spacing w:after="0" w:line="240" w:lineRule="auto"/>
      </w:pPr>
      <w:r>
        <w:separator/>
      </w:r>
    </w:p>
  </w:footnote>
  <w:footnote w:type="continuationSeparator" w:id="0">
    <w:p w14:paraId="3AD622F1" w14:textId="77777777" w:rsidR="00FF1FE5" w:rsidRDefault="00FF1FE5" w:rsidP="009A7C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F2274"/>
    <w:multiLevelType w:val="multilevel"/>
    <w:tmpl w:val="E85CD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C887CF1"/>
    <w:multiLevelType w:val="hybridMultilevel"/>
    <w:tmpl w:val="D274531C"/>
    <w:lvl w:ilvl="0" w:tplc="B25C27C4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  <w:color w:val="0000FF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125" w:hanging="360"/>
      </w:pPr>
    </w:lvl>
    <w:lvl w:ilvl="2" w:tplc="0416001B" w:tentative="1">
      <w:start w:val="1"/>
      <w:numFmt w:val="lowerRoman"/>
      <w:lvlText w:val="%3."/>
      <w:lvlJc w:val="right"/>
      <w:pPr>
        <w:ind w:left="1845" w:hanging="180"/>
      </w:pPr>
    </w:lvl>
    <w:lvl w:ilvl="3" w:tplc="0416000F" w:tentative="1">
      <w:start w:val="1"/>
      <w:numFmt w:val="decimal"/>
      <w:lvlText w:val="%4."/>
      <w:lvlJc w:val="left"/>
      <w:pPr>
        <w:ind w:left="2565" w:hanging="360"/>
      </w:pPr>
    </w:lvl>
    <w:lvl w:ilvl="4" w:tplc="04160019" w:tentative="1">
      <w:start w:val="1"/>
      <w:numFmt w:val="lowerLetter"/>
      <w:lvlText w:val="%5."/>
      <w:lvlJc w:val="left"/>
      <w:pPr>
        <w:ind w:left="3285" w:hanging="360"/>
      </w:pPr>
    </w:lvl>
    <w:lvl w:ilvl="5" w:tplc="0416001B" w:tentative="1">
      <w:start w:val="1"/>
      <w:numFmt w:val="lowerRoman"/>
      <w:lvlText w:val="%6."/>
      <w:lvlJc w:val="right"/>
      <w:pPr>
        <w:ind w:left="4005" w:hanging="180"/>
      </w:pPr>
    </w:lvl>
    <w:lvl w:ilvl="6" w:tplc="0416000F" w:tentative="1">
      <w:start w:val="1"/>
      <w:numFmt w:val="decimal"/>
      <w:lvlText w:val="%7."/>
      <w:lvlJc w:val="left"/>
      <w:pPr>
        <w:ind w:left="4725" w:hanging="360"/>
      </w:pPr>
    </w:lvl>
    <w:lvl w:ilvl="7" w:tplc="04160019" w:tentative="1">
      <w:start w:val="1"/>
      <w:numFmt w:val="lowerLetter"/>
      <w:lvlText w:val="%8."/>
      <w:lvlJc w:val="left"/>
      <w:pPr>
        <w:ind w:left="5445" w:hanging="360"/>
      </w:pPr>
    </w:lvl>
    <w:lvl w:ilvl="8" w:tplc="0416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 w15:restartNumberingAfterBreak="0">
    <w:nsid w:val="7F8451B0"/>
    <w:multiLevelType w:val="multilevel"/>
    <w:tmpl w:val="294EF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29399118">
    <w:abstractNumId w:val="1"/>
  </w:num>
  <w:num w:numId="2" w16cid:durableId="2022201948">
    <w:abstractNumId w:val="0"/>
  </w:num>
  <w:num w:numId="3" w16cid:durableId="11085465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5BD0"/>
    <w:rsid w:val="00026D53"/>
    <w:rsid w:val="00033AC6"/>
    <w:rsid w:val="000432A1"/>
    <w:rsid w:val="0004562A"/>
    <w:rsid w:val="000564C2"/>
    <w:rsid w:val="0006536D"/>
    <w:rsid w:val="00067635"/>
    <w:rsid w:val="000731A5"/>
    <w:rsid w:val="000A1F82"/>
    <w:rsid w:val="000A71FB"/>
    <w:rsid w:val="000D7D73"/>
    <w:rsid w:val="000E0F2D"/>
    <w:rsid w:val="000E4AB4"/>
    <w:rsid w:val="000E7C01"/>
    <w:rsid w:val="000F7F04"/>
    <w:rsid w:val="00100C29"/>
    <w:rsid w:val="00103C9B"/>
    <w:rsid w:val="0010448A"/>
    <w:rsid w:val="00106AF3"/>
    <w:rsid w:val="00160EB0"/>
    <w:rsid w:val="001705A9"/>
    <w:rsid w:val="001768D4"/>
    <w:rsid w:val="001856D3"/>
    <w:rsid w:val="00187A6D"/>
    <w:rsid w:val="001A7FDA"/>
    <w:rsid w:val="001B56D0"/>
    <w:rsid w:val="001C0C77"/>
    <w:rsid w:val="001D33D2"/>
    <w:rsid w:val="001D546F"/>
    <w:rsid w:val="001D686F"/>
    <w:rsid w:val="001D7A41"/>
    <w:rsid w:val="001F273C"/>
    <w:rsid w:val="001F7F30"/>
    <w:rsid w:val="00204AFB"/>
    <w:rsid w:val="00216CEE"/>
    <w:rsid w:val="00235944"/>
    <w:rsid w:val="0025626B"/>
    <w:rsid w:val="00285C7D"/>
    <w:rsid w:val="00293E17"/>
    <w:rsid w:val="002A2A6E"/>
    <w:rsid w:val="002A32A0"/>
    <w:rsid w:val="002C5366"/>
    <w:rsid w:val="002D2C4B"/>
    <w:rsid w:val="002E0FE6"/>
    <w:rsid w:val="002E1F9D"/>
    <w:rsid w:val="002E6C4F"/>
    <w:rsid w:val="002F69D2"/>
    <w:rsid w:val="00305942"/>
    <w:rsid w:val="00340651"/>
    <w:rsid w:val="00366FF5"/>
    <w:rsid w:val="003706CE"/>
    <w:rsid w:val="00391687"/>
    <w:rsid w:val="003B4D82"/>
    <w:rsid w:val="003C419B"/>
    <w:rsid w:val="003E2598"/>
    <w:rsid w:val="0041312D"/>
    <w:rsid w:val="00416C80"/>
    <w:rsid w:val="00431687"/>
    <w:rsid w:val="00465F10"/>
    <w:rsid w:val="00474E64"/>
    <w:rsid w:val="00480C3D"/>
    <w:rsid w:val="0049035A"/>
    <w:rsid w:val="00497C15"/>
    <w:rsid w:val="004A2310"/>
    <w:rsid w:val="004A25AF"/>
    <w:rsid w:val="004B4C1B"/>
    <w:rsid w:val="004D1974"/>
    <w:rsid w:val="004D5976"/>
    <w:rsid w:val="004E36EE"/>
    <w:rsid w:val="004E77EA"/>
    <w:rsid w:val="00513762"/>
    <w:rsid w:val="00525B2C"/>
    <w:rsid w:val="005302FC"/>
    <w:rsid w:val="00556C72"/>
    <w:rsid w:val="005846AE"/>
    <w:rsid w:val="00597EB4"/>
    <w:rsid w:val="005E2EBD"/>
    <w:rsid w:val="005F0BDB"/>
    <w:rsid w:val="005F253D"/>
    <w:rsid w:val="00603939"/>
    <w:rsid w:val="00631FF7"/>
    <w:rsid w:val="006329DA"/>
    <w:rsid w:val="006406F2"/>
    <w:rsid w:val="00643C30"/>
    <w:rsid w:val="00661418"/>
    <w:rsid w:val="00661C50"/>
    <w:rsid w:val="006810A8"/>
    <w:rsid w:val="0068114E"/>
    <w:rsid w:val="006836A6"/>
    <w:rsid w:val="006C5BD0"/>
    <w:rsid w:val="006F1170"/>
    <w:rsid w:val="00701692"/>
    <w:rsid w:val="007258E7"/>
    <w:rsid w:val="007273DC"/>
    <w:rsid w:val="00753E71"/>
    <w:rsid w:val="00765FAF"/>
    <w:rsid w:val="007B419F"/>
    <w:rsid w:val="007B48BC"/>
    <w:rsid w:val="007E0C21"/>
    <w:rsid w:val="007F49B4"/>
    <w:rsid w:val="00801A10"/>
    <w:rsid w:val="008171A3"/>
    <w:rsid w:val="008260B2"/>
    <w:rsid w:val="00834981"/>
    <w:rsid w:val="008460C2"/>
    <w:rsid w:val="00852740"/>
    <w:rsid w:val="008553C5"/>
    <w:rsid w:val="00866729"/>
    <w:rsid w:val="00877DE4"/>
    <w:rsid w:val="00894C75"/>
    <w:rsid w:val="008A4A5A"/>
    <w:rsid w:val="008B2BA2"/>
    <w:rsid w:val="008D1C05"/>
    <w:rsid w:val="00914A4A"/>
    <w:rsid w:val="00930666"/>
    <w:rsid w:val="00952F5A"/>
    <w:rsid w:val="00960B26"/>
    <w:rsid w:val="00964DDE"/>
    <w:rsid w:val="00973A01"/>
    <w:rsid w:val="009A0ECC"/>
    <w:rsid w:val="009A0EED"/>
    <w:rsid w:val="009A7550"/>
    <w:rsid w:val="009A7CFD"/>
    <w:rsid w:val="009B16AC"/>
    <w:rsid w:val="009B391C"/>
    <w:rsid w:val="009D7CCF"/>
    <w:rsid w:val="009E4B96"/>
    <w:rsid w:val="009F2ED0"/>
    <w:rsid w:val="00A20432"/>
    <w:rsid w:val="00A411D5"/>
    <w:rsid w:val="00A51078"/>
    <w:rsid w:val="00A55416"/>
    <w:rsid w:val="00A95483"/>
    <w:rsid w:val="00AA49E8"/>
    <w:rsid w:val="00AA4B8C"/>
    <w:rsid w:val="00AC6F2A"/>
    <w:rsid w:val="00AE55F0"/>
    <w:rsid w:val="00AE75E2"/>
    <w:rsid w:val="00AF6905"/>
    <w:rsid w:val="00B2316F"/>
    <w:rsid w:val="00B241D4"/>
    <w:rsid w:val="00B41399"/>
    <w:rsid w:val="00B44326"/>
    <w:rsid w:val="00B53182"/>
    <w:rsid w:val="00B53707"/>
    <w:rsid w:val="00B70EE1"/>
    <w:rsid w:val="00B730DE"/>
    <w:rsid w:val="00B93DD1"/>
    <w:rsid w:val="00BB6456"/>
    <w:rsid w:val="00BB7650"/>
    <w:rsid w:val="00BC1AC5"/>
    <w:rsid w:val="00BC1B73"/>
    <w:rsid w:val="00BD2DF5"/>
    <w:rsid w:val="00BF1068"/>
    <w:rsid w:val="00BF30F8"/>
    <w:rsid w:val="00BF3D06"/>
    <w:rsid w:val="00BF5BA9"/>
    <w:rsid w:val="00C25846"/>
    <w:rsid w:val="00C27252"/>
    <w:rsid w:val="00C51AEC"/>
    <w:rsid w:val="00C65FE5"/>
    <w:rsid w:val="00C73B1F"/>
    <w:rsid w:val="00C83CFD"/>
    <w:rsid w:val="00C87618"/>
    <w:rsid w:val="00C9013B"/>
    <w:rsid w:val="00C92B38"/>
    <w:rsid w:val="00C9352D"/>
    <w:rsid w:val="00C96878"/>
    <w:rsid w:val="00CA1A7C"/>
    <w:rsid w:val="00CD3CFA"/>
    <w:rsid w:val="00CD3E97"/>
    <w:rsid w:val="00CE3254"/>
    <w:rsid w:val="00CE5BDC"/>
    <w:rsid w:val="00CF1107"/>
    <w:rsid w:val="00D02BDA"/>
    <w:rsid w:val="00D04A1C"/>
    <w:rsid w:val="00D354DA"/>
    <w:rsid w:val="00D37A86"/>
    <w:rsid w:val="00D5095C"/>
    <w:rsid w:val="00D761F5"/>
    <w:rsid w:val="00D769ED"/>
    <w:rsid w:val="00D950BE"/>
    <w:rsid w:val="00DA4ADA"/>
    <w:rsid w:val="00DB2B3D"/>
    <w:rsid w:val="00DF3600"/>
    <w:rsid w:val="00DF3EF6"/>
    <w:rsid w:val="00E01D87"/>
    <w:rsid w:val="00E0381E"/>
    <w:rsid w:val="00E0749C"/>
    <w:rsid w:val="00E11DCF"/>
    <w:rsid w:val="00E17468"/>
    <w:rsid w:val="00E461A7"/>
    <w:rsid w:val="00E52969"/>
    <w:rsid w:val="00E53A16"/>
    <w:rsid w:val="00E63513"/>
    <w:rsid w:val="00E65980"/>
    <w:rsid w:val="00EC345E"/>
    <w:rsid w:val="00ED149A"/>
    <w:rsid w:val="00ED451E"/>
    <w:rsid w:val="00F07BAB"/>
    <w:rsid w:val="00F10604"/>
    <w:rsid w:val="00F24D4F"/>
    <w:rsid w:val="00F43AD7"/>
    <w:rsid w:val="00F557D8"/>
    <w:rsid w:val="00FA0165"/>
    <w:rsid w:val="00FB6D40"/>
    <w:rsid w:val="00FE24A7"/>
    <w:rsid w:val="00FF1FE5"/>
    <w:rsid w:val="00FF2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1F1EF"/>
  <w15:docId w15:val="{2CBA687F-6EA3-42D7-8348-29890023D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2E75B5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2E75B5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color w:val="2E75B5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i/>
      <w:color w:val="2E75B5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color w:val="2E75B5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87A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9A7CFD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9A7CFD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9A7CFD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9A7CFD"/>
    <w:pPr>
      <w:ind w:left="720"/>
      <w:contextualSpacing/>
    </w:pPr>
  </w:style>
  <w:style w:type="paragraph" w:styleId="Reviso">
    <w:name w:val="Revision"/>
    <w:hidden/>
    <w:uiPriority w:val="99"/>
    <w:semiHidden/>
    <w:rsid w:val="009F2ED0"/>
    <w:pPr>
      <w:spacing w:after="0" w:line="240" w:lineRule="auto"/>
    </w:pPr>
  </w:style>
  <w:style w:type="character" w:styleId="Refdecomentrio">
    <w:name w:val="annotation reference"/>
    <w:basedOn w:val="Fontepargpadro"/>
    <w:uiPriority w:val="99"/>
    <w:semiHidden/>
    <w:unhideWhenUsed/>
    <w:rsid w:val="00C9687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C9687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C96878"/>
    <w:rPr>
      <w:sz w:val="20"/>
      <w:szCs w:val="20"/>
    </w:rPr>
  </w:style>
  <w:style w:type="paragraph" w:customStyle="1" w:styleId="Default">
    <w:name w:val="Default"/>
    <w:rsid w:val="00C96878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eastAsia="en-US"/>
      <w14:ligatures w14:val="standardContextual"/>
    </w:rPr>
  </w:style>
  <w:style w:type="character" w:styleId="Hyperlink">
    <w:name w:val="Hyperlink"/>
    <w:basedOn w:val="Fontepargpadro"/>
    <w:uiPriority w:val="99"/>
    <w:unhideWhenUsed/>
    <w:rsid w:val="002E1F9D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E1F9D"/>
    <w:rPr>
      <w:color w:val="605E5C"/>
      <w:shd w:val="clear" w:color="auto" w:fill="E1DFDD"/>
    </w:rPr>
  </w:style>
  <w:style w:type="character" w:styleId="Forte">
    <w:name w:val="Strong"/>
    <w:basedOn w:val="Fontepargpadro"/>
    <w:uiPriority w:val="22"/>
    <w:qFormat/>
    <w:rsid w:val="00B531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79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7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61951E-4DC3-4508-8351-93C944AB9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580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Nepomuceno - PREVICDF</dc:creator>
  <cp:lastModifiedBy>Helio Francisco Matos Miranda - PREVICDF</cp:lastModifiedBy>
  <cp:revision>7</cp:revision>
  <cp:lastPrinted>2025-07-30T18:39:00Z</cp:lastPrinted>
  <dcterms:created xsi:type="dcterms:W3CDTF">2025-08-08T20:34:00Z</dcterms:created>
  <dcterms:modified xsi:type="dcterms:W3CDTF">2025-08-26T17:06:00Z</dcterms:modified>
</cp:coreProperties>
</file>