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DBF5A6" w14:textId="61280331" w:rsidR="00641AD6" w:rsidRPr="00FB4FAB" w:rsidRDefault="00280690" w:rsidP="00511000">
      <w:pPr>
        <w:spacing w:line="278" w:lineRule="auto"/>
        <w:rPr>
          <w:rFonts w:ascii="Calibri" w:hAnsi="Calibri" w:cs="Calibri"/>
          <w:sz w:val="24"/>
          <w:szCs w:val="24"/>
        </w:rPr>
      </w:pPr>
      <w:r w:rsidRPr="00FB4FAB">
        <w:rPr>
          <w:rFonts w:ascii="Calibri" w:hAnsi="Calibri" w:cs="Calibri"/>
          <w:sz w:val="24"/>
          <w:szCs w:val="24"/>
        </w:rPr>
        <w:t xml:space="preserve">Propostas de alterações </w:t>
      </w:r>
      <w:r w:rsidR="001246F0" w:rsidRPr="00FB4FAB">
        <w:rPr>
          <w:rFonts w:ascii="Calibri" w:hAnsi="Calibri" w:cs="Calibri"/>
          <w:sz w:val="24"/>
          <w:szCs w:val="24"/>
        </w:rPr>
        <w:t xml:space="preserve">sob aspectos contábeis </w:t>
      </w:r>
      <w:r w:rsidRPr="00FB4FAB">
        <w:rPr>
          <w:rFonts w:ascii="Calibri" w:hAnsi="Calibri" w:cs="Calibri"/>
          <w:sz w:val="24"/>
          <w:szCs w:val="24"/>
        </w:rPr>
        <w:t xml:space="preserve">na Resolução Previc nº 23, de </w:t>
      </w:r>
      <w:r w:rsidR="001246F0" w:rsidRPr="00FB4FAB">
        <w:rPr>
          <w:rFonts w:ascii="Calibri" w:hAnsi="Calibri" w:cs="Calibri"/>
          <w:sz w:val="24"/>
          <w:szCs w:val="24"/>
        </w:rPr>
        <w:t xml:space="preserve">14 de agosto de 2023, elaboradas pela CGNC. </w:t>
      </w:r>
    </w:p>
    <w:tbl>
      <w:tblPr>
        <w:tblStyle w:val="Tabelacomgrade"/>
        <w:tblW w:w="15127" w:type="dxa"/>
        <w:tblLook w:val="04A0" w:firstRow="1" w:lastRow="0" w:firstColumn="1" w:lastColumn="0" w:noHBand="0" w:noVBand="1"/>
      </w:tblPr>
      <w:tblGrid>
        <w:gridCol w:w="3903"/>
        <w:gridCol w:w="3886"/>
        <w:gridCol w:w="4116"/>
        <w:gridCol w:w="3222"/>
      </w:tblGrid>
      <w:tr w:rsidR="00EE3724" w:rsidRPr="00FB4FAB" w14:paraId="48743DCD" w14:textId="1834CFFF" w:rsidTr="00EE3724">
        <w:trPr>
          <w:trHeight w:val="300"/>
          <w:tblHeader/>
        </w:trPr>
        <w:tc>
          <w:tcPr>
            <w:tcW w:w="3903" w:type="dxa"/>
            <w:vAlign w:val="center"/>
          </w:tcPr>
          <w:p w14:paraId="18CC3419" w14:textId="77777777" w:rsidR="00EE3724" w:rsidRPr="00FB4FAB" w:rsidRDefault="00EE3724" w:rsidP="00D2145F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 xml:space="preserve">TEXTO ANTERIOR </w:t>
            </w:r>
          </w:p>
          <w:p w14:paraId="24086749" w14:textId="0CCCF2AA" w:rsidR="00EE3724" w:rsidRPr="00FB4FAB" w:rsidRDefault="00EE3724" w:rsidP="00D2145F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RESOLUÇÃO PREVIC Nº 23, DE 14 DE AGOSTO DE 2023</w:t>
            </w:r>
          </w:p>
        </w:tc>
        <w:tc>
          <w:tcPr>
            <w:tcW w:w="3886" w:type="dxa"/>
            <w:vAlign w:val="center"/>
          </w:tcPr>
          <w:p w14:paraId="716F0F4B" w14:textId="01AD7CBB" w:rsidR="00EE3724" w:rsidRPr="00FB4FAB" w:rsidRDefault="00EE3724" w:rsidP="00D2145F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TEXTO PROPOSTO</w:t>
            </w:r>
          </w:p>
        </w:tc>
        <w:tc>
          <w:tcPr>
            <w:tcW w:w="4116" w:type="dxa"/>
            <w:vAlign w:val="center"/>
          </w:tcPr>
          <w:p w14:paraId="4CAA9DCA" w14:textId="7796C721" w:rsidR="00EE3724" w:rsidRPr="00FB4FAB" w:rsidRDefault="00EE3724" w:rsidP="00502116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JUSTIFICATIVAS</w:t>
            </w:r>
          </w:p>
        </w:tc>
        <w:tc>
          <w:tcPr>
            <w:tcW w:w="3222" w:type="dxa"/>
          </w:tcPr>
          <w:p w14:paraId="5F553847" w14:textId="77777777" w:rsidR="00EE3724" w:rsidRDefault="00EE3724" w:rsidP="00502116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sz w:val="24"/>
                <w:szCs w:val="24"/>
              </w:rPr>
              <w:t>FUNDAMENTAÇÃO DE AIR</w:t>
            </w:r>
          </w:p>
          <w:p w14:paraId="3D1C15C5" w14:textId="6D5AD266" w:rsidR="00AA47E5" w:rsidRPr="00FB4FAB" w:rsidRDefault="00AA47E5" w:rsidP="00502116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sz w:val="24"/>
                <w:szCs w:val="24"/>
              </w:rPr>
              <w:t>DECRETO Nº 10411, DE 2020</w:t>
            </w:r>
          </w:p>
        </w:tc>
      </w:tr>
      <w:tr w:rsidR="00EE3724" w:rsidRPr="00FB4FAB" w14:paraId="73EA5E80" w14:textId="161C5AAB" w:rsidTr="00EE3724">
        <w:trPr>
          <w:trHeight w:val="300"/>
        </w:trPr>
        <w:tc>
          <w:tcPr>
            <w:tcW w:w="3903" w:type="dxa"/>
          </w:tcPr>
          <w:p w14:paraId="79E06369" w14:textId="77777777" w:rsidR="00EE3724" w:rsidRPr="00FB4FAB" w:rsidRDefault="00EE3724" w:rsidP="00D2145F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CAPÍTULO V</w:t>
            </w:r>
          </w:p>
          <w:p w14:paraId="2E73BF22" w14:textId="3052A590" w:rsidR="00EE3724" w:rsidRPr="00FB4FAB" w:rsidRDefault="00EE3724" w:rsidP="00D2145F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DAS REGRAS CONTÁBEIS</w:t>
            </w:r>
          </w:p>
        </w:tc>
        <w:tc>
          <w:tcPr>
            <w:tcW w:w="3886" w:type="dxa"/>
          </w:tcPr>
          <w:p w14:paraId="6DA646DF" w14:textId="77777777" w:rsidR="00EE3724" w:rsidRPr="00FB4FAB" w:rsidRDefault="00EE3724" w:rsidP="00D2145F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CAPÍTULO V</w:t>
            </w:r>
          </w:p>
          <w:p w14:paraId="29785724" w14:textId="1EF9D6BE" w:rsidR="00EE3724" w:rsidRPr="00FB4FAB" w:rsidRDefault="00EE3724" w:rsidP="00D2145F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DAS REGRAS CONTÁBEIS</w:t>
            </w:r>
          </w:p>
        </w:tc>
        <w:tc>
          <w:tcPr>
            <w:tcW w:w="4116" w:type="dxa"/>
          </w:tcPr>
          <w:p w14:paraId="08B3C71D" w14:textId="77777777" w:rsidR="00EE3724" w:rsidRPr="00FB4FAB" w:rsidRDefault="00EE3724" w:rsidP="00CD3F97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58CF0FDC" w14:textId="77777777" w:rsidR="00EE3724" w:rsidRPr="00FB4FAB" w:rsidRDefault="00EE3724" w:rsidP="00CD3F97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EE3724" w:rsidRPr="00FB4FAB" w14:paraId="28E88D4B" w14:textId="5B89CB5E" w:rsidTr="00EE3724">
        <w:trPr>
          <w:trHeight w:val="300"/>
        </w:trPr>
        <w:tc>
          <w:tcPr>
            <w:tcW w:w="3903" w:type="dxa"/>
          </w:tcPr>
          <w:p w14:paraId="71B00911" w14:textId="77777777" w:rsidR="00EE3724" w:rsidRPr="00FB4FAB" w:rsidRDefault="00EE3724" w:rsidP="00D2145F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Seção II</w:t>
            </w:r>
          </w:p>
          <w:p w14:paraId="013852D5" w14:textId="0958CD69" w:rsidR="00EE3724" w:rsidRPr="00FB4FAB" w:rsidRDefault="00EE3724" w:rsidP="00D2145F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Registros Contábeis das EFPC</w:t>
            </w:r>
          </w:p>
        </w:tc>
        <w:tc>
          <w:tcPr>
            <w:tcW w:w="3886" w:type="dxa"/>
          </w:tcPr>
          <w:p w14:paraId="2ECCEEEA" w14:textId="77777777" w:rsidR="00EE3724" w:rsidRPr="00FB4FAB" w:rsidRDefault="00EE3724" w:rsidP="00D2145F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Seção II</w:t>
            </w:r>
          </w:p>
          <w:p w14:paraId="68CE7271" w14:textId="06F66293" w:rsidR="00EE3724" w:rsidRPr="00FB4FAB" w:rsidRDefault="00EE3724" w:rsidP="00D2145F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Registros Contábeis das EFPC</w:t>
            </w:r>
          </w:p>
        </w:tc>
        <w:tc>
          <w:tcPr>
            <w:tcW w:w="4116" w:type="dxa"/>
          </w:tcPr>
          <w:p w14:paraId="53095AAD" w14:textId="77777777" w:rsidR="00EE3724" w:rsidRPr="00FB4FAB" w:rsidRDefault="00EE3724" w:rsidP="00CD3F97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504BB129" w14:textId="77777777" w:rsidR="00EE3724" w:rsidRPr="00FB4FAB" w:rsidRDefault="00EE3724" w:rsidP="00CD3F97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EE3724" w:rsidRPr="00FB4FAB" w14:paraId="5FF19F70" w14:textId="7E89646C" w:rsidTr="00EE3724">
        <w:trPr>
          <w:trHeight w:val="300"/>
        </w:trPr>
        <w:tc>
          <w:tcPr>
            <w:tcW w:w="3903" w:type="dxa"/>
          </w:tcPr>
          <w:p w14:paraId="537E6A3F" w14:textId="77777777" w:rsidR="00EE3724" w:rsidRPr="00FB4FAB" w:rsidRDefault="00EE3724" w:rsidP="00D2145F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Subseção I</w:t>
            </w:r>
          </w:p>
          <w:p w14:paraId="68840858" w14:textId="33BED591" w:rsidR="00EE3724" w:rsidRPr="00FB4FAB" w:rsidRDefault="00EE3724" w:rsidP="00D2145F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Plano de Gestão Administrativa</w:t>
            </w:r>
          </w:p>
        </w:tc>
        <w:tc>
          <w:tcPr>
            <w:tcW w:w="3886" w:type="dxa"/>
          </w:tcPr>
          <w:p w14:paraId="3B13FDFB" w14:textId="77777777" w:rsidR="00EE3724" w:rsidRPr="00FB4FAB" w:rsidRDefault="00EE3724" w:rsidP="00D2145F">
            <w:pPr>
              <w:tabs>
                <w:tab w:val="left" w:pos="0"/>
              </w:tabs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Subseção I</w:t>
            </w:r>
          </w:p>
          <w:p w14:paraId="2C40FCC0" w14:textId="09036C04" w:rsidR="00EE3724" w:rsidRPr="00FB4FAB" w:rsidRDefault="00EE3724" w:rsidP="00D2145F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Plano de Gestão Administrativa</w:t>
            </w:r>
          </w:p>
        </w:tc>
        <w:tc>
          <w:tcPr>
            <w:tcW w:w="4116" w:type="dxa"/>
          </w:tcPr>
          <w:p w14:paraId="542D10FD" w14:textId="77777777" w:rsidR="00EE3724" w:rsidRPr="00FB4FAB" w:rsidRDefault="00EE3724" w:rsidP="00CD3F97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77DE72F3" w14:textId="77777777" w:rsidR="00EE3724" w:rsidRPr="00FB4FAB" w:rsidRDefault="00EE3724" w:rsidP="00CD3F97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EE3724" w:rsidRPr="00FB4FAB" w14:paraId="04A4FB99" w14:textId="3239A9F1" w:rsidTr="00EE3724">
        <w:trPr>
          <w:trHeight w:val="300"/>
        </w:trPr>
        <w:tc>
          <w:tcPr>
            <w:tcW w:w="3903" w:type="dxa"/>
          </w:tcPr>
          <w:p w14:paraId="0FFEB8A4" w14:textId="4854D7DA" w:rsidR="00EE3724" w:rsidRPr="00FB4FAB" w:rsidRDefault="00EE3724" w:rsidP="00D2145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...</w:t>
            </w:r>
          </w:p>
        </w:tc>
        <w:tc>
          <w:tcPr>
            <w:tcW w:w="3886" w:type="dxa"/>
          </w:tcPr>
          <w:p w14:paraId="39FE1397" w14:textId="79E993AB" w:rsidR="00EE3724" w:rsidRPr="00FB4FAB" w:rsidRDefault="00EE3724" w:rsidP="00D2145F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...</w:t>
            </w:r>
          </w:p>
        </w:tc>
        <w:tc>
          <w:tcPr>
            <w:tcW w:w="4116" w:type="dxa"/>
          </w:tcPr>
          <w:p w14:paraId="6342618B" w14:textId="77777777" w:rsidR="00EE3724" w:rsidRPr="00FB4FAB" w:rsidRDefault="00EE3724" w:rsidP="00CD3F97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6939520C" w14:textId="77777777" w:rsidR="00EE3724" w:rsidRPr="00FB4FAB" w:rsidRDefault="00EE3724" w:rsidP="00CD3F97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EE3724" w:rsidRPr="00FB4FAB" w14:paraId="27176949" w14:textId="43C2ED92" w:rsidTr="00EE3724">
        <w:trPr>
          <w:trHeight w:val="300"/>
        </w:trPr>
        <w:tc>
          <w:tcPr>
            <w:tcW w:w="3903" w:type="dxa"/>
          </w:tcPr>
          <w:p w14:paraId="27387B84" w14:textId="77777777" w:rsidR="00EE3724" w:rsidRPr="00FB4FAB" w:rsidRDefault="00EE3724" w:rsidP="00D2145F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3CE73EF6" w14:textId="5594D77E" w:rsidR="00EE3724" w:rsidRPr="00B70F87" w:rsidRDefault="00EE3724" w:rsidP="00C51BB7">
            <w:pPr>
              <w:tabs>
                <w:tab w:val="left" w:pos="0"/>
              </w:tabs>
              <w:spacing w:line="240" w:lineRule="auto"/>
              <w:jc w:val="both"/>
              <w:rPr>
                <w:rFonts w:ascii="Calibri" w:hAnsi="Calibri" w:cs="Calibri"/>
                <w:color w:val="0070C0"/>
                <w:sz w:val="24"/>
                <w:szCs w:val="24"/>
              </w:rPr>
            </w:pPr>
            <w:r w:rsidRPr="00424EAA">
              <w:rPr>
                <w:rFonts w:ascii="Calibri" w:hAnsi="Calibri" w:cs="Calibri"/>
                <w:color w:val="0070C0"/>
                <w:sz w:val="24"/>
                <w:szCs w:val="24"/>
              </w:rPr>
              <w:t>182-A.  As EFPC devem disponibilizar em seu sítio eletrônico na internet</w:t>
            </w:r>
            <w:r>
              <w:rPr>
                <w:rFonts w:ascii="Calibri" w:hAnsi="Calibri" w:cs="Calibri"/>
                <w:color w:val="0070C0"/>
                <w:sz w:val="24"/>
                <w:szCs w:val="24"/>
              </w:rPr>
              <w:t>:</w:t>
            </w:r>
          </w:p>
        </w:tc>
        <w:tc>
          <w:tcPr>
            <w:tcW w:w="4116" w:type="dxa"/>
          </w:tcPr>
          <w:p w14:paraId="38FE61B1" w14:textId="4747E226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A proposta de inclusão do artigo 182-A na Subseção I do Plano de Gestão Administrativa da Seção II Registros Contábeis das EFPC da Resolução Previc nº 23, de 14 de agosto de 2023, tem o intuito de incorporar as orientações constantes do Ofício Circular DINOR nº 3, de 25 de abril de 2025, com o objetivo de regulamentar, de forma vinculante, os dispositivos da Resolução CNPC nº 62, de 2024, que tratam do custeio administrativo no âmbito das Entidades Fechadas de Previdência Complementar - EFPC.</w:t>
            </w:r>
          </w:p>
          <w:p w14:paraId="11F68B63" w14:textId="428E2DE5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 xml:space="preserve">O referido Ofício Circular dispõe, entre outros aspectos, da obrigatoriedade de divulgação, no sítio eletrônico da entidade, das informações relativas à </w:t>
            </w:r>
            <w:r w:rsidRPr="00FB4FAB">
              <w:rPr>
                <w:rFonts w:ascii="Calibri" w:hAnsi="Calibri" w:cs="Calibri"/>
                <w:sz w:val="24"/>
                <w:szCs w:val="24"/>
              </w:rPr>
              <w:lastRenderedPageBreak/>
              <w:t>execução orçamentária do Plano de Gestão Administrativa - PGA.</w:t>
            </w:r>
          </w:p>
          <w:p w14:paraId="3A4DFE67" w14:textId="4E735CEE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A inclusão desses dispositivos sobre o que deve ser disponibilizado pela EFPC no seu sítio eletrônico na Resolução Previc nº 23/2023, busca regulamentar o art. 18 da Resolução CNPC nº 62/2024, conferindo maior segurança jurídica, padronização e efetividade à aplicação da norma pelas entidades. Tal medida contribui para o fortalecimento da confiança dos participantes e assistidos, bem como para o aprimoramento do processo regulatório da previdência complementar fechada.</w:t>
            </w:r>
          </w:p>
          <w:p w14:paraId="0E672C33" w14:textId="77777777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548F506F" w14:textId="77777777" w:rsidR="00EE3724" w:rsidRDefault="00F3397A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lastRenderedPageBreak/>
              <w:t xml:space="preserve">Inciso </w:t>
            </w:r>
            <w:r w:rsidR="009F6D83">
              <w:rPr>
                <w:rFonts w:ascii="Calibri" w:hAnsi="Calibri" w:cs="Calibri"/>
                <w:sz w:val="24"/>
                <w:szCs w:val="24"/>
              </w:rPr>
              <w:t xml:space="preserve">II </w:t>
            </w:r>
            <w:r w:rsidR="00805A4D">
              <w:rPr>
                <w:rFonts w:ascii="Calibri" w:hAnsi="Calibri" w:cs="Calibri"/>
                <w:sz w:val="24"/>
                <w:szCs w:val="24"/>
              </w:rPr>
              <w:t>do art. 4º do Decreto nº 10</w:t>
            </w:r>
            <w:r w:rsidR="00C863F3">
              <w:rPr>
                <w:rFonts w:ascii="Calibri" w:hAnsi="Calibri" w:cs="Calibri"/>
                <w:sz w:val="24"/>
                <w:szCs w:val="24"/>
              </w:rPr>
              <w:t>.</w:t>
            </w:r>
            <w:r w:rsidR="00805A4D">
              <w:rPr>
                <w:rFonts w:ascii="Calibri" w:hAnsi="Calibri" w:cs="Calibri"/>
                <w:sz w:val="24"/>
                <w:szCs w:val="24"/>
              </w:rPr>
              <w:t>411/2020.</w:t>
            </w:r>
          </w:p>
          <w:p w14:paraId="3881D086" w14:textId="77777777" w:rsidR="00E90DA1" w:rsidRDefault="00E90DA1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  <w:p w14:paraId="2820DF6B" w14:textId="63AFE456" w:rsidR="00E90DA1" w:rsidRPr="00FB4FAB" w:rsidRDefault="00F44FD7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A dispensa de AIR se baseia na necessidade de</w:t>
            </w:r>
            <w:r w:rsidRPr="00F44FD7">
              <w:rPr>
                <w:rFonts w:ascii="Calibri" w:hAnsi="Calibri" w:cs="Calibri"/>
                <w:sz w:val="24"/>
                <w:szCs w:val="24"/>
              </w:rPr>
              <w:t xml:space="preserve"> disciplinar direitos ou obrigações definidos em norma hierarquicamente superior</w:t>
            </w:r>
            <w:r w:rsidR="00DE0FB9">
              <w:rPr>
                <w:rFonts w:ascii="Calibri" w:hAnsi="Calibri" w:cs="Calibri"/>
                <w:sz w:val="24"/>
                <w:szCs w:val="24"/>
              </w:rPr>
              <w:t xml:space="preserve">, no caso a Resolução CNPC nº 62, de 2024, que trata de </w:t>
            </w:r>
            <w:r w:rsidR="001C23B2">
              <w:rPr>
                <w:rFonts w:ascii="Calibri" w:hAnsi="Calibri" w:cs="Calibri"/>
                <w:sz w:val="24"/>
                <w:szCs w:val="24"/>
              </w:rPr>
              <w:t>custeio administrativo.</w:t>
            </w:r>
          </w:p>
        </w:tc>
      </w:tr>
      <w:tr w:rsidR="00EE3724" w:rsidRPr="00FB4FAB" w14:paraId="3C04C82E" w14:textId="6EB46638" w:rsidTr="00EE3724">
        <w:trPr>
          <w:trHeight w:val="300"/>
        </w:trPr>
        <w:tc>
          <w:tcPr>
            <w:tcW w:w="3903" w:type="dxa"/>
          </w:tcPr>
          <w:p w14:paraId="6CE53835" w14:textId="77777777" w:rsidR="00EE3724" w:rsidRPr="00FB4FAB" w:rsidRDefault="00EE3724" w:rsidP="00D2145F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30AA36A7" w14:textId="1E806FFE" w:rsidR="00EE3724" w:rsidRPr="00B70F87" w:rsidRDefault="00EE3724" w:rsidP="00C51BB7">
            <w:pPr>
              <w:tabs>
                <w:tab w:val="left" w:pos="0"/>
              </w:tabs>
              <w:spacing w:line="240" w:lineRule="auto"/>
              <w:jc w:val="both"/>
              <w:rPr>
                <w:rFonts w:ascii="Calibri" w:hAnsi="Calibri" w:cs="Calibri"/>
                <w:color w:val="0070C0"/>
                <w:sz w:val="24"/>
                <w:szCs w:val="24"/>
              </w:rPr>
            </w:pPr>
            <w:r w:rsidRPr="00B70F87">
              <w:rPr>
                <w:rFonts w:ascii="Calibri" w:hAnsi="Calibri" w:cs="Calibri"/>
                <w:color w:val="0070C0"/>
                <w:sz w:val="24"/>
                <w:szCs w:val="24"/>
              </w:rPr>
              <w:t>I - o regulamento do plano de gestão administrativa;</w:t>
            </w:r>
          </w:p>
        </w:tc>
        <w:tc>
          <w:tcPr>
            <w:tcW w:w="4116" w:type="dxa"/>
          </w:tcPr>
          <w:p w14:paraId="0CFF5FA4" w14:textId="463F4D49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Inclusão de Inciso para regulamentação art. 18 da Resolução CNPC nº 62/2024.</w:t>
            </w:r>
          </w:p>
        </w:tc>
        <w:tc>
          <w:tcPr>
            <w:tcW w:w="3222" w:type="dxa"/>
          </w:tcPr>
          <w:p w14:paraId="19C25F38" w14:textId="4075D6BC" w:rsidR="00EE3724" w:rsidRPr="00FB4FAB" w:rsidRDefault="00805A4D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Inciso II do art. 4º do Decreto nº 10</w:t>
            </w:r>
            <w:r w:rsidR="00C863F3">
              <w:rPr>
                <w:rFonts w:ascii="Calibri" w:hAnsi="Calibri" w:cs="Calibri"/>
                <w:sz w:val="24"/>
                <w:szCs w:val="24"/>
              </w:rPr>
              <w:t>.</w:t>
            </w:r>
            <w:r>
              <w:rPr>
                <w:rFonts w:ascii="Calibri" w:hAnsi="Calibri" w:cs="Calibri"/>
                <w:sz w:val="24"/>
                <w:szCs w:val="24"/>
              </w:rPr>
              <w:t>411/2020.</w:t>
            </w:r>
          </w:p>
        </w:tc>
      </w:tr>
      <w:tr w:rsidR="00EE3724" w:rsidRPr="00FB4FAB" w14:paraId="490D027F" w14:textId="55386DE9" w:rsidTr="00EE3724">
        <w:trPr>
          <w:trHeight w:val="300"/>
        </w:trPr>
        <w:tc>
          <w:tcPr>
            <w:tcW w:w="3903" w:type="dxa"/>
          </w:tcPr>
          <w:p w14:paraId="43B4C34E" w14:textId="77777777" w:rsidR="00EE3724" w:rsidRPr="00FB4FAB" w:rsidRDefault="00EE3724" w:rsidP="00D2145F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08B55FC2" w14:textId="13259EE7" w:rsidR="00EE3724" w:rsidRPr="00B70F87" w:rsidRDefault="00EE3724" w:rsidP="00C51BB7">
            <w:pPr>
              <w:tabs>
                <w:tab w:val="left" w:pos="0"/>
              </w:tabs>
              <w:spacing w:line="240" w:lineRule="auto"/>
              <w:jc w:val="both"/>
              <w:rPr>
                <w:rFonts w:ascii="Calibri" w:hAnsi="Calibri" w:cs="Calibri"/>
                <w:color w:val="0070C0"/>
                <w:sz w:val="24"/>
                <w:szCs w:val="24"/>
              </w:rPr>
            </w:pPr>
            <w:r w:rsidRPr="00B70F87">
              <w:rPr>
                <w:rFonts w:ascii="Calibri" w:hAnsi="Calibri" w:cs="Calibri"/>
                <w:color w:val="0070C0"/>
                <w:sz w:val="24"/>
                <w:szCs w:val="24"/>
              </w:rPr>
              <w:t>II - o orçamento anual e, quando exigido, o orçamento plurianual; e</w:t>
            </w:r>
          </w:p>
        </w:tc>
        <w:tc>
          <w:tcPr>
            <w:tcW w:w="4116" w:type="dxa"/>
          </w:tcPr>
          <w:p w14:paraId="31273AF1" w14:textId="6FD9630D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Inclusão de Inciso para regulamentação art. 18 da Resolução CNPC nº 62/2024.</w:t>
            </w:r>
          </w:p>
        </w:tc>
        <w:tc>
          <w:tcPr>
            <w:tcW w:w="3222" w:type="dxa"/>
          </w:tcPr>
          <w:p w14:paraId="70DD69FE" w14:textId="6E5EA892" w:rsidR="00EE3724" w:rsidRPr="00FB4FAB" w:rsidRDefault="00805A4D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Inciso II do art. 4º do Decreto nº 10</w:t>
            </w:r>
            <w:r w:rsidR="00C863F3">
              <w:rPr>
                <w:rFonts w:ascii="Calibri" w:hAnsi="Calibri" w:cs="Calibri"/>
                <w:sz w:val="24"/>
                <w:szCs w:val="24"/>
              </w:rPr>
              <w:t>.</w:t>
            </w:r>
            <w:r>
              <w:rPr>
                <w:rFonts w:ascii="Calibri" w:hAnsi="Calibri" w:cs="Calibri"/>
                <w:sz w:val="24"/>
                <w:szCs w:val="24"/>
              </w:rPr>
              <w:t>411/2020.</w:t>
            </w:r>
          </w:p>
        </w:tc>
      </w:tr>
      <w:tr w:rsidR="00EE3724" w:rsidRPr="00FB4FAB" w14:paraId="7D8B76E9" w14:textId="7F8820D3" w:rsidTr="00EE3724">
        <w:trPr>
          <w:trHeight w:val="300"/>
        </w:trPr>
        <w:tc>
          <w:tcPr>
            <w:tcW w:w="3903" w:type="dxa"/>
          </w:tcPr>
          <w:p w14:paraId="528B0B30" w14:textId="77777777" w:rsidR="00EE3724" w:rsidRPr="00FB4FAB" w:rsidRDefault="00EE3724" w:rsidP="00D2145F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3B3924CD" w14:textId="6A5DCEC4" w:rsidR="00EE3724" w:rsidRPr="00B70F87" w:rsidRDefault="00EE3724" w:rsidP="00C51BB7">
            <w:pPr>
              <w:tabs>
                <w:tab w:val="left" w:pos="0"/>
              </w:tabs>
              <w:spacing w:line="240" w:lineRule="auto"/>
              <w:jc w:val="both"/>
              <w:rPr>
                <w:rFonts w:ascii="Calibri" w:hAnsi="Calibri" w:cs="Calibri"/>
                <w:color w:val="0070C0"/>
                <w:sz w:val="24"/>
                <w:szCs w:val="24"/>
              </w:rPr>
            </w:pPr>
            <w:r w:rsidRPr="00B70F87">
              <w:rPr>
                <w:rFonts w:ascii="Calibri" w:hAnsi="Calibri" w:cs="Calibri"/>
                <w:color w:val="0070C0"/>
                <w:sz w:val="24"/>
                <w:szCs w:val="24"/>
              </w:rPr>
              <w:t>III - as informações detalhadas sobre as receitas e despesas da gestão administrativa realizadas nos últimos três exercícios.</w:t>
            </w:r>
          </w:p>
        </w:tc>
        <w:tc>
          <w:tcPr>
            <w:tcW w:w="4116" w:type="dxa"/>
          </w:tcPr>
          <w:p w14:paraId="1A45A9B0" w14:textId="01B9CC08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Inclusão de Inciso para regulamentação art. 18 da Resolução CNPC nº 62/2024.</w:t>
            </w:r>
          </w:p>
        </w:tc>
        <w:tc>
          <w:tcPr>
            <w:tcW w:w="3222" w:type="dxa"/>
          </w:tcPr>
          <w:p w14:paraId="24604D65" w14:textId="0F63451A" w:rsidR="00EE3724" w:rsidRPr="00FB4FAB" w:rsidRDefault="00805A4D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Inciso II do art. 4º do Decreto nº 10</w:t>
            </w:r>
            <w:r w:rsidR="00C863F3">
              <w:rPr>
                <w:rFonts w:ascii="Calibri" w:hAnsi="Calibri" w:cs="Calibri"/>
                <w:sz w:val="24"/>
                <w:szCs w:val="24"/>
              </w:rPr>
              <w:t>.</w:t>
            </w:r>
            <w:r>
              <w:rPr>
                <w:rFonts w:ascii="Calibri" w:hAnsi="Calibri" w:cs="Calibri"/>
                <w:sz w:val="24"/>
                <w:szCs w:val="24"/>
              </w:rPr>
              <w:t>411/2020.</w:t>
            </w:r>
          </w:p>
        </w:tc>
      </w:tr>
      <w:tr w:rsidR="00EE3724" w:rsidRPr="00FB4FAB" w14:paraId="72459335" w14:textId="3DC5BF1B" w:rsidTr="00EE3724">
        <w:trPr>
          <w:trHeight w:val="300"/>
        </w:trPr>
        <w:tc>
          <w:tcPr>
            <w:tcW w:w="3903" w:type="dxa"/>
          </w:tcPr>
          <w:p w14:paraId="6C868624" w14:textId="77777777" w:rsidR="00EE3724" w:rsidRPr="00FB4FAB" w:rsidRDefault="00EE3724" w:rsidP="00424E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7FD4F5E8" w14:textId="30D98B06" w:rsidR="00EE3724" w:rsidRPr="00E554CA" w:rsidRDefault="00EE3724" w:rsidP="00C51BB7">
            <w:pPr>
              <w:tabs>
                <w:tab w:val="left" w:pos="0"/>
              </w:tabs>
              <w:spacing w:line="240" w:lineRule="auto"/>
              <w:jc w:val="both"/>
              <w:rPr>
                <w:rFonts w:ascii="Calibri" w:hAnsi="Calibri" w:cs="Calibri"/>
                <w:color w:val="0070C0"/>
                <w:sz w:val="24"/>
                <w:szCs w:val="24"/>
              </w:rPr>
            </w:pPr>
            <w:r w:rsidRPr="00E554CA">
              <w:rPr>
                <w:rFonts w:ascii="Calibri" w:hAnsi="Calibri" w:cs="Calibri"/>
                <w:color w:val="0070C0"/>
                <w:sz w:val="24"/>
                <w:szCs w:val="24"/>
              </w:rPr>
              <w:t>§ 1º</w:t>
            </w:r>
            <w:r>
              <w:rPr>
                <w:rFonts w:ascii="Calibri" w:hAnsi="Calibri" w:cs="Calibri"/>
                <w:color w:val="0070C0"/>
                <w:sz w:val="24"/>
                <w:szCs w:val="24"/>
              </w:rPr>
              <w:t xml:space="preserve">  </w:t>
            </w:r>
            <w:r w:rsidRPr="00E554CA">
              <w:rPr>
                <w:rFonts w:ascii="Calibri" w:hAnsi="Calibri" w:cs="Calibri"/>
                <w:color w:val="0070C0"/>
                <w:sz w:val="24"/>
                <w:szCs w:val="24"/>
              </w:rPr>
              <w:t>A disponibilização em seu sítio eletrônico na internet a que se refere o caput deve ser em área pública de acesso irrestrito.</w:t>
            </w:r>
          </w:p>
        </w:tc>
        <w:tc>
          <w:tcPr>
            <w:tcW w:w="4116" w:type="dxa"/>
          </w:tcPr>
          <w:p w14:paraId="27EAB59A" w14:textId="3026BABB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 xml:space="preserve">Inclusão de </w:t>
            </w:r>
            <w:r>
              <w:rPr>
                <w:rFonts w:ascii="Calibri" w:hAnsi="Calibri" w:cs="Calibri"/>
                <w:sz w:val="24"/>
                <w:szCs w:val="24"/>
              </w:rPr>
              <w:t>parágrafo</w:t>
            </w:r>
            <w:r w:rsidRPr="00FB4FAB">
              <w:rPr>
                <w:rFonts w:ascii="Calibri" w:hAnsi="Calibri" w:cs="Calibri"/>
                <w:sz w:val="24"/>
                <w:szCs w:val="24"/>
              </w:rPr>
              <w:t xml:space="preserve"> para regulamentação art. 18 da Resolução CNPC nº 62/2024.</w:t>
            </w:r>
          </w:p>
        </w:tc>
        <w:tc>
          <w:tcPr>
            <w:tcW w:w="3222" w:type="dxa"/>
          </w:tcPr>
          <w:p w14:paraId="66414247" w14:textId="790D542D" w:rsidR="00EE3724" w:rsidRPr="00FB4FAB" w:rsidRDefault="00805A4D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Inciso II do art. 4º do Decreto nº 10</w:t>
            </w:r>
            <w:r w:rsidR="00C863F3">
              <w:rPr>
                <w:rFonts w:ascii="Calibri" w:hAnsi="Calibri" w:cs="Calibri"/>
                <w:sz w:val="24"/>
                <w:szCs w:val="24"/>
              </w:rPr>
              <w:t>.</w:t>
            </w:r>
            <w:r>
              <w:rPr>
                <w:rFonts w:ascii="Calibri" w:hAnsi="Calibri" w:cs="Calibri"/>
                <w:sz w:val="24"/>
                <w:szCs w:val="24"/>
              </w:rPr>
              <w:t>411/2020.</w:t>
            </w:r>
          </w:p>
        </w:tc>
      </w:tr>
      <w:tr w:rsidR="00EE3724" w:rsidRPr="00FB4FAB" w14:paraId="521C7B71" w14:textId="66B0B59B" w:rsidTr="00EE3724">
        <w:trPr>
          <w:trHeight w:val="300"/>
        </w:trPr>
        <w:tc>
          <w:tcPr>
            <w:tcW w:w="3903" w:type="dxa"/>
          </w:tcPr>
          <w:p w14:paraId="248FAD6B" w14:textId="77777777" w:rsidR="00EE3724" w:rsidRPr="00FB4FAB" w:rsidRDefault="00EE3724" w:rsidP="00424E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36FC963F" w14:textId="0D0F823B" w:rsidR="00EE3724" w:rsidRPr="00B70F87" w:rsidRDefault="00EE3724" w:rsidP="00C51BB7">
            <w:pPr>
              <w:tabs>
                <w:tab w:val="left" w:pos="0"/>
              </w:tabs>
              <w:spacing w:line="240" w:lineRule="auto"/>
              <w:jc w:val="both"/>
              <w:rPr>
                <w:rFonts w:ascii="Calibri" w:hAnsi="Calibri" w:cs="Calibri"/>
                <w:color w:val="0070C0"/>
                <w:sz w:val="24"/>
                <w:szCs w:val="24"/>
              </w:rPr>
            </w:pPr>
            <w:r>
              <w:rPr>
                <w:rFonts w:ascii="Calibri" w:hAnsi="Calibri" w:cs="Calibri"/>
                <w:color w:val="0070C0"/>
                <w:sz w:val="24"/>
                <w:szCs w:val="24"/>
              </w:rPr>
              <w:t>§ 2º</w:t>
            </w:r>
            <w:r w:rsidRPr="00B70F87">
              <w:rPr>
                <w:rFonts w:ascii="Calibri" w:hAnsi="Calibri" w:cs="Calibri"/>
                <w:color w:val="0070C0"/>
                <w:sz w:val="24"/>
                <w:szCs w:val="24"/>
              </w:rPr>
              <w:t xml:space="preserve">  O detalhamento do orçamento pode ser no nível mínimo do balancete.</w:t>
            </w:r>
          </w:p>
        </w:tc>
        <w:tc>
          <w:tcPr>
            <w:tcW w:w="4116" w:type="dxa"/>
          </w:tcPr>
          <w:p w14:paraId="131CC774" w14:textId="013A3869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 xml:space="preserve">Inclusão de </w:t>
            </w:r>
            <w:r>
              <w:rPr>
                <w:rFonts w:ascii="Calibri" w:hAnsi="Calibri" w:cs="Calibri"/>
                <w:sz w:val="24"/>
                <w:szCs w:val="24"/>
              </w:rPr>
              <w:t>parágrafo</w:t>
            </w:r>
            <w:r w:rsidRPr="00FB4FAB">
              <w:rPr>
                <w:rFonts w:ascii="Calibri" w:hAnsi="Calibri" w:cs="Calibri"/>
                <w:sz w:val="24"/>
                <w:szCs w:val="24"/>
              </w:rPr>
              <w:t xml:space="preserve"> para regulamentação art. 18 da Resolução CNPC nº 62/2024.</w:t>
            </w:r>
          </w:p>
        </w:tc>
        <w:tc>
          <w:tcPr>
            <w:tcW w:w="3222" w:type="dxa"/>
          </w:tcPr>
          <w:p w14:paraId="2433E5DC" w14:textId="3FF6C5C1" w:rsidR="00EE3724" w:rsidRPr="00FB4FAB" w:rsidRDefault="00C863F3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Inciso II do art. 4º do Decreto nº 10.411/2020.</w:t>
            </w:r>
          </w:p>
        </w:tc>
      </w:tr>
      <w:tr w:rsidR="00EE3724" w:rsidRPr="00FB4FAB" w14:paraId="3F7CF73F" w14:textId="5F81F28F" w:rsidTr="00EE3724">
        <w:trPr>
          <w:trHeight w:val="300"/>
        </w:trPr>
        <w:tc>
          <w:tcPr>
            <w:tcW w:w="3903" w:type="dxa"/>
          </w:tcPr>
          <w:p w14:paraId="6A58B49E" w14:textId="265C47ED" w:rsidR="00EE3724" w:rsidRPr="00FB4FAB" w:rsidRDefault="00EE3724" w:rsidP="00424EAA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...</w:t>
            </w:r>
          </w:p>
        </w:tc>
        <w:tc>
          <w:tcPr>
            <w:tcW w:w="3886" w:type="dxa"/>
          </w:tcPr>
          <w:p w14:paraId="6815FF77" w14:textId="77777777" w:rsidR="00EE3724" w:rsidRPr="00FB4FAB" w:rsidRDefault="00EE3724" w:rsidP="00424EAA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  <w:highlight w:val="yellow"/>
              </w:rPr>
            </w:pPr>
          </w:p>
        </w:tc>
        <w:tc>
          <w:tcPr>
            <w:tcW w:w="4116" w:type="dxa"/>
          </w:tcPr>
          <w:p w14:paraId="2EF671EA" w14:textId="77777777" w:rsidR="00EE3724" w:rsidRPr="00FB4FAB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  <w:highlight w:val="yellow"/>
              </w:rPr>
            </w:pPr>
          </w:p>
        </w:tc>
        <w:tc>
          <w:tcPr>
            <w:tcW w:w="3222" w:type="dxa"/>
          </w:tcPr>
          <w:p w14:paraId="17433803" w14:textId="77777777" w:rsidR="00EE3724" w:rsidRPr="00FB4FAB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  <w:highlight w:val="yellow"/>
              </w:rPr>
            </w:pPr>
          </w:p>
        </w:tc>
      </w:tr>
      <w:tr w:rsidR="00EE3724" w:rsidRPr="00FB4FAB" w14:paraId="3506FEE4" w14:textId="5C9F0560" w:rsidTr="00EE3724">
        <w:trPr>
          <w:trHeight w:val="300"/>
        </w:trPr>
        <w:tc>
          <w:tcPr>
            <w:tcW w:w="3903" w:type="dxa"/>
          </w:tcPr>
          <w:p w14:paraId="1F102E90" w14:textId="77777777" w:rsidR="00EE3724" w:rsidRPr="00FB4FAB" w:rsidRDefault="00EE3724" w:rsidP="00424EAA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Seção III</w:t>
            </w:r>
          </w:p>
          <w:p w14:paraId="0FDC856C" w14:textId="4AD6FFD0" w:rsidR="00EE3724" w:rsidRPr="00FB4FAB" w:rsidRDefault="00EE3724" w:rsidP="00424EAA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Registros Contábeis de Investimentos</w:t>
            </w:r>
          </w:p>
        </w:tc>
        <w:tc>
          <w:tcPr>
            <w:tcW w:w="3886" w:type="dxa"/>
          </w:tcPr>
          <w:p w14:paraId="3520B391" w14:textId="77777777" w:rsidR="00EE3724" w:rsidRPr="00FB4FAB" w:rsidRDefault="00EE3724" w:rsidP="00424EAA">
            <w:pPr>
              <w:tabs>
                <w:tab w:val="left" w:pos="0"/>
              </w:tabs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Seção III</w:t>
            </w:r>
          </w:p>
          <w:p w14:paraId="19F746D2" w14:textId="429595D2" w:rsidR="00EE3724" w:rsidRPr="00FB4FAB" w:rsidRDefault="00EE3724" w:rsidP="00424EAA">
            <w:pPr>
              <w:tabs>
                <w:tab w:val="left" w:pos="0"/>
              </w:tabs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Registros Contábeis de Investimentos</w:t>
            </w:r>
          </w:p>
        </w:tc>
        <w:tc>
          <w:tcPr>
            <w:tcW w:w="4116" w:type="dxa"/>
          </w:tcPr>
          <w:p w14:paraId="3E649DD0" w14:textId="77777777" w:rsidR="00EE3724" w:rsidRPr="00FB4FAB" w:rsidRDefault="00EE3724" w:rsidP="00424EAA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5B9E0E3D" w14:textId="77777777" w:rsidR="00EE3724" w:rsidRPr="00FB4FAB" w:rsidRDefault="00EE3724" w:rsidP="00424EAA">
            <w:pPr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EE3724" w:rsidRPr="00FB4FAB" w14:paraId="5A990270" w14:textId="13E5A999" w:rsidTr="00EE3724">
        <w:trPr>
          <w:trHeight w:val="300"/>
        </w:trPr>
        <w:tc>
          <w:tcPr>
            <w:tcW w:w="3903" w:type="dxa"/>
          </w:tcPr>
          <w:p w14:paraId="17935737" w14:textId="3E49AC12" w:rsidR="00EE3724" w:rsidRPr="00FB4FAB" w:rsidRDefault="00EE3724" w:rsidP="00424EAA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...</w:t>
            </w:r>
          </w:p>
        </w:tc>
        <w:tc>
          <w:tcPr>
            <w:tcW w:w="3886" w:type="dxa"/>
          </w:tcPr>
          <w:p w14:paraId="0A85AA22" w14:textId="77777777" w:rsidR="00EE3724" w:rsidRPr="00FB4FAB" w:rsidRDefault="00EE3724" w:rsidP="00424EAA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44DC82F6" w14:textId="77777777" w:rsidR="00EE3724" w:rsidRPr="00FB4FAB" w:rsidRDefault="00EE3724" w:rsidP="00424EAA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6CA805AE" w14:textId="77777777" w:rsidR="00EE3724" w:rsidRPr="00FB4FAB" w:rsidRDefault="00EE3724" w:rsidP="00424EAA">
            <w:pPr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EE3724" w:rsidRPr="00FB4FAB" w14:paraId="09FA0F10" w14:textId="5C1360C0" w:rsidTr="00EE3724">
        <w:trPr>
          <w:trHeight w:val="300"/>
        </w:trPr>
        <w:tc>
          <w:tcPr>
            <w:tcW w:w="3903" w:type="dxa"/>
          </w:tcPr>
          <w:p w14:paraId="0C8CF998" w14:textId="77777777" w:rsidR="00EE3724" w:rsidRPr="00FB4FAB" w:rsidRDefault="00EE3724" w:rsidP="00424EAA">
            <w:pPr>
              <w:tabs>
                <w:tab w:val="left" w:pos="0"/>
              </w:tabs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Subseção VIII</w:t>
            </w:r>
          </w:p>
          <w:p w14:paraId="1D568458" w14:textId="1750067A" w:rsidR="00EE3724" w:rsidRPr="00FB4FAB" w:rsidRDefault="00EE3724" w:rsidP="00424EAA">
            <w:pPr>
              <w:tabs>
                <w:tab w:val="left" w:pos="0"/>
              </w:tabs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Investimentos em Imóveis</w:t>
            </w:r>
          </w:p>
        </w:tc>
        <w:tc>
          <w:tcPr>
            <w:tcW w:w="3886" w:type="dxa"/>
          </w:tcPr>
          <w:p w14:paraId="74152A05" w14:textId="77777777" w:rsidR="00EE3724" w:rsidRPr="00FB4FAB" w:rsidRDefault="00EE3724" w:rsidP="00424EAA">
            <w:pPr>
              <w:tabs>
                <w:tab w:val="left" w:pos="0"/>
              </w:tabs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Subseção VIII</w:t>
            </w:r>
          </w:p>
          <w:p w14:paraId="1B1FE143" w14:textId="6AF9E864" w:rsidR="00EE3724" w:rsidRPr="00FB4FAB" w:rsidRDefault="00EE3724" w:rsidP="00424EAA">
            <w:pPr>
              <w:tabs>
                <w:tab w:val="left" w:pos="0"/>
              </w:tabs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Investimentos em Imóveis</w:t>
            </w:r>
          </w:p>
        </w:tc>
        <w:tc>
          <w:tcPr>
            <w:tcW w:w="4116" w:type="dxa"/>
          </w:tcPr>
          <w:p w14:paraId="31119125" w14:textId="77777777" w:rsidR="00EE3724" w:rsidRPr="00FB4FAB" w:rsidRDefault="00EE3724" w:rsidP="00424EAA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6E737EFD" w14:textId="77777777" w:rsidR="00EE3724" w:rsidRPr="00FB4FAB" w:rsidRDefault="00EE3724" w:rsidP="00424EAA">
            <w:pPr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EE3724" w:rsidRPr="00FB4FAB" w14:paraId="131BE241" w14:textId="5D34EFAB" w:rsidTr="00EE3724">
        <w:trPr>
          <w:trHeight w:val="300"/>
        </w:trPr>
        <w:tc>
          <w:tcPr>
            <w:tcW w:w="3903" w:type="dxa"/>
          </w:tcPr>
          <w:p w14:paraId="5F12F9AD" w14:textId="0A9E6ED8" w:rsidR="00EE3724" w:rsidRPr="00FB4FAB" w:rsidRDefault="00EE3724" w:rsidP="00424EAA">
            <w:pPr>
              <w:tabs>
                <w:tab w:val="left" w:pos="0"/>
              </w:tabs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Art. 197. ...</w:t>
            </w:r>
          </w:p>
        </w:tc>
        <w:tc>
          <w:tcPr>
            <w:tcW w:w="3886" w:type="dxa"/>
          </w:tcPr>
          <w:p w14:paraId="76014533" w14:textId="7E9DB5B8" w:rsidR="00EE3724" w:rsidRPr="00FB4FAB" w:rsidRDefault="00EE3724" w:rsidP="00424EAA">
            <w:pPr>
              <w:tabs>
                <w:tab w:val="left" w:pos="0"/>
              </w:tabs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Art. 197. ...</w:t>
            </w:r>
          </w:p>
        </w:tc>
        <w:tc>
          <w:tcPr>
            <w:tcW w:w="4116" w:type="dxa"/>
          </w:tcPr>
          <w:p w14:paraId="29C8B030" w14:textId="03515566" w:rsidR="00EE3724" w:rsidRPr="00FB4FAB" w:rsidRDefault="00EE3724" w:rsidP="00424EAA">
            <w:pPr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Sem alteração</w:t>
            </w:r>
          </w:p>
        </w:tc>
        <w:tc>
          <w:tcPr>
            <w:tcW w:w="3222" w:type="dxa"/>
          </w:tcPr>
          <w:p w14:paraId="52DB52CE" w14:textId="77777777" w:rsidR="00EE3724" w:rsidRPr="00FB4FAB" w:rsidRDefault="00EE3724" w:rsidP="00424EAA">
            <w:pPr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EE3724" w:rsidRPr="00FB4FAB" w14:paraId="47677236" w14:textId="40985C39" w:rsidTr="00EE3724">
        <w:trPr>
          <w:trHeight w:val="300"/>
        </w:trPr>
        <w:tc>
          <w:tcPr>
            <w:tcW w:w="3903" w:type="dxa"/>
          </w:tcPr>
          <w:p w14:paraId="031C913B" w14:textId="77777777" w:rsidR="00EE3724" w:rsidRDefault="00EE3724" w:rsidP="00424EAA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...</w:t>
            </w:r>
          </w:p>
          <w:p w14:paraId="76A82EB9" w14:textId="79FC277F" w:rsidR="00EE3724" w:rsidRPr="00FB4FAB" w:rsidRDefault="00EE3724" w:rsidP="00424EAA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56B6A">
              <w:rPr>
                <w:rFonts w:ascii="Calibri" w:hAnsi="Calibri" w:cs="Calibri"/>
                <w:sz w:val="24"/>
                <w:szCs w:val="24"/>
              </w:rPr>
              <w:t xml:space="preserve">VII - apresentar, no mínimo, três laudos técnicos de avaliação prévios à alienação de imóvel, </w:t>
            </w:r>
            <w:r w:rsidRPr="00856B6A">
              <w:rPr>
                <w:rFonts w:ascii="Calibri" w:hAnsi="Calibri" w:cs="Calibri"/>
                <w:strike/>
                <w:color w:val="EE0000"/>
                <w:sz w:val="24"/>
                <w:szCs w:val="24"/>
              </w:rPr>
              <w:t>elaborado</w:t>
            </w:r>
            <w:r w:rsidRPr="00856B6A">
              <w:rPr>
                <w:rFonts w:ascii="Calibri" w:hAnsi="Calibri" w:cs="Calibri"/>
                <w:sz w:val="24"/>
                <w:szCs w:val="24"/>
              </w:rPr>
              <w:t xml:space="preserve"> de acordo com as normas expedidas pela Associação Brasileira de Normas Técnicas, contendo, no mínimo:</w:t>
            </w:r>
          </w:p>
        </w:tc>
        <w:tc>
          <w:tcPr>
            <w:tcW w:w="3886" w:type="dxa"/>
          </w:tcPr>
          <w:p w14:paraId="060D3F71" w14:textId="77777777" w:rsidR="00EE3724" w:rsidRDefault="00EE3724" w:rsidP="00C51BB7">
            <w:pPr>
              <w:tabs>
                <w:tab w:val="left" w:pos="0"/>
              </w:tabs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...</w:t>
            </w:r>
          </w:p>
          <w:p w14:paraId="2D156260" w14:textId="598433A4" w:rsidR="00EE3724" w:rsidRPr="00856B6A" w:rsidRDefault="00EE3724" w:rsidP="00856B6A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56B6A">
              <w:rPr>
                <w:rFonts w:ascii="Calibri" w:hAnsi="Calibri" w:cs="Calibri"/>
                <w:sz w:val="24"/>
                <w:szCs w:val="24"/>
              </w:rPr>
              <w:t xml:space="preserve">VII - apresentar, no mínimo, três laudos técnicos de avaliação prévios à alienação de imóvel, </w:t>
            </w:r>
            <w:r w:rsidRPr="00856B6A">
              <w:rPr>
                <w:rFonts w:ascii="Calibri" w:hAnsi="Calibri" w:cs="Calibri"/>
                <w:color w:val="0070C0"/>
                <w:sz w:val="24"/>
                <w:szCs w:val="24"/>
              </w:rPr>
              <w:t>elaborados</w:t>
            </w:r>
            <w:r w:rsidRPr="00856B6A">
              <w:rPr>
                <w:rFonts w:ascii="Calibri" w:hAnsi="Calibri" w:cs="Calibri"/>
                <w:sz w:val="24"/>
                <w:szCs w:val="24"/>
              </w:rPr>
              <w:t xml:space="preserve"> de acordo com as normas expedidas pela Associação Brasileira de Normas Técnicas, contendo, no mínimo:</w:t>
            </w:r>
          </w:p>
        </w:tc>
        <w:tc>
          <w:tcPr>
            <w:tcW w:w="4116" w:type="dxa"/>
          </w:tcPr>
          <w:p w14:paraId="30CE4574" w14:textId="77777777" w:rsidR="00EE3724" w:rsidRDefault="00EE3724" w:rsidP="00424EAA">
            <w:pPr>
              <w:rPr>
                <w:rFonts w:ascii="Calibri" w:hAnsi="Calibri" w:cs="Calibri"/>
                <w:sz w:val="24"/>
                <w:szCs w:val="24"/>
              </w:rPr>
            </w:pPr>
          </w:p>
          <w:p w14:paraId="06EF1535" w14:textId="77777777" w:rsidR="00EE3724" w:rsidRDefault="00EE3724" w:rsidP="00424EAA">
            <w:pPr>
              <w:rPr>
                <w:rFonts w:ascii="Calibri" w:hAnsi="Calibri" w:cs="Calibri"/>
                <w:sz w:val="24"/>
                <w:szCs w:val="24"/>
              </w:rPr>
            </w:pPr>
          </w:p>
          <w:p w14:paraId="286BB765" w14:textId="39DF2B19" w:rsidR="00EE3724" w:rsidRPr="00FB4FAB" w:rsidRDefault="00EE3724" w:rsidP="00424EAA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 xml:space="preserve">Ajuste </w:t>
            </w:r>
            <w:r w:rsidR="00E812B8">
              <w:rPr>
                <w:rFonts w:ascii="Calibri" w:hAnsi="Calibri" w:cs="Calibri"/>
                <w:sz w:val="24"/>
                <w:szCs w:val="24"/>
              </w:rPr>
              <w:t xml:space="preserve">de </w:t>
            </w:r>
            <w:r w:rsidR="00443D05">
              <w:rPr>
                <w:rFonts w:ascii="Calibri" w:hAnsi="Calibri" w:cs="Calibri"/>
                <w:sz w:val="24"/>
                <w:szCs w:val="24"/>
              </w:rPr>
              <w:t>gr</w:t>
            </w:r>
            <w:r w:rsidR="00E812B8">
              <w:rPr>
                <w:rFonts w:ascii="Calibri" w:hAnsi="Calibri" w:cs="Calibri"/>
                <w:sz w:val="24"/>
                <w:szCs w:val="24"/>
              </w:rPr>
              <w:t>afia</w:t>
            </w:r>
            <w:r w:rsidR="00443D05">
              <w:rPr>
                <w:rFonts w:ascii="Calibri" w:hAnsi="Calibri" w:cs="Calibri"/>
                <w:sz w:val="24"/>
                <w:szCs w:val="24"/>
              </w:rPr>
              <w:t xml:space="preserve"> de palavra</w:t>
            </w:r>
            <w:r w:rsidR="00864BF6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  <w:tc>
          <w:tcPr>
            <w:tcW w:w="3222" w:type="dxa"/>
          </w:tcPr>
          <w:p w14:paraId="7D1A308A" w14:textId="77777777" w:rsidR="00EE3724" w:rsidRDefault="00C863F3" w:rsidP="00A50BD0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 xml:space="preserve">Inciso </w:t>
            </w:r>
            <w:r w:rsidR="00041F03">
              <w:rPr>
                <w:rFonts w:ascii="Calibri" w:hAnsi="Calibri" w:cs="Calibri"/>
                <w:sz w:val="24"/>
                <w:szCs w:val="24"/>
              </w:rPr>
              <w:t>I</w:t>
            </w:r>
            <w:r>
              <w:rPr>
                <w:rFonts w:ascii="Calibri" w:hAnsi="Calibri" w:cs="Calibri"/>
                <w:sz w:val="24"/>
                <w:szCs w:val="24"/>
              </w:rPr>
              <w:t>II do art. 4º do Decreto nº 10.411/2020.</w:t>
            </w:r>
          </w:p>
          <w:p w14:paraId="567FABAC" w14:textId="77777777" w:rsidR="007A3477" w:rsidRDefault="007A3477" w:rsidP="00A50BD0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  <w:p w14:paraId="3016BC51" w14:textId="7185A991" w:rsidR="007A3477" w:rsidRDefault="007A3477" w:rsidP="00A50BD0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A dispensa de AIR está baseada em </w:t>
            </w:r>
            <w:r w:rsidR="00891BDF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ato normativo de</w:t>
            </w:r>
            <w:r w:rsidR="009308D2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baixo impacto, pois trata de alteração </w:t>
            </w:r>
            <w:r w:rsidR="00443D05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de grafia </w:t>
            </w:r>
            <w:r w:rsidR="00864BF6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de palavra</w:t>
            </w:r>
            <w:r w:rsidR="004A3036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.</w:t>
            </w:r>
          </w:p>
        </w:tc>
      </w:tr>
      <w:tr w:rsidR="002A29B8" w:rsidRPr="00FB4FAB" w14:paraId="762EE150" w14:textId="77777777" w:rsidTr="00EE3724">
        <w:trPr>
          <w:trHeight w:val="300"/>
        </w:trPr>
        <w:tc>
          <w:tcPr>
            <w:tcW w:w="3903" w:type="dxa"/>
          </w:tcPr>
          <w:p w14:paraId="63AEE625" w14:textId="5E9146A4" w:rsidR="002A29B8" w:rsidRPr="00FB4FAB" w:rsidRDefault="002A29B8" w:rsidP="00424EAA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...</w:t>
            </w:r>
          </w:p>
        </w:tc>
        <w:tc>
          <w:tcPr>
            <w:tcW w:w="3886" w:type="dxa"/>
          </w:tcPr>
          <w:p w14:paraId="47C00111" w14:textId="5F9167C5" w:rsidR="002A29B8" w:rsidRPr="00FB4FAB" w:rsidRDefault="002A29B8" w:rsidP="00C51BB7">
            <w:pPr>
              <w:tabs>
                <w:tab w:val="left" w:pos="0"/>
              </w:tabs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sz w:val="24"/>
                <w:szCs w:val="24"/>
              </w:rPr>
              <w:t>...</w:t>
            </w:r>
          </w:p>
        </w:tc>
        <w:tc>
          <w:tcPr>
            <w:tcW w:w="4116" w:type="dxa"/>
          </w:tcPr>
          <w:p w14:paraId="2BF5CB09" w14:textId="77777777" w:rsidR="002A29B8" w:rsidRDefault="002A29B8" w:rsidP="00424EAA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0F7AD44A" w14:textId="77777777" w:rsidR="002A29B8" w:rsidRDefault="002A29B8" w:rsidP="00424EAA">
            <w:pPr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EE3724" w:rsidRPr="00FB4FAB" w14:paraId="633313D6" w14:textId="127417AA" w:rsidTr="00EE3724">
        <w:trPr>
          <w:trHeight w:val="300"/>
        </w:trPr>
        <w:tc>
          <w:tcPr>
            <w:tcW w:w="3903" w:type="dxa"/>
          </w:tcPr>
          <w:p w14:paraId="18F3D8AA" w14:textId="427917DB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 xml:space="preserve">§ 1º </w:t>
            </w:r>
            <w:r w:rsidRPr="00FB4FAB">
              <w:rPr>
                <w:rFonts w:ascii="Calibri" w:hAnsi="Calibri" w:cs="Calibri"/>
                <w:strike/>
                <w:color w:val="FF0000"/>
                <w:sz w:val="24"/>
                <w:szCs w:val="24"/>
              </w:rPr>
              <w:t>Uma das três</w:t>
            </w:r>
            <w:r w:rsidRPr="00FB4FAB">
              <w:rPr>
                <w:rFonts w:ascii="Calibri" w:hAnsi="Calibri" w:cs="Calibri"/>
                <w:sz w:val="24"/>
                <w:szCs w:val="24"/>
              </w:rPr>
              <w:t xml:space="preserve"> avaliações referidas no inciso VII do caput pode ser dispensada caso </w:t>
            </w:r>
            <w:r w:rsidRPr="00C51BB7">
              <w:rPr>
                <w:rFonts w:ascii="Calibri" w:hAnsi="Calibri" w:cs="Calibri"/>
                <w:strike/>
                <w:color w:val="EE0000"/>
                <w:sz w:val="24"/>
                <w:szCs w:val="24"/>
              </w:rPr>
              <w:t>a última</w:t>
            </w:r>
            <w:r w:rsidRPr="00C51BB7">
              <w:rPr>
                <w:rFonts w:ascii="Calibri" w:hAnsi="Calibri" w:cs="Calibri"/>
                <w:color w:val="EE0000"/>
                <w:sz w:val="24"/>
                <w:szCs w:val="24"/>
              </w:rPr>
              <w:t xml:space="preserve"> </w:t>
            </w:r>
            <w:r w:rsidRPr="00FB4FAB">
              <w:rPr>
                <w:rFonts w:ascii="Calibri" w:hAnsi="Calibri" w:cs="Calibri"/>
                <w:sz w:val="24"/>
                <w:szCs w:val="24"/>
              </w:rPr>
              <w:t xml:space="preserve">avaliação do imóvel a ser alienado tenha sido realizada em prazo inferior a trezentos e sessenta dias, desde que tal procedimento seja devidamente atestado pelo administrador </w:t>
            </w:r>
            <w:r w:rsidRPr="00FB4FAB">
              <w:rPr>
                <w:rFonts w:ascii="Calibri" w:hAnsi="Calibri" w:cs="Calibri"/>
                <w:sz w:val="24"/>
                <w:szCs w:val="24"/>
              </w:rPr>
              <w:lastRenderedPageBreak/>
              <w:t>estatutário tecnicamente qualificado, em função das condições de mercado.</w:t>
            </w:r>
          </w:p>
        </w:tc>
        <w:tc>
          <w:tcPr>
            <w:tcW w:w="3886" w:type="dxa"/>
          </w:tcPr>
          <w:p w14:paraId="5DCB9F2A" w14:textId="01D7ECC7" w:rsidR="00EE3724" w:rsidRPr="003450B6" w:rsidRDefault="00EE3724" w:rsidP="009A2B7D">
            <w:pPr>
              <w:spacing w:after="200" w:line="240" w:lineRule="auto"/>
              <w:jc w:val="both"/>
              <w:rPr>
                <w:rFonts w:ascii="Calibri" w:hAnsi="Calibri" w:cs="Calibri"/>
                <w:b/>
                <w:bCs/>
                <w:color w:val="0070C0"/>
                <w:sz w:val="24"/>
                <w:szCs w:val="24"/>
              </w:rPr>
            </w:pPr>
            <w:r w:rsidRPr="003450B6">
              <w:rPr>
                <w:rFonts w:ascii="Calibri" w:hAnsi="Calibri" w:cs="Calibri"/>
                <w:color w:val="0070C0"/>
                <w:sz w:val="24"/>
                <w:szCs w:val="24"/>
              </w:rPr>
              <w:lastRenderedPageBreak/>
              <w:t xml:space="preserve">§ 1º Para fins do cumprimento do disposto no inciso VII do caput deste artigo, a EFPC pode utilizar avaliações do imóvel realizadas nos trezentos e sessenta dias anteriores à data da alienação, desde que atestadas pelo administrador estatutário tecnicamente qualificado, </w:t>
            </w:r>
            <w:r w:rsidRPr="003450B6">
              <w:rPr>
                <w:rFonts w:ascii="Calibri" w:hAnsi="Calibri" w:cs="Calibri"/>
                <w:color w:val="0070C0"/>
                <w:sz w:val="24"/>
                <w:szCs w:val="24"/>
              </w:rPr>
              <w:lastRenderedPageBreak/>
              <w:t>considerando as condições de mercado.</w:t>
            </w:r>
          </w:p>
        </w:tc>
        <w:tc>
          <w:tcPr>
            <w:tcW w:w="4116" w:type="dxa"/>
          </w:tcPr>
          <w:p w14:paraId="0CC212EA" w14:textId="13221B2C" w:rsidR="00EE3724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lastRenderedPageBreak/>
              <w:t xml:space="preserve">Alteração do referido § 1º tem o intuito de desonerar a EFPC caso existam avaliações do imóvel a ser alienado com prazo 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de realização </w:t>
            </w:r>
            <w:r w:rsidRPr="00FB4FAB">
              <w:rPr>
                <w:rFonts w:ascii="Calibri" w:hAnsi="Calibri" w:cs="Calibri"/>
                <w:sz w:val="24"/>
                <w:szCs w:val="24"/>
              </w:rPr>
              <w:t xml:space="preserve">inferior a 360 dias. Cabe esclarecer que as 3 avaliações terão que ser efetuadas. </w:t>
            </w:r>
          </w:p>
          <w:p w14:paraId="3F02C0F2" w14:textId="25DF90C8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 xml:space="preserve">Caso a EFPC já tenha realizado 2 avaliações do imóvel a ser alienado e </w:t>
            </w:r>
            <w:r w:rsidRPr="00FB4FAB">
              <w:rPr>
                <w:rFonts w:ascii="Calibri" w:hAnsi="Calibri" w:cs="Calibri"/>
                <w:sz w:val="24"/>
                <w:szCs w:val="24"/>
              </w:rPr>
              <w:lastRenderedPageBreak/>
              <w:t xml:space="preserve">estas </w:t>
            </w:r>
            <w:r>
              <w:rPr>
                <w:rFonts w:ascii="Calibri" w:hAnsi="Calibri" w:cs="Calibri"/>
                <w:sz w:val="24"/>
                <w:szCs w:val="24"/>
              </w:rPr>
              <w:t>tenham sido elaboradas no</w:t>
            </w:r>
            <w:r w:rsidRPr="00FB4FAB">
              <w:rPr>
                <w:rFonts w:ascii="Calibri" w:hAnsi="Calibri" w:cs="Calibri"/>
                <w:sz w:val="24"/>
                <w:szCs w:val="24"/>
              </w:rPr>
              <w:t xml:space="preserve"> prazo de até 360 dias, teria que realizar apenas mais uma.</w:t>
            </w:r>
          </w:p>
          <w:p w14:paraId="67A5EAF1" w14:textId="636652A3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4A890A3C" w14:textId="77777777" w:rsidR="00EE3724" w:rsidRDefault="003C40C5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lastRenderedPageBreak/>
              <w:t>Inciso VII do art. 4º do Decreto nº 10.411/2020.</w:t>
            </w:r>
          </w:p>
          <w:p w14:paraId="59C51F31" w14:textId="77777777" w:rsidR="004A3036" w:rsidRDefault="004A3036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  <w:p w14:paraId="0ABC9F51" w14:textId="0EF16210" w:rsidR="004A3036" w:rsidRPr="00FB4FAB" w:rsidRDefault="004A3036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 xml:space="preserve">A dispensa de AIR </w:t>
            </w:r>
            <w:r w:rsidR="0042550C">
              <w:rPr>
                <w:rFonts w:ascii="Calibri" w:hAnsi="Calibri" w:cs="Calibri"/>
                <w:sz w:val="24"/>
                <w:szCs w:val="24"/>
              </w:rPr>
              <w:t xml:space="preserve">está baseada na </w:t>
            </w:r>
            <w:r w:rsidR="001A3084">
              <w:rPr>
                <w:rFonts w:ascii="Calibri" w:hAnsi="Calibri" w:cs="Calibri"/>
                <w:sz w:val="24"/>
                <w:szCs w:val="24"/>
              </w:rPr>
              <w:t xml:space="preserve">redução de </w:t>
            </w:r>
            <w:r w:rsidR="001A3084" w:rsidRPr="001A3084">
              <w:rPr>
                <w:rFonts w:ascii="Calibri" w:hAnsi="Calibri" w:cs="Calibri"/>
                <w:sz w:val="24"/>
                <w:szCs w:val="24"/>
              </w:rPr>
              <w:t xml:space="preserve">exigências, obrigações, restrições, requerimentos ou especificações com o objetivo </w:t>
            </w:r>
            <w:r w:rsidR="001A3084" w:rsidRPr="001A3084">
              <w:rPr>
                <w:rFonts w:ascii="Calibri" w:hAnsi="Calibri" w:cs="Calibri"/>
                <w:sz w:val="24"/>
                <w:szCs w:val="24"/>
              </w:rPr>
              <w:lastRenderedPageBreak/>
              <w:t>de diminuir os custos regulatórios</w:t>
            </w:r>
            <w:r w:rsidR="001A3084">
              <w:rPr>
                <w:rFonts w:ascii="Calibri" w:hAnsi="Calibri" w:cs="Calibri"/>
                <w:sz w:val="24"/>
                <w:szCs w:val="24"/>
              </w:rPr>
              <w:t xml:space="preserve">, </w:t>
            </w:r>
            <w:r w:rsidR="00DD1A79">
              <w:rPr>
                <w:rFonts w:ascii="Calibri" w:hAnsi="Calibri" w:cs="Calibri"/>
                <w:sz w:val="24"/>
                <w:szCs w:val="24"/>
              </w:rPr>
              <w:t>pois trouxe o</w:t>
            </w:r>
            <w:r w:rsidR="00117326">
              <w:rPr>
                <w:rFonts w:ascii="Calibri" w:hAnsi="Calibri" w:cs="Calibri"/>
                <w:sz w:val="24"/>
                <w:szCs w:val="24"/>
              </w:rPr>
              <w:t xml:space="preserve"> entendimento</w:t>
            </w:r>
            <w:r w:rsidR="00BB161C">
              <w:rPr>
                <w:rFonts w:ascii="Calibri" w:hAnsi="Calibri" w:cs="Calibri"/>
                <w:sz w:val="24"/>
                <w:szCs w:val="24"/>
              </w:rPr>
              <w:t xml:space="preserve"> de </w:t>
            </w:r>
            <w:r w:rsidR="00DD1A79">
              <w:rPr>
                <w:rFonts w:ascii="Calibri" w:hAnsi="Calibri" w:cs="Calibri"/>
                <w:sz w:val="24"/>
                <w:szCs w:val="24"/>
              </w:rPr>
              <w:t xml:space="preserve">que </w:t>
            </w:r>
            <w:r w:rsidR="00BB161C">
              <w:rPr>
                <w:rFonts w:ascii="Calibri" w:hAnsi="Calibri" w:cs="Calibri"/>
                <w:sz w:val="24"/>
                <w:szCs w:val="24"/>
              </w:rPr>
              <w:t>avaliações ou reavaliações</w:t>
            </w:r>
            <w:r w:rsidR="00DD1A79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r w:rsidR="00A2762A">
              <w:rPr>
                <w:rFonts w:ascii="Calibri" w:hAnsi="Calibri" w:cs="Calibri"/>
                <w:sz w:val="24"/>
                <w:szCs w:val="24"/>
              </w:rPr>
              <w:t xml:space="preserve">do imóvel a ser alienado </w:t>
            </w:r>
            <w:r w:rsidR="00DD1A79">
              <w:rPr>
                <w:rFonts w:ascii="Calibri" w:hAnsi="Calibri" w:cs="Calibri"/>
                <w:sz w:val="24"/>
                <w:szCs w:val="24"/>
              </w:rPr>
              <w:t xml:space="preserve">realizadas </w:t>
            </w:r>
            <w:r w:rsidR="00561205">
              <w:rPr>
                <w:rFonts w:ascii="Calibri" w:hAnsi="Calibri" w:cs="Calibri"/>
                <w:sz w:val="24"/>
                <w:szCs w:val="24"/>
              </w:rPr>
              <w:t xml:space="preserve">em prazo de até 360 dias </w:t>
            </w:r>
            <w:r w:rsidR="00D24477">
              <w:rPr>
                <w:rFonts w:ascii="Calibri" w:hAnsi="Calibri" w:cs="Calibri"/>
                <w:sz w:val="24"/>
                <w:szCs w:val="24"/>
              </w:rPr>
              <w:t xml:space="preserve">serão aceitas para efeito do disposto no inciso VII do artigo </w:t>
            </w:r>
            <w:r w:rsidR="00E03F38">
              <w:rPr>
                <w:rFonts w:ascii="Calibri" w:hAnsi="Calibri" w:cs="Calibri"/>
                <w:sz w:val="24"/>
                <w:szCs w:val="24"/>
              </w:rPr>
              <w:t>197.</w:t>
            </w:r>
          </w:p>
        </w:tc>
      </w:tr>
      <w:tr w:rsidR="009A2B7D" w:rsidRPr="00FB4FAB" w14:paraId="6712BB5D" w14:textId="77777777" w:rsidTr="00EE3724">
        <w:trPr>
          <w:trHeight w:val="300"/>
        </w:trPr>
        <w:tc>
          <w:tcPr>
            <w:tcW w:w="3903" w:type="dxa"/>
          </w:tcPr>
          <w:p w14:paraId="73A77D86" w14:textId="722AD5A2" w:rsidR="009A2B7D" w:rsidRPr="00FB4FAB" w:rsidRDefault="009A2B7D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lastRenderedPageBreak/>
              <w:t>...</w:t>
            </w:r>
          </w:p>
        </w:tc>
        <w:tc>
          <w:tcPr>
            <w:tcW w:w="3886" w:type="dxa"/>
          </w:tcPr>
          <w:p w14:paraId="7B87782F" w14:textId="65336081" w:rsidR="009A2B7D" w:rsidRPr="009A2B7D" w:rsidRDefault="009A2B7D" w:rsidP="009A2B7D">
            <w:pPr>
              <w:spacing w:after="20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9A2B7D">
              <w:rPr>
                <w:rFonts w:ascii="Calibri" w:hAnsi="Calibri" w:cs="Calibri"/>
                <w:sz w:val="24"/>
                <w:szCs w:val="24"/>
              </w:rPr>
              <w:t>...</w:t>
            </w:r>
          </w:p>
        </w:tc>
        <w:tc>
          <w:tcPr>
            <w:tcW w:w="4116" w:type="dxa"/>
          </w:tcPr>
          <w:p w14:paraId="171AA2AE" w14:textId="77777777" w:rsidR="009A2B7D" w:rsidRPr="00FB4FAB" w:rsidRDefault="009A2B7D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73DFAD92" w14:textId="77777777" w:rsidR="009A2B7D" w:rsidRDefault="009A2B7D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47178A" w:rsidRPr="00FB4FAB" w14:paraId="0196901B" w14:textId="77777777" w:rsidTr="00EE3724">
        <w:trPr>
          <w:trHeight w:val="300"/>
        </w:trPr>
        <w:tc>
          <w:tcPr>
            <w:tcW w:w="3903" w:type="dxa"/>
          </w:tcPr>
          <w:p w14:paraId="3F710BD4" w14:textId="77777777" w:rsidR="00A34B6E" w:rsidRPr="00A34B6E" w:rsidRDefault="00A34B6E" w:rsidP="00A34B6E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A34B6E">
              <w:rPr>
                <w:rFonts w:ascii="Calibri" w:hAnsi="Calibri" w:cs="Calibri"/>
                <w:b/>
                <w:bCs/>
                <w:sz w:val="24"/>
                <w:szCs w:val="24"/>
              </w:rPr>
              <w:t>Seção V</w:t>
            </w:r>
          </w:p>
          <w:p w14:paraId="6EDF8919" w14:textId="77777777" w:rsidR="00A34B6E" w:rsidRPr="00A34B6E" w:rsidRDefault="00A34B6E" w:rsidP="00A34B6E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A34B6E">
              <w:rPr>
                <w:rFonts w:ascii="Calibri" w:hAnsi="Calibri" w:cs="Calibri"/>
                <w:b/>
                <w:bCs/>
                <w:sz w:val="24"/>
                <w:szCs w:val="24"/>
              </w:rPr>
              <w:t>Registros Contábeis do Imobilizado e do Intangível</w:t>
            </w:r>
          </w:p>
          <w:p w14:paraId="6E3E2FE5" w14:textId="6F04D998" w:rsidR="0047178A" w:rsidRPr="00FB4FAB" w:rsidRDefault="0047178A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513FC903" w14:textId="77777777" w:rsidR="00A34B6E" w:rsidRPr="00A34B6E" w:rsidRDefault="00A34B6E" w:rsidP="00A34B6E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A34B6E">
              <w:rPr>
                <w:rFonts w:ascii="Calibri" w:hAnsi="Calibri" w:cs="Calibri"/>
                <w:b/>
                <w:bCs/>
                <w:sz w:val="24"/>
                <w:szCs w:val="24"/>
              </w:rPr>
              <w:t>Seção V</w:t>
            </w:r>
          </w:p>
          <w:p w14:paraId="62C047D8" w14:textId="71076DA4" w:rsidR="0047178A" w:rsidRPr="007B093E" w:rsidRDefault="00A34B6E" w:rsidP="009A2B7D">
            <w:pPr>
              <w:jc w:val="center"/>
              <w:rPr>
                <w:rFonts w:ascii="Calibri" w:hAnsi="Calibri" w:cs="Calibri"/>
                <w:color w:val="00B050"/>
                <w:sz w:val="24"/>
                <w:szCs w:val="24"/>
              </w:rPr>
            </w:pPr>
            <w:r w:rsidRPr="00A34B6E">
              <w:rPr>
                <w:rFonts w:ascii="Calibri" w:hAnsi="Calibri" w:cs="Calibri"/>
                <w:b/>
                <w:bCs/>
                <w:sz w:val="24"/>
                <w:szCs w:val="24"/>
              </w:rPr>
              <w:t>Registros Contábeis do Imobilizado e do Intangível</w:t>
            </w:r>
          </w:p>
        </w:tc>
        <w:tc>
          <w:tcPr>
            <w:tcW w:w="4116" w:type="dxa"/>
          </w:tcPr>
          <w:p w14:paraId="059119CA" w14:textId="466A57EE" w:rsidR="0047178A" w:rsidRPr="007B093E" w:rsidRDefault="0047178A" w:rsidP="00C51BB7">
            <w:pPr>
              <w:spacing w:line="240" w:lineRule="auto"/>
              <w:jc w:val="both"/>
              <w:rPr>
                <w:rFonts w:ascii="Calibri" w:hAnsi="Calibri" w:cs="Calibri"/>
                <w:color w:val="00B050"/>
                <w:sz w:val="24"/>
                <w:szCs w:val="24"/>
              </w:rPr>
            </w:pPr>
            <w:r w:rsidRPr="007B093E">
              <w:rPr>
                <w:rFonts w:ascii="Calibri" w:hAnsi="Calibri" w:cs="Calibri"/>
                <w:color w:val="00B050"/>
                <w:sz w:val="24"/>
                <w:szCs w:val="24"/>
              </w:rPr>
              <w:t>Inclusão de Artigo</w:t>
            </w:r>
          </w:p>
        </w:tc>
        <w:tc>
          <w:tcPr>
            <w:tcW w:w="3222" w:type="dxa"/>
          </w:tcPr>
          <w:p w14:paraId="2A971893" w14:textId="77777777" w:rsidR="0047178A" w:rsidRDefault="0047178A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EE3724" w:rsidRPr="00FB4FAB" w14:paraId="5BC16961" w14:textId="678F4339" w:rsidTr="00EE3724">
        <w:trPr>
          <w:trHeight w:val="300"/>
        </w:trPr>
        <w:tc>
          <w:tcPr>
            <w:tcW w:w="3903" w:type="dxa"/>
          </w:tcPr>
          <w:p w14:paraId="2F1F9524" w14:textId="4AE798A8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3BE2E71B" w14:textId="32582219" w:rsidR="00EE3724" w:rsidRDefault="00057295" w:rsidP="00C51BB7">
            <w:pPr>
              <w:tabs>
                <w:tab w:val="left" w:pos="0"/>
              </w:tabs>
              <w:spacing w:line="240" w:lineRule="auto"/>
              <w:jc w:val="both"/>
              <w:rPr>
                <w:rFonts w:ascii="Calibri" w:hAnsi="Calibri" w:cs="Calibri"/>
                <w:color w:val="00B050"/>
                <w:sz w:val="24"/>
                <w:szCs w:val="24"/>
              </w:rPr>
            </w:pPr>
            <w:r w:rsidRPr="00057295">
              <w:rPr>
                <w:rFonts w:ascii="Calibri" w:hAnsi="Calibri" w:cs="Calibri"/>
                <w:color w:val="00B050"/>
                <w:sz w:val="24"/>
                <w:szCs w:val="24"/>
              </w:rPr>
              <w:t xml:space="preserve">Art. 206-A. Os imóveis adquiridos para uso próprio com recursos do fundo administrativo do plano de gestão administrativa, destinados exclusivamente à instalação </w:t>
            </w:r>
            <w:r w:rsidR="00716457">
              <w:rPr>
                <w:rFonts w:ascii="Calibri" w:hAnsi="Calibri" w:cs="Calibri"/>
                <w:color w:val="00B050"/>
                <w:sz w:val="24"/>
                <w:szCs w:val="24"/>
              </w:rPr>
              <w:t xml:space="preserve">e manutenção </w:t>
            </w:r>
            <w:r w:rsidRPr="00057295">
              <w:rPr>
                <w:rFonts w:ascii="Calibri" w:hAnsi="Calibri" w:cs="Calibri"/>
                <w:color w:val="00B050"/>
                <w:sz w:val="24"/>
                <w:szCs w:val="24"/>
              </w:rPr>
              <w:t>da sede da entidade e utilizados para fins administrativos, devem ser registrados no Ativo Imobilizado.</w:t>
            </w:r>
          </w:p>
          <w:p w14:paraId="51A94820" w14:textId="77777777" w:rsidR="00A303F8" w:rsidRDefault="00A303F8" w:rsidP="00C51BB7">
            <w:pPr>
              <w:tabs>
                <w:tab w:val="left" w:pos="0"/>
              </w:tabs>
              <w:spacing w:line="240" w:lineRule="auto"/>
              <w:jc w:val="both"/>
              <w:rPr>
                <w:rFonts w:ascii="Calibri" w:hAnsi="Calibri" w:cs="Calibri"/>
                <w:color w:val="00B050"/>
                <w:sz w:val="24"/>
                <w:szCs w:val="24"/>
              </w:rPr>
            </w:pPr>
          </w:p>
          <w:p w14:paraId="69A95653" w14:textId="41FB5D77" w:rsidR="00A303F8" w:rsidRPr="008D6FFB" w:rsidRDefault="00A303F8" w:rsidP="00C51BB7">
            <w:pPr>
              <w:tabs>
                <w:tab w:val="left" w:pos="0"/>
              </w:tabs>
              <w:spacing w:line="240" w:lineRule="auto"/>
              <w:jc w:val="both"/>
              <w:rPr>
                <w:rFonts w:ascii="Calibri" w:hAnsi="Calibri" w:cs="Calibri"/>
                <w:color w:val="00B050"/>
                <w:sz w:val="24"/>
                <w:szCs w:val="24"/>
              </w:rPr>
            </w:pPr>
          </w:p>
        </w:tc>
        <w:tc>
          <w:tcPr>
            <w:tcW w:w="4116" w:type="dxa"/>
          </w:tcPr>
          <w:p w14:paraId="5836A9FD" w14:textId="25799C74" w:rsidR="00E75FD1" w:rsidRPr="00233ABA" w:rsidRDefault="00E75FD1" w:rsidP="00C51BB7">
            <w:pPr>
              <w:spacing w:line="240" w:lineRule="auto"/>
              <w:jc w:val="both"/>
              <w:rPr>
                <w:rFonts w:ascii="Calibri" w:hAnsi="Calibri" w:cs="Calibri"/>
                <w:color w:val="00B050"/>
                <w:sz w:val="24"/>
                <w:szCs w:val="24"/>
              </w:rPr>
            </w:pPr>
            <w:r w:rsidRPr="00233ABA">
              <w:rPr>
                <w:rFonts w:ascii="Calibri" w:hAnsi="Calibri" w:cs="Calibri"/>
                <w:color w:val="00B050"/>
                <w:sz w:val="24"/>
                <w:szCs w:val="24"/>
              </w:rPr>
              <w:t>A inclusão do art. 206-A na Seção V - Registro Contábil do Imobilizado e Intangível do Capítulo V da Resolução Previc nº 23, de 2023, tem o objetivo de evidenciar que as aquisições de imóveis com recursos do fundo administrativo do PGA devem ser registradas no Ativo Imobilizado e que somente podem ocorrer para imóveis de uso próprio, referentes a sede da entidade.</w:t>
            </w:r>
          </w:p>
          <w:p w14:paraId="027E31AB" w14:textId="24A7EAB8" w:rsidR="00CD63B7" w:rsidRPr="00233ABA" w:rsidRDefault="00CD63B7" w:rsidP="00C51BB7">
            <w:pPr>
              <w:spacing w:line="240" w:lineRule="auto"/>
              <w:jc w:val="both"/>
              <w:rPr>
                <w:rFonts w:ascii="Calibri" w:hAnsi="Calibri" w:cs="Calibri"/>
                <w:color w:val="00B050"/>
                <w:sz w:val="24"/>
                <w:szCs w:val="24"/>
              </w:rPr>
            </w:pPr>
            <w:r w:rsidRPr="00233ABA">
              <w:rPr>
                <w:rFonts w:ascii="Calibri" w:hAnsi="Calibri" w:cs="Calibri"/>
                <w:color w:val="00B050"/>
                <w:sz w:val="24"/>
                <w:szCs w:val="24"/>
              </w:rPr>
              <w:t xml:space="preserve">O fundo administrativo é constituído pela diferença apurada entre as fontes de custeio administrativo e as despesas da gestão administrativa, destinado a </w:t>
            </w:r>
            <w:r w:rsidRPr="00233ABA">
              <w:rPr>
                <w:rFonts w:ascii="Calibri" w:hAnsi="Calibri" w:cs="Calibri"/>
                <w:color w:val="00B050"/>
                <w:sz w:val="24"/>
                <w:szCs w:val="24"/>
              </w:rPr>
              <w:lastRenderedPageBreak/>
              <w:t>cobertura de gastos para a administração de planos de benefícios, conforme definição da constante do inciso V do art. 2º da Resolução CNPC nº 62, de 9 de dezembro de 2024.</w:t>
            </w:r>
          </w:p>
          <w:p w14:paraId="4A74CF6A" w14:textId="5BADCC48" w:rsidR="00CC4718" w:rsidRPr="00233ABA" w:rsidRDefault="00CC4718" w:rsidP="00C51BB7">
            <w:pPr>
              <w:spacing w:line="240" w:lineRule="auto"/>
              <w:jc w:val="both"/>
              <w:rPr>
                <w:rFonts w:ascii="Calibri" w:hAnsi="Calibri" w:cs="Calibri"/>
                <w:color w:val="00B050"/>
                <w:sz w:val="24"/>
                <w:szCs w:val="24"/>
              </w:rPr>
            </w:pPr>
            <w:r w:rsidRPr="00233ABA">
              <w:rPr>
                <w:rFonts w:ascii="Calibri" w:hAnsi="Calibri" w:cs="Calibri"/>
                <w:color w:val="00B050"/>
                <w:sz w:val="24"/>
                <w:szCs w:val="24"/>
              </w:rPr>
              <w:t>Assim entende-se que os recursos do fundo administrativo, não compõem os recursos disponíveis e nem de investimentos, indicado no citado art. 2º da Resolução CMN nº 4.994, de 2022, pois se referem a "sobras" para serem destinadas ao custeio administrativo da EFPC e não para finalid</w:t>
            </w:r>
            <w:r w:rsidR="00A41A0F" w:rsidRPr="00233ABA">
              <w:rPr>
                <w:rFonts w:ascii="Calibri" w:hAnsi="Calibri" w:cs="Calibri"/>
                <w:color w:val="00B050"/>
                <w:sz w:val="24"/>
                <w:szCs w:val="24"/>
              </w:rPr>
              <w:t>a</w:t>
            </w:r>
            <w:r w:rsidRPr="00233ABA">
              <w:rPr>
                <w:rFonts w:ascii="Calibri" w:hAnsi="Calibri" w:cs="Calibri"/>
                <w:color w:val="00B050"/>
                <w:sz w:val="24"/>
                <w:szCs w:val="24"/>
              </w:rPr>
              <w:t>de de renda com investimentos.</w:t>
            </w:r>
          </w:p>
          <w:p w14:paraId="741D7F53" w14:textId="73862E8A" w:rsidR="006E23F0" w:rsidRPr="00233ABA" w:rsidRDefault="006E23F0" w:rsidP="00C51BB7">
            <w:pPr>
              <w:spacing w:line="240" w:lineRule="auto"/>
              <w:jc w:val="both"/>
              <w:rPr>
                <w:rFonts w:ascii="Calibri" w:hAnsi="Calibri" w:cs="Calibri"/>
                <w:color w:val="00B050"/>
                <w:sz w:val="24"/>
                <w:szCs w:val="24"/>
              </w:rPr>
            </w:pPr>
            <w:r w:rsidRPr="00233ABA">
              <w:rPr>
                <w:rFonts w:ascii="Calibri" w:hAnsi="Calibri" w:cs="Calibri"/>
                <w:color w:val="00B050"/>
                <w:sz w:val="24"/>
                <w:szCs w:val="24"/>
              </w:rPr>
              <w:t>O fundo administrativo, por sua natureza e destinação, não se confunde com tais recursos, pois representa excedentes destinados ao custeio administrativo da entidade e não à geração de renda com investimentos. Entretanto, caso eventuais sobras do fundo administrativo sejam aplicados no mercado financeiro, tais aplicações passam a se enquadrar no conceito de investimento e, portanto, devem observar integralmente as disposições da Resolução CMN nº 4.994, de 2022.</w:t>
            </w:r>
          </w:p>
          <w:p w14:paraId="0ABC7CF7" w14:textId="6F52229F" w:rsidR="006E23F0" w:rsidRPr="00233ABA" w:rsidRDefault="00FE1E8E" w:rsidP="00C51BB7">
            <w:pPr>
              <w:spacing w:line="240" w:lineRule="auto"/>
              <w:jc w:val="both"/>
              <w:rPr>
                <w:rFonts w:ascii="Calibri" w:hAnsi="Calibri" w:cs="Calibri"/>
                <w:color w:val="00B050"/>
                <w:sz w:val="24"/>
                <w:szCs w:val="24"/>
              </w:rPr>
            </w:pPr>
            <w:r w:rsidRPr="00233ABA">
              <w:rPr>
                <w:rFonts w:ascii="Calibri" w:hAnsi="Calibri" w:cs="Calibri"/>
                <w:color w:val="00B050"/>
                <w:sz w:val="24"/>
                <w:szCs w:val="24"/>
              </w:rPr>
              <w:lastRenderedPageBreak/>
              <w:t>Além disso, sob a ótica contábil, a classificação de imóveis adquiridos por EFPC depende de sua destinação econômica, conforme os pronunciamentos técnicos emitidos pelo Conselho Federal de Contabilidade (CFC) e aplicáveis às entidades fechadas de previdência complementar.</w:t>
            </w:r>
          </w:p>
          <w:p w14:paraId="4AF1D3AB" w14:textId="54365FA9" w:rsidR="00FE1E8E" w:rsidRPr="00233ABA" w:rsidRDefault="00FE1E8E" w:rsidP="00C51BB7">
            <w:pPr>
              <w:spacing w:line="240" w:lineRule="auto"/>
              <w:jc w:val="both"/>
              <w:rPr>
                <w:rFonts w:ascii="Calibri" w:hAnsi="Calibri" w:cs="Calibri"/>
                <w:color w:val="00B050"/>
                <w:sz w:val="24"/>
                <w:szCs w:val="24"/>
              </w:rPr>
            </w:pPr>
            <w:r w:rsidRPr="00233ABA">
              <w:rPr>
                <w:rFonts w:ascii="Calibri" w:hAnsi="Calibri" w:cs="Calibri"/>
                <w:color w:val="00B050"/>
                <w:sz w:val="24"/>
                <w:szCs w:val="24"/>
              </w:rPr>
              <w:t>Nesse sentido, a NBC TG 27 (CPC 27/IAS 16 – Ativo Imobilizado) define o ativo imobilizado como o bem tangível mantido para uso na produção ou fornecimento de serviços ou para fins administrativos, com expectativa de utilização superior a um período. Assim, os imóveis destinados à sede da EFPC enquadram-se como ativo imobilizado, devendo ser reconhecidos e mensurados de acordo com os critérios previstos nessa norma.</w:t>
            </w:r>
          </w:p>
          <w:p w14:paraId="2905DA24" w14:textId="017D4EDB" w:rsidR="00FE1E8E" w:rsidRPr="00233ABA" w:rsidRDefault="00FE1E8E" w:rsidP="00C51BB7">
            <w:pPr>
              <w:spacing w:line="240" w:lineRule="auto"/>
              <w:jc w:val="both"/>
              <w:rPr>
                <w:rFonts w:ascii="Calibri" w:hAnsi="Calibri" w:cs="Calibri"/>
                <w:color w:val="00B050"/>
                <w:sz w:val="24"/>
                <w:szCs w:val="24"/>
              </w:rPr>
            </w:pPr>
            <w:r w:rsidRPr="00233ABA">
              <w:rPr>
                <w:rFonts w:ascii="Calibri" w:hAnsi="Calibri" w:cs="Calibri"/>
                <w:color w:val="00B050"/>
                <w:sz w:val="24"/>
                <w:szCs w:val="24"/>
              </w:rPr>
              <w:t xml:space="preserve">Por sua vez, a NBC TG 28 (CPC 28/IAS 40 – Propriedade para Investimento) conceitua a propriedade para investimento como aquela mantida com objetivo de obtenção de aluguel ou valorização do capital, distinguindo-a do imobilizado. Embora essa categoria exista do ponto de vista contábil, a regulação específica aplicável às EFPC, </w:t>
            </w:r>
            <w:r w:rsidRPr="00233ABA">
              <w:rPr>
                <w:rFonts w:ascii="Calibri" w:hAnsi="Calibri" w:cs="Calibri"/>
                <w:color w:val="00B050"/>
                <w:sz w:val="24"/>
                <w:szCs w:val="24"/>
              </w:rPr>
              <w:lastRenderedPageBreak/>
              <w:t>em especial a Resolução CMN nº 4.994/2022, alterada pela Resolução CMN nº 5.202/2025, veda a aquisição de imóveis para investimento, restringindo sua utilização como aplicação financeira no âmbito do sistema.</w:t>
            </w:r>
          </w:p>
          <w:p w14:paraId="20513E0D" w14:textId="5F1CFD36" w:rsidR="00233ABA" w:rsidRPr="00233ABA" w:rsidRDefault="00233ABA" w:rsidP="00C51BB7">
            <w:pPr>
              <w:spacing w:line="240" w:lineRule="auto"/>
              <w:jc w:val="both"/>
              <w:rPr>
                <w:rFonts w:ascii="Calibri" w:hAnsi="Calibri" w:cs="Calibri"/>
                <w:color w:val="00B050"/>
                <w:sz w:val="24"/>
                <w:szCs w:val="24"/>
              </w:rPr>
            </w:pPr>
            <w:r w:rsidRPr="00233ABA">
              <w:rPr>
                <w:rFonts w:ascii="Calibri" w:hAnsi="Calibri" w:cs="Calibri"/>
                <w:color w:val="00B050"/>
                <w:sz w:val="24"/>
                <w:szCs w:val="24"/>
              </w:rPr>
              <w:t>Dessa forma, a fundamentação contábil e regulatória converge para um ponto inequívoco: é vedada qualquer aquisição de imóveis pelas EFPC com finalidade de investimento, nos termos da Resolução CMN nº 4.994/2022. Contudo, revela-se legítima e plenamente compatível com a boa prática contábil</w:t>
            </w:r>
            <w:r w:rsidR="003F64D0">
              <w:rPr>
                <w:rFonts w:ascii="Calibri" w:hAnsi="Calibri" w:cs="Calibri"/>
                <w:color w:val="00B050"/>
                <w:sz w:val="24"/>
                <w:szCs w:val="24"/>
              </w:rPr>
              <w:t xml:space="preserve"> (CPC 27)</w:t>
            </w:r>
            <w:r w:rsidRPr="00233ABA">
              <w:rPr>
                <w:rFonts w:ascii="Calibri" w:hAnsi="Calibri" w:cs="Calibri"/>
                <w:color w:val="00B050"/>
                <w:sz w:val="24"/>
                <w:szCs w:val="24"/>
              </w:rPr>
              <w:t xml:space="preserve"> e regulatória a aquisição de imóveis destinados ao uso próprio, quando realizada com recursos do fundo administrativo do PGA, devendo tais bens ser reconhecidos e mantidos no ativo imobilizado.</w:t>
            </w:r>
          </w:p>
          <w:p w14:paraId="20619C99" w14:textId="4DCC21F7" w:rsidR="00EE3724" w:rsidRPr="00233ABA" w:rsidRDefault="00A05F3A" w:rsidP="00C51BB7">
            <w:pPr>
              <w:spacing w:line="240" w:lineRule="auto"/>
              <w:jc w:val="both"/>
              <w:rPr>
                <w:rFonts w:ascii="Calibri" w:hAnsi="Calibri" w:cs="Calibri"/>
                <w:color w:val="00B050"/>
                <w:sz w:val="24"/>
                <w:szCs w:val="24"/>
              </w:rPr>
            </w:pPr>
            <w:r w:rsidRPr="00233ABA">
              <w:rPr>
                <w:rFonts w:ascii="Calibri" w:hAnsi="Calibri" w:cs="Calibri"/>
                <w:color w:val="00B050"/>
                <w:sz w:val="24"/>
                <w:szCs w:val="24"/>
              </w:rPr>
              <w:t xml:space="preserve"> </w:t>
            </w:r>
          </w:p>
        </w:tc>
        <w:tc>
          <w:tcPr>
            <w:tcW w:w="3222" w:type="dxa"/>
          </w:tcPr>
          <w:p w14:paraId="325E4825" w14:textId="77777777" w:rsidR="00EE3724" w:rsidRPr="00A5224B" w:rsidRDefault="00DA0B3C" w:rsidP="00C51BB7">
            <w:pPr>
              <w:spacing w:line="240" w:lineRule="auto"/>
              <w:jc w:val="both"/>
              <w:rPr>
                <w:rFonts w:ascii="Calibri" w:hAnsi="Calibri" w:cs="Calibri"/>
                <w:color w:val="00B050"/>
                <w:sz w:val="24"/>
                <w:szCs w:val="24"/>
              </w:rPr>
            </w:pPr>
            <w:r w:rsidRPr="00A5224B">
              <w:rPr>
                <w:rFonts w:ascii="Calibri" w:hAnsi="Calibri" w:cs="Calibri"/>
                <w:color w:val="00B050"/>
                <w:sz w:val="24"/>
                <w:szCs w:val="24"/>
              </w:rPr>
              <w:lastRenderedPageBreak/>
              <w:t>Inciso II do art. 4º do Decreto nº 10.411/2020.</w:t>
            </w:r>
          </w:p>
          <w:p w14:paraId="0BCD4B01" w14:textId="77777777" w:rsidR="00DA0B3C" w:rsidRPr="00A5224B" w:rsidRDefault="00DA0B3C" w:rsidP="00C51BB7">
            <w:pPr>
              <w:spacing w:line="240" w:lineRule="auto"/>
              <w:jc w:val="both"/>
              <w:rPr>
                <w:rFonts w:ascii="Calibri" w:hAnsi="Calibri" w:cs="Calibri"/>
                <w:color w:val="00B050"/>
                <w:sz w:val="24"/>
                <w:szCs w:val="24"/>
              </w:rPr>
            </w:pPr>
          </w:p>
          <w:p w14:paraId="7E12D4DE" w14:textId="24D2C618" w:rsidR="00DA0B3C" w:rsidRPr="00FB4FAB" w:rsidRDefault="00DA0B3C" w:rsidP="00322408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5224B">
              <w:rPr>
                <w:rFonts w:ascii="Calibri" w:hAnsi="Calibri" w:cs="Calibri"/>
                <w:color w:val="00B050"/>
                <w:sz w:val="24"/>
                <w:szCs w:val="24"/>
              </w:rPr>
              <w:t xml:space="preserve">A dispensa de AIR se baseia na necessidade de disciplinar direitos ou obrigações definidos em norma hierarquicamente superior, no caso a Resolução CNPC nº </w:t>
            </w:r>
            <w:r w:rsidR="00695517" w:rsidRPr="00A5224B">
              <w:rPr>
                <w:rFonts w:ascii="Calibri" w:hAnsi="Calibri" w:cs="Calibri"/>
                <w:color w:val="00B050"/>
                <w:sz w:val="24"/>
                <w:szCs w:val="24"/>
              </w:rPr>
              <w:t>43</w:t>
            </w:r>
            <w:r w:rsidRPr="00A5224B">
              <w:rPr>
                <w:rFonts w:ascii="Calibri" w:hAnsi="Calibri" w:cs="Calibri"/>
                <w:color w:val="00B050"/>
                <w:sz w:val="24"/>
                <w:szCs w:val="24"/>
              </w:rPr>
              <w:t>, de 2024</w:t>
            </w:r>
            <w:r w:rsidR="00695517" w:rsidRPr="00A5224B">
              <w:rPr>
                <w:rFonts w:ascii="Calibri" w:hAnsi="Calibri" w:cs="Calibri"/>
                <w:color w:val="00B050"/>
                <w:sz w:val="24"/>
                <w:szCs w:val="24"/>
              </w:rPr>
              <w:t xml:space="preserve">, </w:t>
            </w:r>
            <w:r w:rsidR="00450ECF" w:rsidRPr="00A5224B">
              <w:rPr>
                <w:rFonts w:ascii="Calibri" w:hAnsi="Calibri" w:cs="Calibri"/>
                <w:color w:val="00B050"/>
                <w:sz w:val="24"/>
                <w:szCs w:val="24"/>
              </w:rPr>
              <w:t xml:space="preserve">que </w:t>
            </w:r>
            <w:r w:rsidR="00185C69" w:rsidRPr="00A5224B">
              <w:rPr>
                <w:rFonts w:ascii="Calibri" w:hAnsi="Calibri" w:cs="Calibri"/>
                <w:color w:val="00B050"/>
                <w:sz w:val="24"/>
                <w:szCs w:val="24"/>
              </w:rPr>
              <w:t>dispõe sobre os procedimentos contábeis das EFPC</w:t>
            </w:r>
            <w:r w:rsidR="000E4E21">
              <w:rPr>
                <w:rFonts w:ascii="Calibri" w:hAnsi="Calibri" w:cs="Calibri"/>
                <w:color w:val="00B050"/>
                <w:sz w:val="24"/>
                <w:szCs w:val="24"/>
              </w:rPr>
              <w:t>.</w:t>
            </w:r>
          </w:p>
        </w:tc>
      </w:tr>
      <w:tr w:rsidR="00EC32EB" w:rsidRPr="00FB4FAB" w14:paraId="27A9CF3F" w14:textId="77777777" w:rsidTr="00EE3724">
        <w:trPr>
          <w:trHeight w:val="300"/>
        </w:trPr>
        <w:tc>
          <w:tcPr>
            <w:tcW w:w="3903" w:type="dxa"/>
          </w:tcPr>
          <w:p w14:paraId="792C1F66" w14:textId="77777777" w:rsidR="00EC32EB" w:rsidRPr="00FB4FAB" w:rsidRDefault="00EC32EB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2CBD7F12" w14:textId="31B5C5CE" w:rsidR="00EC32EB" w:rsidRPr="00057295" w:rsidRDefault="00A303F8" w:rsidP="00C51BB7">
            <w:pPr>
              <w:tabs>
                <w:tab w:val="left" w:pos="0"/>
              </w:tabs>
              <w:spacing w:line="240" w:lineRule="auto"/>
              <w:jc w:val="both"/>
              <w:rPr>
                <w:rFonts w:ascii="Calibri" w:hAnsi="Calibri" w:cs="Calibri"/>
                <w:color w:val="00B050"/>
                <w:sz w:val="24"/>
                <w:szCs w:val="24"/>
              </w:rPr>
            </w:pPr>
            <w:r w:rsidRPr="00A303F8">
              <w:rPr>
                <w:rFonts w:ascii="Calibri" w:hAnsi="Calibri" w:cs="Calibri"/>
                <w:color w:val="00B050"/>
                <w:sz w:val="24"/>
                <w:szCs w:val="24"/>
              </w:rPr>
              <w:t xml:space="preserve">Parágrafo único. É vedada, a qualquer tempo, a reclassificação dos imóveis de que trata o caput deste artigo para a categoria de investimento, abrangendo integralmente o bem ou quaisquer de suas partes, tais como andares, salas ou frações ideais, em </w:t>
            </w:r>
            <w:r w:rsidRPr="00A303F8">
              <w:rPr>
                <w:rFonts w:ascii="Calibri" w:hAnsi="Calibri" w:cs="Calibri"/>
                <w:color w:val="00B050"/>
                <w:sz w:val="24"/>
                <w:szCs w:val="24"/>
              </w:rPr>
              <w:lastRenderedPageBreak/>
              <w:t>conformidade com a Resolução do CMN vigente.</w:t>
            </w:r>
          </w:p>
        </w:tc>
        <w:tc>
          <w:tcPr>
            <w:tcW w:w="4116" w:type="dxa"/>
          </w:tcPr>
          <w:p w14:paraId="7CC0A87B" w14:textId="1AF1D9BD" w:rsidR="00EC32EB" w:rsidRPr="00233ABA" w:rsidRDefault="003F64D0" w:rsidP="00C51BB7">
            <w:pPr>
              <w:spacing w:line="240" w:lineRule="auto"/>
              <w:jc w:val="both"/>
              <w:rPr>
                <w:rFonts w:ascii="Calibri" w:hAnsi="Calibri" w:cs="Calibri"/>
                <w:color w:val="00B050"/>
                <w:sz w:val="24"/>
                <w:szCs w:val="24"/>
              </w:rPr>
            </w:pPr>
            <w:r>
              <w:rPr>
                <w:rFonts w:ascii="Calibri" w:hAnsi="Calibri" w:cs="Calibri"/>
                <w:color w:val="00B050"/>
                <w:sz w:val="24"/>
                <w:szCs w:val="24"/>
              </w:rPr>
              <w:lastRenderedPageBreak/>
              <w:t>Idem item anterior</w:t>
            </w:r>
          </w:p>
        </w:tc>
        <w:tc>
          <w:tcPr>
            <w:tcW w:w="3222" w:type="dxa"/>
          </w:tcPr>
          <w:p w14:paraId="060C79D0" w14:textId="331E1143" w:rsidR="00EC32EB" w:rsidRPr="00FB4FAB" w:rsidRDefault="00A5224B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color w:val="00B050"/>
                <w:sz w:val="24"/>
                <w:szCs w:val="24"/>
              </w:rPr>
              <w:t>Idem item anterior</w:t>
            </w:r>
          </w:p>
        </w:tc>
      </w:tr>
      <w:tr w:rsidR="00A34B6E" w:rsidRPr="00FB4FAB" w14:paraId="02997A23" w14:textId="77777777" w:rsidTr="00EE3724">
        <w:trPr>
          <w:trHeight w:val="300"/>
        </w:trPr>
        <w:tc>
          <w:tcPr>
            <w:tcW w:w="3903" w:type="dxa"/>
          </w:tcPr>
          <w:p w14:paraId="7CCB1B28" w14:textId="77777777" w:rsidR="00A34B6E" w:rsidRDefault="00A34B6E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16DDB9BB" w14:textId="050320F6" w:rsidR="00A34B6E" w:rsidRPr="008D6FFB" w:rsidRDefault="007F23B5" w:rsidP="00C51BB7">
            <w:pPr>
              <w:tabs>
                <w:tab w:val="left" w:pos="0"/>
              </w:tabs>
              <w:spacing w:line="240" w:lineRule="auto"/>
              <w:jc w:val="both"/>
              <w:rPr>
                <w:rFonts w:ascii="Calibri" w:hAnsi="Calibri" w:cs="Calibri"/>
                <w:color w:val="00B050"/>
                <w:sz w:val="24"/>
                <w:szCs w:val="24"/>
              </w:rPr>
            </w:pPr>
            <w:r w:rsidRPr="007F23B5">
              <w:rPr>
                <w:rFonts w:ascii="Calibri" w:hAnsi="Calibri" w:cs="Calibri"/>
                <w:color w:val="00B050"/>
                <w:sz w:val="24"/>
                <w:szCs w:val="24"/>
              </w:rPr>
              <w:t>Art. 206-B.</w:t>
            </w:r>
            <w:r>
              <w:rPr>
                <w:rFonts w:ascii="Calibri" w:hAnsi="Calibri" w:cs="Calibri"/>
                <w:color w:val="00B050"/>
                <w:sz w:val="24"/>
                <w:szCs w:val="24"/>
              </w:rPr>
              <w:t xml:space="preserve">  </w:t>
            </w:r>
            <w:r w:rsidRPr="007F23B5">
              <w:rPr>
                <w:rFonts w:ascii="Calibri" w:hAnsi="Calibri" w:cs="Calibri"/>
                <w:color w:val="00B050"/>
                <w:sz w:val="24"/>
                <w:szCs w:val="24"/>
              </w:rPr>
              <w:t xml:space="preserve">A aquisição e alienação de imóveis de que trata o art. 206-A, devem apresentar, no mínimo, três laudos técnicos de avaliação prévios à aquisição ou à alienação do imóvel, elaborados de acordo com as normas expedidas pela Associação Brasileira de Normas Técnicas, contendo, no mínimo: </w:t>
            </w:r>
          </w:p>
        </w:tc>
        <w:tc>
          <w:tcPr>
            <w:tcW w:w="4116" w:type="dxa"/>
          </w:tcPr>
          <w:p w14:paraId="532AF97F" w14:textId="35039663" w:rsidR="00A34B6E" w:rsidRPr="00FB4FAB" w:rsidRDefault="00781825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81825">
              <w:rPr>
                <w:rFonts w:ascii="Calibri" w:hAnsi="Calibri" w:cs="Calibri"/>
                <w:color w:val="00B050"/>
                <w:sz w:val="24"/>
                <w:szCs w:val="24"/>
              </w:rPr>
              <w:t>A inclusão deste artigo tem o objetivo de definir os procedimentos que devem ser adotados pelas EFPC, no que se refere à aquisição e à alienação de imóveis registrados no Imobilizado. </w:t>
            </w:r>
          </w:p>
        </w:tc>
        <w:tc>
          <w:tcPr>
            <w:tcW w:w="3222" w:type="dxa"/>
          </w:tcPr>
          <w:p w14:paraId="32B270AD" w14:textId="03C16CA3" w:rsidR="00A34B6E" w:rsidRPr="00FB4FAB" w:rsidRDefault="00A5224B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color w:val="00B050"/>
                <w:sz w:val="24"/>
                <w:szCs w:val="24"/>
              </w:rPr>
              <w:t>Idem item anterior</w:t>
            </w:r>
          </w:p>
        </w:tc>
      </w:tr>
      <w:tr w:rsidR="00A34B6E" w:rsidRPr="00FB4FAB" w14:paraId="397E102D" w14:textId="77777777" w:rsidTr="00EE3724">
        <w:trPr>
          <w:trHeight w:val="300"/>
        </w:trPr>
        <w:tc>
          <w:tcPr>
            <w:tcW w:w="3903" w:type="dxa"/>
          </w:tcPr>
          <w:p w14:paraId="150BF805" w14:textId="77777777" w:rsidR="00A34B6E" w:rsidRDefault="00A34B6E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07369E8D" w14:textId="6A83D156" w:rsidR="00A34B6E" w:rsidRPr="008D6FFB" w:rsidRDefault="00C46DDF" w:rsidP="00C51BB7">
            <w:pPr>
              <w:tabs>
                <w:tab w:val="left" w:pos="0"/>
              </w:tabs>
              <w:spacing w:line="240" w:lineRule="auto"/>
              <w:jc w:val="both"/>
              <w:rPr>
                <w:rFonts w:ascii="Calibri" w:hAnsi="Calibri" w:cs="Calibri"/>
                <w:color w:val="00B050"/>
                <w:sz w:val="24"/>
                <w:szCs w:val="24"/>
              </w:rPr>
            </w:pPr>
            <w:r w:rsidRPr="008D6FFB">
              <w:rPr>
                <w:rFonts w:ascii="Calibri" w:hAnsi="Calibri" w:cs="Calibri"/>
                <w:color w:val="00B050"/>
                <w:sz w:val="24"/>
                <w:szCs w:val="24"/>
              </w:rPr>
              <w:t>a) identificação do imóv</w:t>
            </w:r>
            <w:r w:rsidR="00472B90" w:rsidRPr="008D6FFB">
              <w:rPr>
                <w:rFonts w:ascii="Calibri" w:hAnsi="Calibri" w:cs="Calibri"/>
                <w:color w:val="00B050"/>
                <w:sz w:val="24"/>
                <w:szCs w:val="24"/>
              </w:rPr>
              <w:t>e</w:t>
            </w:r>
            <w:r w:rsidR="002022AC" w:rsidRPr="008D6FFB">
              <w:rPr>
                <w:rFonts w:ascii="Calibri" w:hAnsi="Calibri" w:cs="Calibri"/>
                <w:color w:val="00B050"/>
                <w:sz w:val="24"/>
                <w:szCs w:val="24"/>
              </w:rPr>
              <w:t>l;</w:t>
            </w:r>
          </w:p>
        </w:tc>
        <w:tc>
          <w:tcPr>
            <w:tcW w:w="4116" w:type="dxa"/>
          </w:tcPr>
          <w:p w14:paraId="556D4CAE" w14:textId="77777777" w:rsidR="00A34B6E" w:rsidRPr="00FB4FAB" w:rsidRDefault="00A34B6E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5D2397A9" w14:textId="77777777" w:rsidR="00A34B6E" w:rsidRPr="00FB4FAB" w:rsidRDefault="00A34B6E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A34B6E" w:rsidRPr="00FB4FAB" w14:paraId="743B185F" w14:textId="77777777" w:rsidTr="00EE3724">
        <w:trPr>
          <w:trHeight w:val="300"/>
        </w:trPr>
        <w:tc>
          <w:tcPr>
            <w:tcW w:w="3903" w:type="dxa"/>
          </w:tcPr>
          <w:p w14:paraId="343F69C3" w14:textId="77777777" w:rsidR="00A34B6E" w:rsidRDefault="00A34B6E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7FC92864" w14:textId="609D600C" w:rsidR="00A34B6E" w:rsidRPr="008D6FFB" w:rsidRDefault="00472B90" w:rsidP="00C51BB7">
            <w:pPr>
              <w:tabs>
                <w:tab w:val="left" w:pos="0"/>
              </w:tabs>
              <w:spacing w:line="240" w:lineRule="auto"/>
              <w:jc w:val="both"/>
              <w:rPr>
                <w:rFonts w:ascii="Calibri" w:hAnsi="Calibri" w:cs="Calibri"/>
                <w:color w:val="00B050"/>
                <w:sz w:val="24"/>
                <w:szCs w:val="24"/>
              </w:rPr>
            </w:pPr>
            <w:r w:rsidRPr="008D6FFB">
              <w:rPr>
                <w:rFonts w:ascii="Calibri" w:hAnsi="Calibri" w:cs="Calibri"/>
                <w:color w:val="00B050"/>
                <w:sz w:val="24"/>
                <w:szCs w:val="24"/>
              </w:rPr>
              <w:t>b) informações detalhadas sobre tamanho, localização e tipo (comercial ou residencial);</w:t>
            </w:r>
          </w:p>
        </w:tc>
        <w:tc>
          <w:tcPr>
            <w:tcW w:w="4116" w:type="dxa"/>
          </w:tcPr>
          <w:p w14:paraId="631F7A43" w14:textId="77777777" w:rsidR="00A34B6E" w:rsidRPr="00FB4FAB" w:rsidRDefault="00A34B6E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49A258F2" w14:textId="77777777" w:rsidR="00A34B6E" w:rsidRPr="00FB4FAB" w:rsidRDefault="00A34B6E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46DDF" w:rsidRPr="00FB4FAB" w14:paraId="452483AA" w14:textId="77777777" w:rsidTr="00EE3724">
        <w:trPr>
          <w:trHeight w:val="300"/>
        </w:trPr>
        <w:tc>
          <w:tcPr>
            <w:tcW w:w="3903" w:type="dxa"/>
          </w:tcPr>
          <w:p w14:paraId="2D3DB345" w14:textId="77777777" w:rsidR="00C46DDF" w:rsidRDefault="00C46DDF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33132074" w14:textId="4647CE62" w:rsidR="00C46DDF" w:rsidRPr="008D6FFB" w:rsidRDefault="00F413D1" w:rsidP="00C51BB7">
            <w:pPr>
              <w:tabs>
                <w:tab w:val="left" w:pos="0"/>
              </w:tabs>
              <w:spacing w:line="240" w:lineRule="auto"/>
              <w:jc w:val="both"/>
              <w:rPr>
                <w:rFonts w:ascii="Calibri" w:hAnsi="Calibri" w:cs="Calibri"/>
                <w:color w:val="00B050"/>
                <w:sz w:val="24"/>
                <w:szCs w:val="24"/>
              </w:rPr>
            </w:pPr>
            <w:r w:rsidRPr="008D6FFB">
              <w:rPr>
                <w:rFonts w:ascii="Calibri" w:hAnsi="Calibri" w:cs="Calibri"/>
                <w:color w:val="00B050"/>
                <w:sz w:val="24"/>
                <w:szCs w:val="24"/>
              </w:rPr>
              <w:t>c) data-base da avaliação;</w:t>
            </w:r>
          </w:p>
        </w:tc>
        <w:tc>
          <w:tcPr>
            <w:tcW w:w="4116" w:type="dxa"/>
          </w:tcPr>
          <w:p w14:paraId="7FD0D96E" w14:textId="77777777" w:rsidR="00C46DDF" w:rsidRPr="00FB4FAB" w:rsidRDefault="00C46DDF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0A324242" w14:textId="77777777" w:rsidR="00C46DDF" w:rsidRPr="00FB4FAB" w:rsidRDefault="00C46DDF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46DDF" w:rsidRPr="00FB4FAB" w14:paraId="0FC9BB24" w14:textId="77777777" w:rsidTr="00EE3724">
        <w:trPr>
          <w:trHeight w:val="300"/>
        </w:trPr>
        <w:tc>
          <w:tcPr>
            <w:tcW w:w="3903" w:type="dxa"/>
          </w:tcPr>
          <w:p w14:paraId="025FB69D" w14:textId="77777777" w:rsidR="00C46DDF" w:rsidRDefault="00C46DDF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2CED6028" w14:textId="46F65572" w:rsidR="00C46DDF" w:rsidRPr="008D6FFB" w:rsidRDefault="00FD11CD" w:rsidP="00C51BB7">
            <w:pPr>
              <w:tabs>
                <w:tab w:val="left" w:pos="0"/>
              </w:tabs>
              <w:spacing w:line="240" w:lineRule="auto"/>
              <w:jc w:val="both"/>
              <w:rPr>
                <w:rFonts w:ascii="Calibri" w:hAnsi="Calibri" w:cs="Calibri"/>
                <w:color w:val="00B050"/>
                <w:sz w:val="24"/>
                <w:szCs w:val="24"/>
              </w:rPr>
            </w:pPr>
            <w:r w:rsidRPr="008D6FFB">
              <w:rPr>
                <w:rFonts w:ascii="Calibri" w:hAnsi="Calibri" w:cs="Calibri"/>
                <w:color w:val="00B050"/>
                <w:sz w:val="24"/>
                <w:szCs w:val="24"/>
              </w:rPr>
              <w:t>d) identificação da pessoa jurídica ou do profissional legalmente habilitado responsável pela avaliação; e</w:t>
            </w:r>
          </w:p>
        </w:tc>
        <w:tc>
          <w:tcPr>
            <w:tcW w:w="4116" w:type="dxa"/>
          </w:tcPr>
          <w:p w14:paraId="298E9E13" w14:textId="77777777" w:rsidR="00C46DDF" w:rsidRPr="00FB4FAB" w:rsidRDefault="00C46DDF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5F530A94" w14:textId="77777777" w:rsidR="00C46DDF" w:rsidRPr="00FB4FAB" w:rsidRDefault="00C46DDF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46DDF" w:rsidRPr="00FB4FAB" w14:paraId="6374B559" w14:textId="77777777" w:rsidTr="00EE3724">
        <w:trPr>
          <w:trHeight w:val="300"/>
        </w:trPr>
        <w:tc>
          <w:tcPr>
            <w:tcW w:w="3903" w:type="dxa"/>
          </w:tcPr>
          <w:p w14:paraId="491D12B8" w14:textId="77777777" w:rsidR="00C46DDF" w:rsidRDefault="00C46DDF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7B63F0FC" w14:textId="1C80CEE8" w:rsidR="00C46DDF" w:rsidRPr="008D6FFB" w:rsidRDefault="00E10493" w:rsidP="00C51BB7">
            <w:pPr>
              <w:tabs>
                <w:tab w:val="left" w:pos="0"/>
              </w:tabs>
              <w:spacing w:line="240" w:lineRule="auto"/>
              <w:jc w:val="both"/>
              <w:rPr>
                <w:rFonts w:ascii="Calibri" w:hAnsi="Calibri" w:cs="Calibri"/>
                <w:color w:val="00B050"/>
                <w:sz w:val="24"/>
                <w:szCs w:val="24"/>
              </w:rPr>
            </w:pPr>
            <w:r w:rsidRPr="008D6FFB">
              <w:rPr>
                <w:rFonts w:ascii="Calibri" w:hAnsi="Calibri" w:cs="Calibri"/>
                <w:color w:val="00B050"/>
                <w:sz w:val="24"/>
                <w:szCs w:val="24"/>
              </w:rPr>
              <w:t>e) a segregação entre o valor do terreno e das edificações.</w:t>
            </w:r>
          </w:p>
        </w:tc>
        <w:tc>
          <w:tcPr>
            <w:tcW w:w="4116" w:type="dxa"/>
          </w:tcPr>
          <w:p w14:paraId="4420F313" w14:textId="77777777" w:rsidR="00C46DDF" w:rsidRPr="00FB4FAB" w:rsidRDefault="00C46DDF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3F19FFBC" w14:textId="77777777" w:rsidR="00C46DDF" w:rsidRPr="00FB4FAB" w:rsidRDefault="00C46DDF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E74D8E" w:rsidRPr="00FB4FAB" w14:paraId="7C4246F5" w14:textId="77777777" w:rsidTr="00EE3724">
        <w:trPr>
          <w:trHeight w:val="300"/>
        </w:trPr>
        <w:tc>
          <w:tcPr>
            <w:tcW w:w="3903" w:type="dxa"/>
          </w:tcPr>
          <w:p w14:paraId="131E7B8A" w14:textId="77777777" w:rsidR="00E74D8E" w:rsidRDefault="00E74D8E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137613AF" w14:textId="440722A3" w:rsidR="00E74D8E" w:rsidRPr="008D6FFB" w:rsidRDefault="008D6FFB" w:rsidP="00C51BB7">
            <w:pPr>
              <w:tabs>
                <w:tab w:val="left" w:pos="0"/>
              </w:tabs>
              <w:spacing w:line="240" w:lineRule="auto"/>
              <w:jc w:val="both"/>
              <w:rPr>
                <w:rFonts w:ascii="Calibri" w:hAnsi="Calibri" w:cs="Calibri"/>
                <w:color w:val="00B050"/>
                <w:sz w:val="24"/>
                <w:szCs w:val="24"/>
              </w:rPr>
            </w:pPr>
            <w:r w:rsidRPr="008D6FFB">
              <w:rPr>
                <w:rFonts w:ascii="Calibri" w:hAnsi="Calibri" w:cs="Calibri"/>
                <w:color w:val="00B050"/>
                <w:sz w:val="24"/>
                <w:szCs w:val="24"/>
              </w:rPr>
              <w:t xml:space="preserve">Parágrafo Único.  Para fins do cumprimento do disposto no caput deste artigo quanto a necessidade de três avaliações, a EFPC pode utilizar avaliações do imóvel realizadas nos trezentos e sessenta dias anteriores à data da alienação, desde que </w:t>
            </w:r>
            <w:r w:rsidRPr="008D6FFB">
              <w:rPr>
                <w:rFonts w:ascii="Calibri" w:hAnsi="Calibri" w:cs="Calibri"/>
                <w:color w:val="00B050"/>
                <w:sz w:val="24"/>
                <w:szCs w:val="24"/>
              </w:rPr>
              <w:lastRenderedPageBreak/>
              <w:t>atestadas pelo administrador estatutário tecnicamente qualificado, considerando as condições de mercado.</w:t>
            </w:r>
          </w:p>
        </w:tc>
        <w:tc>
          <w:tcPr>
            <w:tcW w:w="4116" w:type="dxa"/>
          </w:tcPr>
          <w:p w14:paraId="33DDDD0B" w14:textId="77777777" w:rsidR="00E74D8E" w:rsidRPr="00FB4FAB" w:rsidRDefault="00E74D8E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6175B8E0" w14:textId="77777777" w:rsidR="00E74D8E" w:rsidRPr="00FB4FAB" w:rsidRDefault="00E74D8E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E74D8E" w:rsidRPr="00FB4FAB" w14:paraId="5A6BA43E" w14:textId="77777777" w:rsidTr="00EE3724">
        <w:trPr>
          <w:trHeight w:val="300"/>
        </w:trPr>
        <w:tc>
          <w:tcPr>
            <w:tcW w:w="3903" w:type="dxa"/>
          </w:tcPr>
          <w:p w14:paraId="15A92030" w14:textId="3C2E2CE1" w:rsidR="00E74D8E" w:rsidRDefault="008D6FFB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...</w:t>
            </w:r>
          </w:p>
        </w:tc>
        <w:tc>
          <w:tcPr>
            <w:tcW w:w="3886" w:type="dxa"/>
          </w:tcPr>
          <w:p w14:paraId="14449C98" w14:textId="28A0FDAE" w:rsidR="00E74D8E" w:rsidRDefault="008D6FFB" w:rsidP="00C51BB7">
            <w:pPr>
              <w:tabs>
                <w:tab w:val="left" w:pos="0"/>
              </w:tabs>
              <w:spacing w:line="240" w:lineRule="auto"/>
              <w:jc w:val="both"/>
              <w:rPr>
                <w:rFonts w:ascii="Calibri" w:hAnsi="Calibri" w:cs="Calibri"/>
                <w:color w:val="000000" w:themeColor="text1"/>
                <w:sz w:val="24"/>
                <w:szCs w:val="24"/>
              </w:rPr>
            </w:pP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...</w:t>
            </w:r>
          </w:p>
        </w:tc>
        <w:tc>
          <w:tcPr>
            <w:tcW w:w="4116" w:type="dxa"/>
          </w:tcPr>
          <w:p w14:paraId="27382DD1" w14:textId="77777777" w:rsidR="00E74D8E" w:rsidRPr="00FB4FAB" w:rsidRDefault="00E74D8E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3142600D" w14:textId="77777777" w:rsidR="00E74D8E" w:rsidRPr="00FB4FAB" w:rsidRDefault="00E74D8E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EE3724" w:rsidRPr="00FB4FAB" w14:paraId="05D737AA" w14:textId="6E3629DE" w:rsidTr="00EE3724">
        <w:trPr>
          <w:trHeight w:val="300"/>
        </w:trPr>
        <w:tc>
          <w:tcPr>
            <w:tcW w:w="3903" w:type="dxa"/>
          </w:tcPr>
          <w:p w14:paraId="311672E4" w14:textId="77777777" w:rsidR="007B53D3" w:rsidRDefault="00EE3724" w:rsidP="007B53D3">
            <w:pPr>
              <w:tabs>
                <w:tab w:val="left" w:pos="0"/>
              </w:tabs>
              <w:spacing w:line="240" w:lineRule="auto"/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Seção</w:t>
            </w:r>
            <w:r w:rsidR="007B53D3">
              <w:rPr>
                <w:rFonts w:ascii="Calibri" w:hAnsi="Calibri" w:cs="Calibri"/>
                <w:b/>
                <w:bCs/>
                <w:sz w:val="24"/>
                <w:szCs w:val="24"/>
              </w:rPr>
              <w:t xml:space="preserve"> </w:t>
            </w: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 xml:space="preserve">VII </w:t>
            </w:r>
          </w:p>
          <w:p w14:paraId="2E75711B" w14:textId="4087B423" w:rsidR="00EE3724" w:rsidRPr="00FB4FAB" w:rsidRDefault="00EE3724" w:rsidP="007B53D3">
            <w:pPr>
              <w:tabs>
                <w:tab w:val="left" w:pos="0"/>
              </w:tabs>
              <w:spacing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Notas Explicativas</w:t>
            </w:r>
          </w:p>
        </w:tc>
        <w:tc>
          <w:tcPr>
            <w:tcW w:w="3886" w:type="dxa"/>
          </w:tcPr>
          <w:p w14:paraId="1489BE31" w14:textId="77777777" w:rsidR="007B53D3" w:rsidRDefault="00EE3724" w:rsidP="007B53D3">
            <w:pPr>
              <w:tabs>
                <w:tab w:val="left" w:pos="0"/>
              </w:tabs>
              <w:spacing w:line="240" w:lineRule="auto"/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Seção</w:t>
            </w:r>
            <w:r w:rsidR="007B53D3">
              <w:rPr>
                <w:rFonts w:ascii="Calibri" w:hAnsi="Calibri" w:cs="Calibri"/>
                <w:b/>
                <w:bCs/>
                <w:sz w:val="24"/>
                <w:szCs w:val="24"/>
              </w:rPr>
              <w:t xml:space="preserve"> </w:t>
            </w: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 xml:space="preserve">VII </w:t>
            </w:r>
          </w:p>
          <w:p w14:paraId="6A80EE39" w14:textId="0DA1D58A" w:rsidR="00EE3724" w:rsidRPr="00FB4FAB" w:rsidRDefault="00EE3724" w:rsidP="007B53D3">
            <w:pPr>
              <w:tabs>
                <w:tab w:val="left" w:pos="0"/>
              </w:tabs>
              <w:spacing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Notas Explicativas</w:t>
            </w:r>
          </w:p>
        </w:tc>
        <w:tc>
          <w:tcPr>
            <w:tcW w:w="4116" w:type="dxa"/>
          </w:tcPr>
          <w:p w14:paraId="6F40039B" w14:textId="77777777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2EF11AB7" w14:textId="77777777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EE3724" w:rsidRPr="00FB4FAB" w14:paraId="449D2327" w14:textId="34527DCA" w:rsidTr="00EE3724">
        <w:trPr>
          <w:trHeight w:val="300"/>
        </w:trPr>
        <w:tc>
          <w:tcPr>
            <w:tcW w:w="3903" w:type="dxa"/>
          </w:tcPr>
          <w:p w14:paraId="0D27B966" w14:textId="049FE0BA" w:rsidR="00590E55" w:rsidRPr="00FB4FAB" w:rsidRDefault="00EE3724" w:rsidP="00C51BB7">
            <w:pPr>
              <w:spacing w:line="24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 xml:space="preserve">Art. 208.  </w:t>
            </w:r>
            <w:r w:rsidRPr="00FB4FAB">
              <w:rPr>
                <w:rFonts w:ascii="Calibri" w:eastAsia="Calibri" w:hAnsi="Calibri" w:cs="Calibri"/>
                <w:sz w:val="24"/>
                <w:szCs w:val="24"/>
              </w:rPr>
              <w:t>As EFPC devem elaborar as Notas Explicativas às Demonstrações Contábeis contemplando, no mínimo, as seguintes informações, segregadas, quando possível, por planos de benefícios e pelo Plano de Gestão Administrativa:</w:t>
            </w:r>
            <w:r w:rsidR="00590E55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3886" w:type="dxa"/>
          </w:tcPr>
          <w:p w14:paraId="48002A56" w14:textId="7975B052" w:rsidR="00590E55" w:rsidRPr="00590E55" w:rsidRDefault="00590E55" w:rsidP="00590E55">
            <w:pPr>
              <w:spacing w:line="240" w:lineRule="auto"/>
              <w:jc w:val="both"/>
              <w:rPr>
                <w:rFonts w:ascii="Calibri" w:eastAsia="Calibri" w:hAnsi="Calibri" w:cs="Calibri"/>
                <w:strike/>
                <w:color w:val="3A7C22" w:themeColor="accent6" w:themeShade="BF"/>
                <w:sz w:val="24"/>
                <w:szCs w:val="24"/>
              </w:rPr>
            </w:pPr>
          </w:p>
        </w:tc>
        <w:tc>
          <w:tcPr>
            <w:tcW w:w="4116" w:type="dxa"/>
          </w:tcPr>
          <w:p w14:paraId="49650C7E" w14:textId="2D9D93EF" w:rsidR="00EE3724" w:rsidRPr="00590E55" w:rsidRDefault="00976A69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B093E">
              <w:rPr>
                <w:rFonts w:ascii="Calibri" w:hAnsi="Calibri" w:cs="Calibri"/>
                <w:color w:val="00B050"/>
                <w:sz w:val="24"/>
                <w:szCs w:val="24"/>
              </w:rPr>
              <w:t>Revogação do art. 208 e de todos os seus incisos, simultaneamente à criação do art. 208-A, tendo em vista a necessidade de inclusão, readequação e reordenamento do conteúdo do artigo e de seus incisos.</w:t>
            </w:r>
          </w:p>
        </w:tc>
        <w:tc>
          <w:tcPr>
            <w:tcW w:w="3222" w:type="dxa"/>
          </w:tcPr>
          <w:p w14:paraId="5BB08F57" w14:textId="6524189A" w:rsidR="006871AB" w:rsidRDefault="006871AB" w:rsidP="00C51BB7">
            <w:pPr>
              <w:spacing w:line="240" w:lineRule="auto"/>
              <w:jc w:val="both"/>
              <w:rPr>
                <w:rFonts w:ascii="Calibri" w:hAnsi="Calibri" w:cs="Calibri"/>
                <w:color w:val="000000" w:themeColor="text1"/>
                <w:sz w:val="24"/>
                <w:szCs w:val="24"/>
              </w:rPr>
            </w:pPr>
          </w:p>
        </w:tc>
      </w:tr>
      <w:tr w:rsidR="00590E55" w:rsidRPr="00FB4FAB" w14:paraId="063F5BA6" w14:textId="37592FFA" w:rsidTr="00EE3724">
        <w:trPr>
          <w:trHeight w:val="300"/>
        </w:trPr>
        <w:tc>
          <w:tcPr>
            <w:tcW w:w="3903" w:type="dxa"/>
          </w:tcPr>
          <w:p w14:paraId="2909C581" w14:textId="2AE1E0DC" w:rsidR="00590E55" w:rsidRPr="00FB4FAB" w:rsidRDefault="00590E55" w:rsidP="00590E55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>I - contexto operacional das EFPC, incluindo resumo das principais práticas contábeis, relação dos itens avaliados, descrição dos critérios adotados nos períodos, anterior e atual, e eventuais efeitos decorrentes de mudanças de critérios;</w:t>
            </w:r>
          </w:p>
        </w:tc>
        <w:tc>
          <w:tcPr>
            <w:tcW w:w="3886" w:type="dxa"/>
          </w:tcPr>
          <w:p w14:paraId="70CC328B" w14:textId="5DE5E26B" w:rsidR="00590E55" w:rsidRPr="00FB4FAB" w:rsidRDefault="00590E55" w:rsidP="00590E55">
            <w:pPr>
              <w:spacing w:after="160"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092ED7BC" w14:textId="2DB2259A" w:rsidR="00590E55" w:rsidRPr="00512DA9" w:rsidRDefault="00512DA9" w:rsidP="00512DA9">
            <w:pPr>
              <w:spacing w:line="240" w:lineRule="auto"/>
              <w:jc w:val="both"/>
              <w:rPr>
                <w:rFonts w:ascii="Calibri" w:eastAsia="Aptos" w:hAnsi="Calibri" w:cs="Calibri"/>
                <w:color w:val="00B050"/>
                <w:sz w:val="24"/>
                <w:szCs w:val="24"/>
              </w:rPr>
            </w:pPr>
            <w:r w:rsidRPr="00597264">
              <w:rPr>
                <w:rFonts w:ascii="Calibri" w:hAnsi="Calibri" w:cs="Calibri"/>
                <w:color w:val="00B050"/>
                <w:sz w:val="24"/>
                <w:szCs w:val="24"/>
              </w:rPr>
              <w:t>Item Revogado</w:t>
            </w:r>
          </w:p>
        </w:tc>
        <w:tc>
          <w:tcPr>
            <w:tcW w:w="3222" w:type="dxa"/>
          </w:tcPr>
          <w:p w14:paraId="73926049" w14:textId="77777777" w:rsidR="00590E55" w:rsidRPr="00FB4FAB" w:rsidRDefault="00590E55" w:rsidP="00590E55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590E55" w:rsidRPr="00FB4FAB" w14:paraId="0B1EE08A" w14:textId="71C8FCA5" w:rsidTr="00EE3724">
        <w:trPr>
          <w:trHeight w:val="300"/>
        </w:trPr>
        <w:tc>
          <w:tcPr>
            <w:tcW w:w="3903" w:type="dxa"/>
          </w:tcPr>
          <w:p w14:paraId="2E80F6C3" w14:textId="6A41E798" w:rsidR="00590E55" w:rsidRPr="00FB4FAB" w:rsidRDefault="00590E55" w:rsidP="00590E55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>II - descrição das contingências passivas relevantes, cujas chances de perda sejam prováveis ou possíveis;</w:t>
            </w:r>
          </w:p>
        </w:tc>
        <w:tc>
          <w:tcPr>
            <w:tcW w:w="3886" w:type="dxa"/>
          </w:tcPr>
          <w:p w14:paraId="63B4FED6" w14:textId="10705803" w:rsidR="00590E55" w:rsidRPr="00FB4FAB" w:rsidRDefault="00590E55" w:rsidP="00590E55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6C0A2847" w14:textId="0535B4A2" w:rsidR="00590E55" w:rsidRPr="00831552" w:rsidRDefault="00866C64" w:rsidP="00590E55">
            <w:pPr>
              <w:spacing w:line="276" w:lineRule="auto"/>
              <w:jc w:val="both"/>
              <w:rPr>
                <w:rFonts w:ascii="Calibri" w:eastAsia="Aptos" w:hAnsi="Calibri" w:cs="Calibri"/>
                <w:color w:val="00B050"/>
                <w:sz w:val="24"/>
                <w:szCs w:val="24"/>
              </w:rPr>
            </w:pPr>
            <w:r w:rsidRPr="00831552">
              <w:rPr>
                <w:rFonts w:ascii="Calibri" w:hAnsi="Calibri" w:cs="Calibri"/>
                <w:color w:val="00B050"/>
                <w:sz w:val="24"/>
                <w:szCs w:val="24"/>
              </w:rPr>
              <w:t>Item Revogado</w:t>
            </w:r>
          </w:p>
        </w:tc>
        <w:tc>
          <w:tcPr>
            <w:tcW w:w="3222" w:type="dxa"/>
          </w:tcPr>
          <w:p w14:paraId="469138F5" w14:textId="77777777" w:rsidR="00590E55" w:rsidRPr="00FB4FAB" w:rsidRDefault="00590E55" w:rsidP="00590E55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590E55" w:rsidRPr="00FB4FAB" w14:paraId="05388865" w14:textId="6C1EC886" w:rsidTr="00EE3724">
        <w:trPr>
          <w:trHeight w:val="300"/>
        </w:trPr>
        <w:tc>
          <w:tcPr>
            <w:tcW w:w="3903" w:type="dxa"/>
          </w:tcPr>
          <w:p w14:paraId="784253AA" w14:textId="72CA9F47" w:rsidR="00590E55" w:rsidRPr="00FB4FAB" w:rsidRDefault="00590E55" w:rsidP="00590E55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>III - critérios, natureza e percentual utilizados para a constituição de provisões;</w:t>
            </w:r>
          </w:p>
        </w:tc>
        <w:tc>
          <w:tcPr>
            <w:tcW w:w="3886" w:type="dxa"/>
          </w:tcPr>
          <w:p w14:paraId="584D3AE6" w14:textId="572C0A0C" w:rsidR="00590E55" w:rsidRPr="00FB4FAB" w:rsidRDefault="00590E55" w:rsidP="00590E55">
            <w:pPr>
              <w:spacing w:after="160"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6B50931C" w14:textId="785F648B" w:rsidR="00590E55" w:rsidRPr="00831552" w:rsidRDefault="00866C64" w:rsidP="00590E55">
            <w:pPr>
              <w:spacing w:line="276" w:lineRule="auto"/>
              <w:jc w:val="both"/>
              <w:rPr>
                <w:rFonts w:ascii="Calibri" w:eastAsia="Aptos" w:hAnsi="Calibri" w:cs="Calibri"/>
                <w:color w:val="00B050"/>
                <w:sz w:val="24"/>
                <w:szCs w:val="24"/>
              </w:rPr>
            </w:pPr>
            <w:r w:rsidRPr="00831552">
              <w:rPr>
                <w:rFonts w:ascii="Calibri" w:hAnsi="Calibri" w:cs="Calibri"/>
                <w:color w:val="00B050"/>
                <w:sz w:val="24"/>
                <w:szCs w:val="24"/>
              </w:rPr>
              <w:t>Item Revogado</w:t>
            </w:r>
          </w:p>
        </w:tc>
        <w:tc>
          <w:tcPr>
            <w:tcW w:w="3222" w:type="dxa"/>
          </w:tcPr>
          <w:p w14:paraId="73FFB529" w14:textId="77777777" w:rsidR="00590E55" w:rsidRPr="00FB4FAB" w:rsidRDefault="00590E55" w:rsidP="00590E55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590E55" w:rsidRPr="00FB4FAB" w14:paraId="3FCD4FD1" w14:textId="58511700" w:rsidTr="00EE3724">
        <w:trPr>
          <w:trHeight w:val="300"/>
        </w:trPr>
        <w:tc>
          <w:tcPr>
            <w:tcW w:w="3903" w:type="dxa"/>
          </w:tcPr>
          <w:p w14:paraId="2843C74D" w14:textId="54237E18" w:rsidR="00590E55" w:rsidRPr="00FB4FAB" w:rsidRDefault="00590E55" w:rsidP="00590E55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lastRenderedPageBreak/>
              <w:t>IV - critérios de avaliação e de amortização das aplicações de recursos existentes no ativo intangível;</w:t>
            </w:r>
          </w:p>
        </w:tc>
        <w:tc>
          <w:tcPr>
            <w:tcW w:w="3886" w:type="dxa"/>
          </w:tcPr>
          <w:p w14:paraId="0C27E31E" w14:textId="47FED5C1" w:rsidR="00590E55" w:rsidRPr="00FB4FAB" w:rsidRDefault="00590E55" w:rsidP="00590E55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30EBB98F" w14:textId="7EA12373" w:rsidR="00590E55" w:rsidRPr="00831552" w:rsidRDefault="00866C64" w:rsidP="00590E55">
            <w:pPr>
              <w:spacing w:line="276" w:lineRule="auto"/>
              <w:jc w:val="both"/>
              <w:rPr>
                <w:rFonts w:ascii="Calibri" w:eastAsia="Aptos" w:hAnsi="Calibri" w:cs="Calibri"/>
                <w:color w:val="00B050"/>
                <w:sz w:val="24"/>
                <w:szCs w:val="24"/>
              </w:rPr>
            </w:pPr>
            <w:r w:rsidRPr="00831552">
              <w:rPr>
                <w:rFonts w:ascii="Calibri" w:hAnsi="Calibri" w:cs="Calibri"/>
                <w:color w:val="00B050"/>
                <w:sz w:val="24"/>
                <w:szCs w:val="24"/>
              </w:rPr>
              <w:t>Item Revogado</w:t>
            </w:r>
          </w:p>
        </w:tc>
        <w:tc>
          <w:tcPr>
            <w:tcW w:w="3222" w:type="dxa"/>
          </w:tcPr>
          <w:p w14:paraId="39EC3417" w14:textId="77777777" w:rsidR="00590E55" w:rsidRPr="00FB4FAB" w:rsidRDefault="00590E55" w:rsidP="00590E55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590E55" w:rsidRPr="00FB4FAB" w14:paraId="42CA29B5" w14:textId="014C19C7" w:rsidTr="00EE3724">
        <w:trPr>
          <w:trHeight w:val="300"/>
        </w:trPr>
        <w:tc>
          <w:tcPr>
            <w:tcW w:w="3903" w:type="dxa"/>
          </w:tcPr>
          <w:p w14:paraId="3102BEDB" w14:textId="7186E08A" w:rsidR="00590E55" w:rsidRPr="00FB4FAB" w:rsidRDefault="00590E55" w:rsidP="00590E55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>V - avaliações e reavaliações dos bens imóveis do ativo “Imobilizado” e dos “Investimentos em imóveis” indicando, no mínimo, histórico, data da avaliação, identificação dos avaliadores responsáveis e respectivos valores, bem como os efeitos no exercício;</w:t>
            </w:r>
          </w:p>
        </w:tc>
        <w:tc>
          <w:tcPr>
            <w:tcW w:w="3886" w:type="dxa"/>
          </w:tcPr>
          <w:p w14:paraId="695539EA" w14:textId="474C0383" w:rsidR="00590E55" w:rsidRPr="00FB4FAB" w:rsidRDefault="00590E55" w:rsidP="00590E55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0A0CB50D" w14:textId="06D9F5D5" w:rsidR="00590E55" w:rsidRPr="00831552" w:rsidRDefault="00866C64" w:rsidP="00590E55">
            <w:pPr>
              <w:spacing w:line="276" w:lineRule="auto"/>
              <w:jc w:val="both"/>
              <w:rPr>
                <w:rFonts w:ascii="Calibri" w:eastAsia="Aptos" w:hAnsi="Calibri" w:cs="Calibri"/>
                <w:color w:val="00B050"/>
                <w:sz w:val="24"/>
                <w:szCs w:val="24"/>
              </w:rPr>
            </w:pPr>
            <w:r w:rsidRPr="00831552">
              <w:rPr>
                <w:rFonts w:ascii="Calibri" w:hAnsi="Calibri" w:cs="Calibri"/>
                <w:color w:val="00B050"/>
                <w:sz w:val="24"/>
                <w:szCs w:val="24"/>
              </w:rPr>
              <w:t>Item Revogado</w:t>
            </w:r>
          </w:p>
        </w:tc>
        <w:tc>
          <w:tcPr>
            <w:tcW w:w="3222" w:type="dxa"/>
          </w:tcPr>
          <w:p w14:paraId="5F858989" w14:textId="77777777" w:rsidR="00590E55" w:rsidRPr="00FB4FAB" w:rsidRDefault="00590E55" w:rsidP="00590E55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590E55" w:rsidRPr="00FB4FAB" w14:paraId="71148E51" w14:textId="6C39E706" w:rsidTr="00EE3724">
        <w:trPr>
          <w:trHeight w:val="825"/>
        </w:trPr>
        <w:tc>
          <w:tcPr>
            <w:tcW w:w="3903" w:type="dxa"/>
          </w:tcPr>
          <w:p w14:paraId="1413F180" w14:textId="7E73BAD0" w:rsidR="00590E55" w:rsidRPr="00FB4FAB" w:rsidRDefault="00590E55" w:rsidP="00590E55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>VI - ajustes de exercícios anteriores decorrentes de mudanças de práticas contábeis ou de retificações de erros de períodos anteriores, não atribuíveis a eventos subsequentes, com descrição da natureza e dos seus respectivos efeitos, conforme normas do Conselho Federal de Contabilidade (CFC);</w:t>
            </w:r>
          </w:p>
        </w:tc>
        <w:tc>
          <w:tcPr>
            <w:tcW w:w="3886" w:type="dxa"/>
          </w:tcPr>
          <w:p w14:paraId="7E269114" w14:textId="4F8A4CC5" w:rsidR="00590E55" w:rsidRPr="00FB4FAB" w:rsidRDefault="00590E55" w:rsidP="00590E55">
            <w:pPr>
              <w:spacing w:after="160"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5DC56E81" w14:textId="72B89403" w:rsidR="00590E55" w:rsidRPr="00FB4FAB" w:rsidRDefault="00866C64" w:rsidP="00590E55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  <w:highlight w:val="red"/>
              </w:rPr>
            </w:pPr>
            <w:r w:rsidRPr="00831552">
              <w:rPr>
                <w:rFonts w:ascii="Calibri" w:hAnsi="Calibri" w:cs="Calibri"/>
                <w:color w:val="00B050"/>
                <w:sz w:val="24"/>
                <w:szCs w:val="24"/>
              </w:rPr>
              <w:t>Item Revogado</w:t>
            </w:r>
          </w:p>
        </w:tc>
        <w:tc>
          <w:tcPr>
            <w:tcW w:w="3222" w:type="dxa"/>
          </w:tcPr>
          <w:p w14:paraId="0460B6F0" w14:textId="77777777" w:rsidR="00590E55" w:rsidRPr="00FB4FAB" w:rsidRDefault="00590E55" w:rsidP="00590E55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590E55" w:rsidRPr="00FB4FAB" w14:paraId="5D2BF1D6" w14:textId="0BBE1EB9" w:rsidTr="00EE3724">
        <w:trPr>
          <w:trHeight w:val="300"/>
        </w:trPr>
        <w:tc>
          <w:tcPr>
            <w:tcW w:w="3903" w:type="dxa"/>
          </w:tcPr>
          <w:p w14:paraId="76A8C470" w14:textId="6BC3D0E3" w:rsidR="00590E55" w:rsidRPr="00FB4FAB" w:rsidRDefault="00590E55" w:rsidP="00590E55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 xml:space="preserve">VII - descrição de operações relativas à contratação de contribuições em atraso, de serviço passado, de déficit técnico e de outras indicando o valor contratado, o prazo de amortização, o </w:t>
            </w:r>
            <w:r w:rsidRPr="00FB4FAB">
              <w:rPr>
                <w:rFonts w:ascii="Calibri" w:eastAsia="Calibri" w:hAnsi="Calibri" w:cs="Calibri"/>
                <w:sz w:val="24"/>
                <w:szCs w:val="24"/>
              </w:rPr>
              <w:lastRenderedPageBreak/>
              <w:t>valor da parcela, a data de vencimento, os juros pactuados e outras informações pertinentes;</w:t>
            </w:r>
          </w:p>
        </w:tc>
        <w:tc>
          <w:tcPr>
            <w:tcW w:w="3886" w:type="dxa"/>
          </w:tcPr>
          <w:p w14:paraId="566D875A" w14:textId="07AFF650" w:rsidR="00590E55" w:rsidRPr="00FB4FAB" w:rsidRDefault="00590E55" w:rsidP="00590E55">
            <w:pPr>
              <w:spacing w:after="160"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1D05C680" w14:textId="2E133AAA" w:rsidR="00590E55" w:rsidRPr="00831552" w:rsidRDefault="00866C64" w:rsidP="00590E55">
            <w:pPr>
              <w:spacing w:line="240" w:lineRule="auto"/>
              <w:jc w:val="both"/>
              <w:rPr>
                <w:rFonts w:ascii="Calibri" w:eastAsia="Aptos" w:hAnsi="Calibri" w:cs="Calibri"/>
                <w:color w:val="00B050"/>
                <w:sz w:val="24"/>
                <w:szCs w:val="24"/>
                <w:highlight w:val="red"/>
              </w:rPr>
            </w:pPr>
            <w:r w:rsidRPr="00831552">
              <w:rPr>
                <w:rFonts w:ascii="Calibri" w:hAnsi="Calibri" w:cs="Calibri"/>
                <w:color w:val="00B050"/>
                <w:sz w:val="24"/>
                <w:szCs w:val="24"/>
              </w:rPr>
              <w:t>Item Revogado</w:t>
            </w:r>
          </w:p>
        </w:tc>
        <w:tc>
          <w:tcPr>
            <w:tcW w:w="3222" w:type="dxa"/>
          </w:tcPr>
          <w:p w14:paraId="17AD54DC" w14:textId="77777777" w:rsidR="00590E55" w:rsidRPr="00FB4FAB" w:rsidRDefault="00590E55" w:rsidP="00590E55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590E55" w:rsidRPr="00FB4FAB" w14:paraId="28A155BD" w14:textId="6F0AA70C" w:rsidTr="00EE3724">
        <w:trPr>
          <w:trHeight w:val="300"/>
        </w:trPr>
        <w:tc>
          <w:tcPr>
            <w:tcW w:w="3903" w:type="dxa"/>
          </w:tcPr>
          <w:p w14:paraId="39A2C893" w14:textId="13953FE6" w:rsidR="00590E55" w:rsidRPr="00FB4FAB" w:rsidRDefault="00590E55" w:rsidP="00590E55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>VIII - composição das contribuições em atraso e contratadas, por patrocinador e por plano de benefícios, comparativos com o exercício anterior;</w:t>
            </w:r>
          </w:p>
        </w:tc>
        <w:tc>
          <w:tcPr>
            <w:tcW w:w="3886" w:type="dxa"/>
          </w:tcPr>
          <w:p w14:paraId="0D21B498" w14:textId="7BBF53C6" w:rsidR="00590E55" w:rsidRPr="00FB4FAB" w:rsidRDefault="00590E55" w:rsidP="00590E55">
            <w:pPr>
              <w:jc w:val="both"/>
              <w:rPr>
                <w:rFonts w:ascii="Calibri" w:hAnsi="Calibri" w:cs="Calibri"/>
                <w:sz w:val="24"/>
                <w:szCs w:val="24"/>
                <w:highlight w:val="yellow"/>
              </w:rPr>
            </w:pPr>
          </w:p>
        </w:tc>
        <w:tc>
          <w:tcPr>
            <w:tcW w:w="4116" w:type="dxa"/>
          </w:tcPr>
          <w:p w14:paraId="2DDC1A4C" w14:textId="32BE6419" w:rsidR="00590E55" w:rsidRPr="00831552" w:rsidRDefault="00866C64" w:rsidP="00590E55">
            <w:pPr>
              <w:jc w:val="both"/>
              <w:rPr>
                <w:rFonts w:ascii="Calibri" w:eastAsia="Aptos" w:hAnsi="Calibri" w:cs="Calibri"/>
                <w:color w:val="00B050"/>
                <w:sz w:val="24"/>
                <w:szCs w:val="24"/>
              </w:rPr>
            </w:pPr>
            <w:r w:rsidRPr="00831552">
              <w:rPr>
                <w:rFonts w:ascii="Calibri" w:hAnsi="Calibri" w:cs="Calibri"/>
                <w:color w:val="00B050"/>
                <w:sz w:val="24"/>
                <w:szCs w:val="24"/>
              </w:rPr>
              <w:t>Item Revogado</w:t>
            </w:r>
          </w:p>
        </w:tc>
        <w:tc>
          <w:tcPr>
            <w:tcW w:w="3222" w:type="dxa"/>
          </w:tcPr>
          <w:p w14:paraId="06B75E17" w14:textId="77777777" w:rsidR="00590E55" w:rsidRPr="00FB4FAB" w:rsidRDefault="00590E55" w:rsidP="00590E55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590E55" w:rsidRPr="00FB4FAB" w14:paraId="4941E274" w14:textId="27258285" w:rsidTr="00EE3724">
        <w:trPr>
          <w:trHeight w:val="300"/>
        </w:trPr>
        <w:tc>
          <w:tcPr>
            <w:tcW w:w="3903" w:type="dxa"/>
          </w:tcPr>
          <w:p w14:paraId="001205AA" w14:textId="77777777" w:rsidR="00590E55" w:rsidRPr="00FB4FAB" w:rsidRDefault="00590E55" w:rsidP="00590E55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>IX - composição da carteira de investimentos, em comparação com a do exercício anterior;</w:t>
            </w:r>
          </w:p>
          <w:p w14:paraId="1F3B2E5F" w14:textId="77777777" w:rsidR="00590E55" w:rsidRPr="00FB4FAB" w:rsidRDefault="00590E55" w:rsidP="00590E55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3C6EBF64" w14:textId="1B8098F8" w:rsidR="00590E55" w:rsidRPr="00FB4FAB" w:rsidRDefault="00590E55" w:rsidP="00590E55">
            <w:pPr>
              <w:jc w:val="both"/>
              <w:rPr>
                <w:rFonts w:ascii="Calibri" w:eastAsia="Aptos" w:hAnsi="Calibri" w:cs="Calibri"/>
                <w:color w:val="0070C0"/>
                <w:sz w:val="24"/>
                <w:szCs w:val="24"/>
              </w:rPr>
            </w:pPr>
          </w:p>
        </w:tc>
        <w:tc>
          <w:tcPr>
            <w:tcW w:w="4116" w:type="dxa"/>
          </w:tcPr>
          <w:p w14:paraId="7FB120BD" w14:textId="4D12F2D7" w:rsidR="00590E55" w:rsidRPr="00831552" w:rsidRDefault="00866C64" w:rsidP="00590E55">
            <w:pPr>
              <w:spacing w:line="276" w:lineRule="auto"/>
              <w:jc w:val="both"/>
              <w:rPr>
                <w:rFonts w:ascii="Calibri" w:eastAsia="Aptos" w:hAnsi="Calibri" w:cs="Calibri"/>
                <w:color w:val="00B050"/>
                <w:sz w:val="24"/>
                <w:szCs w:val="24"/>
              </w:rPr>
            </w:pPr>
            <w:r w:rsidRPr="00831552">
              <w:rPr>
                <w:rFonts w:ascii="Calibri" w:hAnsi="Calibri" w:cs="Calibri"/>
                <w:color w:val="00B050"/>
                <w:sz w:val="24"/>
                <w:szCs w:val="24"/>
              </w:rPr>
              <w:t>Item Revogado</w:t>
            </w:r>
          </w:p>
        </w:tc>
        <w:tc>
          <w:tcPr>
            <w:tcW w:w="3222" w:type="dxa"/>
          </w:tcPr>
          <w:p w14:paraId="650CEFA5" w14:textId="77777777" w:rsidR="00590E55" w:rsidRPr="00FB4FAB" w:rsidRDefault="00590E55" w:rsidP="00590E55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590E55" w:rsidRPr="00FB4FAB" w14:paraId="15BD8EC0" w14:textId="7174244C" w:rsidTr="00EE3724">
        <w:trPr>
          <w:trHeight w:val="300"/>
        </w:trPr>
        <w:tc>
          <w:tcPr>
            <w:tcW w:w="3903" w:type="dxa"/>
          </w:tcPr>
          <w:p w14:paraId="56D0ECE3" w14:textId="7538D057" w:rsidR="00590E55" w:rsidRPr="00FB4FAB" w:rsidRDefault="00590E55" w:rsidP="00590E55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>X - critérios utilizados para o rateio das despesas administrativas entre os planos de benefícios, se for o caso;</w:t>
            </w:r>
          </w:p>
          <w:p w14:paraId="495A9A84" w14:textId="15B0D687" w:rsidR="00590E55" w:rsidRPr="00FB4FAB" w:rsidRDefault="00590E55" w:rsidP="00590E55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48E0745C" w14:textId="2F7916D8" w:rsidR="00590E55" w:rsidRPr="00FB4FAB" w:rsidRDefault="00590E55" w:rsidP="00590E55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0F3DEECD" w14:textId="6AFB0130" w:rsidR="00590E55" w:rsidRPr="00831552" w:rsidRDefault="00866C64" w:rsidP="00590E55">
            <w:pPr>
              <w:spacing w:line="276" w:lineRule="auto"/>
              <w:jc w:val="both"/>
              <w:rPr>
                <w:rFonts w:ascii="Calibri" w:eastAsia="Aptos" w:hAnsi="Calibri" w:cs="Calibri"/>
                <w:color w:val="00B050"/>
                <w:sz w:val="24"/>
                <w:szCs w:val="24"/>
                <w:highlight w:val="red"/>
              </w:rPr>
            </w:pPr>
            <w:r w:rsidRPr="00831552">
              <w:rPr>
                <w:rFonts w:ascii="Calibri" w:hAnsi="Calibri" w:cs="Calibri"/>
                <w:color w:val="00B050"/>
                <w:sz w:val="24"/>
                <w:szCs w:val="24"/>
              </w:rPr>
              <w:t>Item Revogado</w:t>
            </w:r>
          </w:p>
        </w:tc>
        <w:tc>
          <w:tcPr>
            <w:tcW w:w="3222" w:type="dxa"/>
          </w:tcPr>
          <w:p w14:paraId="0FA15D37" w14:textId="77777777" w:rsidR="00590E55" w:rsidRPr="00FB4FAB" w:rsidRDefault="00590E55" w:rsidP="00590E55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590E55" w:rsidRPr="00FB4FAB" w14:paraId="42ADA1CE" w14:textId="378BDAAE" w:rsidTr="00EE3724">
        <w:trPr>
          <w:trHeight w:val="300"/>
        </w:trPr>
        <w:tc>
          <w:tcPr>
            <w:tcW w:w="3903" w:type="dxa"/>
          </w:tcPr>
          <w:p w14:paraId="60C8B832" w14:textId="12D7959B" w:rsidR="00590E55" w:rsidRPr="00FB4FAB" w:rsidRDefault="00590E55" w:rsidP="00FF62F0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>XI - objetivos e critérios utilizados para constituição e reversão de fundos;</w:t>
            </w:r>
          </w:p>
        </w:tc>
        <w:tc>
          <w:tcPr>
            <w:tcW w:w="3886" w:type="dxa"/>
          </w:tcPr>
          <w:p w14:paraId="7E5BF629" w14:textId="536E3183" w:rsidR="00590E55" w:rsidRPr="00FB4FAB" w:rsidRDefault="00590E55" w:rsidP="00590E55">
            <w:pPr>
              <w:spacing w:after="160"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2D2F3FED" w14:textId="3A697B89" w:rsidR="00590E55" w:rsidRPr="00FB4FAB" w:rsidRDefault="00866C64" w:rsidP="00590E55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  <w:highlight w:val="red"/>
              </w:rPr>
            </w:pPr>
            <w:r w:rsidRPr="00831552">
              <w:rPr>
                <w:rFonts w:ascii="Calibri" w:hAnsi="Calibri" w:cs="Calibri"/>
                <w:color w:val="00B050"/>
                <w:sz w:val="24"/>
                <w:szCs w:val="24"/>
              </w:rPr>
              <w:t>Item Revogado</w:t>
            </w:r>
          </w:p>
        </w:tc>
        <w:tc>
          <w:tcPr>
            <w:tcW w:w="3222" w:type="dxa"/>
          </w:tcPr>
          <w:p w14:paraId="0B512785" w14:textId="77777777" w:rsidR="00590E55" w:rsidRPr="00FB4FAB" w:rsidRDefault="00590E55" w:rsidP="00590E55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590E55" w:rsidRPr="00FB4FAB" w14:paraId="3FA82E93" w14:textId="176B65C5" w:rsidTr="00EE3724">
        <w:trPr>
          <w:trHeight w:val="300"/>
        </w:trPr>
        <w:tc>
          <w:tcPr>
            <w:tcW w:w="3903" w:type="dxa"/>
          </w:tcPr>
          <w:p w14:paraId="350EC261" w14:textId="13C07422" w:rsidR="00590E55" w:rsidRPr="00FB4FAB" w:rsidRDefault="00590E55" w:rsidP="00590E55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bookmarkStart w:id="0" w:name="_Hlk205977078"/>
            <w:r w:rsidRPr="00FB4FAB">
              <w:rPr>
                <w:rFonts w:ascii="Calibri" w:eastAsia="Calibri" w:hAnsi="Calibri" w:cs="Calibri"/>
                <w:sz w:val="24"/>
                <w:szCs w:val="24"/>
              </w:rPr>
              <w:t>XII - detalhamento dos saldos das contas que contenham a denominação "Outros", quando ultrapassarem, no total, um décimo do valor do respectivo grupo da referida conta;</w:t>
            </w:r>
          </w:p>
          <w:p w14:paraId="78F0945A" w14:textId="105CF6B8" w:rsidR="00590E55" w:rsidRPr="00FB4FAB" w:rsidRDefault="00590E55" w:rsidP="00590E55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058DBA1B" w14:textId="456E4EA6" w:rsidR="00590E55" w:rsidRPr="00FB4FAB" w:rsidRDefault="00590E55" w:rsidP="00590E55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6D82CFAC" w14:textId="7BB4FC3A" w:rsidR="00590E55" w:rsidRPr="00831552" w:rsidRDefault="00866C64" w:rsidP="00590E55">
            <w:pPr>
              <w:spacing w:line="276" w:lineRule="auto"/>
              <w:jc w:val="both"/>
              <w:rPr>
                <w:rFonts w:ascii="Calibri" w:eastAsia="Aptos" w:hAnsi="Calibri" w:cs="Calibri"/>
                <w:color w:val="00B050"/>
                <w:sz w:val="24"/>
                <w:szCs w:val="24"/>
                <w:highlight w:val="red"/>
              </w:rPr>
            </w:pPr>
            <w:r w:rsidRPr="00831552">
              <w:rPr>
                <w:rFonts w:ascii="Calibri" w:hAnsi="Calibri" w:cs="Calibri"/>
                <w:color w:val="00B050"/>
                <w:sz w:val="24"/>
                <w:szCs w:val="24"/>
              </w:rPr>
              <w:t>Item Revogado</w:t>
            </w:r>
          </w:p>
        </w:tc>
        <w:tc>
          <w:tcPr>
            <w:tcW w:w="3222" w:type="dxa"/>
          </w:tcPr>
          <w:p w14:paraId="0E2BF403" w14:textId="77777777" w:rsidR="00590E55" w:rsidRPr="00FB4FAB" w:rsidRDefault="00590E55" w:rsidP="00590E55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bookmarkEnd w:id="0"/>
      <w:tr w:rsidR="00590E55" w:rsidRPr="00FB4FAB" w14:paraId="61461622" w14:textId="0D9810C9" w:rsidTr="00EE3724">
        <w:trPr>
          <w:trHeight w:val="300"/>
        </w:trPr>
        <w:tc>
          <w:tcPr>
            <w:tcW w:w="3903" w:type="dxa"/>
          </w:tcPr>
          <w:p w14:paraId="375264DD" w14:textId="482C73C0" w:rsidR="00590E55" w:rsidRPr="00FB4FAB" w:rsidRDefault="00590E55" w:rsidP="00590E55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lastRenderedPageBreak/>
              <w:t>XIII - detalhamento dos ajustes e eliminações decorrentes do processo de consolidação das Demonstrações Contábeis;</w:t>
            </w:r>
          </w:p>
          <w:p w14:paraId="3E52CE35" w14:textId="00E22137" w:rsidR="00590E55" w:rsidRPr="00FB4FAB" w:rsidRDefault="00590E55" w:rsidP="00590E55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569285D3" w14:textId="3F6B210C" w:rsidR="00590E55" w:rsidRPr="00FB4FAB" w:rsidRDefault="00590E55" w:rsidP="00590E55">
            <w:pPr>
              <w:spacing w:after="160" w:line="276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22F9A7D2" w14:textId="693D2585" w:rsidR="00590E55" w:rsidRPr="00831552" w:rsidRDefault="00866C64" w:rsidP="00590E55">
            <w:pPr>
              <w:spacing w:line="276" w:lineRule="auto"/>
              <w:jc w:val="both"/>
              <w:rPr>
                <w:rFonts w:ascii="Calibri" w:eastAsia="Aptos" w:hAnsi="Calibri" w:cs="Calibri"/>
                <w:color w:val="00B050"/>
                <w:sz w:val="24"/>
                <w:szCs w:val="24"/>
              </w:rPr>
            </w:pPr>
            <w:r w:rsidRPr="00831552">
              <w:rPr>
                <w:rFonts w:ascii="Calibri" w:hAnsi="Calibri" w:cs="Calibri"/>
                <w:color w:val="00B050"/>
                <w:sz w:val="24"/>
                <w:szCs w:val="24"/>
              </w:rPr>
              <w:t>Item Revogado</w:t>
            </w:r>
          </w:p>
        </w:tc>
        <w:tc>
          <w:tcPr>
            <w:tcW w:w="3222" w:type="dxa"/>
          </w:tcPr>
          <w:p w14:paraId="1DC8B2C2" w14:textId="77777777" w:rsidR="00590E55" w:rsidRPr="00FB4FAB" w:rsidRDefault="00590E55" w:rsidP="00590E55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590E55" w:rsidRPr="00FB4FAB" w14:paraId="190701F1" w14:textId="16D99884" w:rsidTr="00EE3724">
        <w:trPr>
          <w:trHeight w:val="300"/>
        </w:trPr>
        <w:tc>
          <w:tcPr>
            <w:tcW w:w="3903" w:type="dxa"/>
          </w:tcPr>
          <w:p w14:paraId="0BBDE9D2" w14:textId="3197B1EA" w:rsidR="00590E55" w:rsidRPr="00FB4FAB" w:rsidRDefault="00590E55" w:rsidP="00590E55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>XIV - descrição de operações de empréstimo de títulos ou valores mobiliários em que o ativo recebido for diverso daquele originalmente entregue, classificado na categoria "títulos mantidos até o vencimento", com informações sobre ativos emprestados e recebidos, datas da operação original e da devolução, quantidades envolvidas e efeito no resultado do período;</w:t>
            </w:r>
          </w:p>
          <w:p w14:paraId="7A8FE327" w14:textId="721FB6A7" w:rsidR="00590E55" w:rsidRPr="00FB4FAB" w:rsidRDefault="00590E55" w:rsidP="00590E55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3009E816" w14:textId="5FD992E6" w:rsidR="00590E55" w:rsidRPr="00FB4FAB" w:rsidRDefault="00590E55" w:rsidP="00590E55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6FDE4F7B" w14:textId="69D5413F" w:rsidR="00590E55" w:rsidRPr="00831552" w:rsidRDefault="00866C64" w:rsidP="00590E55">
            <w:pPr>
              <w:spacing w:line="276" w:lineRule="auto"/>
              <w:jc w:val="both"/>
              <w:rPr>
                <w:rFonts w:ascii="Calibri" w:eastAsia="Aptos" w:hAnsi="Calibri" w:cs="Calibri"/>
                <w:color w:val="00B050"/>
                <w:sz w:val="24"/>
                <w:szCs w:val="24"/>
              </w:rPr>
            </w:pPr>
            <w:r w:rsidRPr="00831552">
              <w:rPr>
                <w:rFonts w:ascii="Calibri" w:hAnsi="Calibri" w:cs="Calibri"/>
                <w:color w:val="00B050"/>
                <w:sz w:val="24"/>
                <w:szCs w:val="24"/>
              </w:rPr>
              <w:t>Item Revogado</w:t>
            </w:r>
          </w:p>
        </w:tc>
        <w:tc>
          <w:tcPr>
            <w:tcW w:w="3222" w:type="dxa"/>
          </w:tcPr>
          <w:p w14:paraId="34BCCEB4" w14:textId="77777777" w:rsidR="00590E55" w:rsidRPr="00FB4FAB" w:rsidRDefault="00590E55" w:rsidP="00590E55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590E55" w:rsidRPr="00FB4FAB" w14:paraId="02953073" w14:textId="7819772D" w:rsidTr="00EE3724">
        <w:trPr>
          <w:trHeight w:val="300"/>
        </w:trPr>
        <w:tc>
          <w:tcPr>
            <w:tcW w:w="3903" w:type="dxa"/>
          </w:tcPr>
          <w:p w14:paraId="60DDDF7A" w14:textId="77777777" w:rsidR="00590E55" w:rsidRPr="00FB4FAB" w:rsidRDefault="00590E55" w:rsidP="00590E55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 xml:space="preserve">XV - </w:t>
            </w:r>
            <w:bookmarkStart w:id="1" w:name="_Int_1D69QThR"/>
            <w:r w:rsidRPr="00FB4FAB">
              <w:rPr>
                <w:rFonts w:ascii="Calibri" w:eastAsia="Calibri" w:hAnsi="Calibri" w:cs="Calibri"/>
                <w:sz w:val="24"/>
                <w:szCs w:val="24"/>
              </w:rPr>
              <w:t>eventos</w:t>
            </w:r>
            <w:bookmarkEnd w:id="1"/>
            <w:r w:rsidRPr="00FB4FAB">
              <w:rPr>
                <w:rFonts w:ascii="Calibri" w:eastAsia="Calibri" w:hAnsi="Calibri" w:cs="Calibri"/>
                <w:sz w:val="24"/>
                <w:szCs w:val="24"/>
              </w:rPr>
              <w:t xml:space="preserve"> subsequentes à data de encerramento do exercício que tenham ou possam vir a ter efeitos relevantes sobre a situação financeira ou econômica dos planos de benefícios e do Plano de Gestão Administrativa;</w:t>
            </w:r>
          </w:p>
          <w:p w14:paraId="3F8B7D06" w14:textId="77777777" w:rsidR="00590E55" w:rsidRPr="00FB4FAB" w:rsidRDefault="00590E55" w:rsidP="00590E55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6548317C" w14:textId="1D764DD9" w:rsidR="00590E55" w:rsidRPr="00FB4FAB" w:rsidRDefault="00590E55" w:rsidP="00590E55">
            <w:pPr>
              <w:spacing w:line="240" w:lineRule="auto"/>
              <w:jc w:val="both"/>
              <w:rPr>
                <w:rFonts w:ascii="Calibri" w:eastAsia="Aptos" w:hAnsi="Calibri" w:cs="Calibri"/>
                <w:color w:val="0070C0"/>
                <w:sz w:val="24"/>
                <w:szCs w:val="24"/>
              </w:rPr>
            </w:pPr>
          </w:p>
        </w:tc>
        <w:tc>
          <w:tcPr>
            <w:tcW w:w="4116" w:type="dxa"/>
          </w:tcPr>
          <w:p w14:paraId="1D9F47E0" w14:textId="3534F73D" w:rsidR="00590E55" w:rsidRPr="00FB4FAB" w:rsidRDefault="00866C64" w:rsidP="00590E55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  <w:highlight w:val="red"/>
              </w:rPr>
            </w:pPr>
            <w:r w:rsidRPr="00831552">
              <w:rPr>
                <w:rFonts w:ascii="Calibri" w:hAnsi="Calibri" w:cs="Calibri"/>
                <w:color w:val="00B050"/>
                <w:sz w:val="24"/>
                <w:szCs w:val="24"/>
              </w:rPr>
              <w:t>Item Revogado</w:t>
            </w:r>
          </w:p>
        </w:tc>
        <w:tc>
          <w:tcPr>
            <w:tcW w:w="3222" w:type="dxa"/>
          </w:tcPr>
          <w:p w14:paraId="03FDFECD" w14:textId="77777777" w:rsidR="00590E55" w:rsidRPr="00FB4FAB" w:rsidRDefault="00590E55" w:rsidP="00590E55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590E55" w:rsidRPr="00FB4FAB" w14:paraId="684E3625" w14:textId="75749B6F" w:rsidTr="00EE3724">
        <w:trPr>
          <w:trHeight w:val="300"/>
        </w:trPr>
        <w:tc>
          <w:tcPr>
            <w:tcW w:w="3903" w:type="dxa"/>
          </w:tcPr>
          <w:p w14:paraId="71F31F49" w14:textId="3073A4C2" w:rsidR="00590E55" w:rsidRPr="00FB4FAB" w:rsidRDefault="00590E55" w:rsidP="00590E55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lastRenderedPageBreak/>
              <w:t>XVI - premissas utilizadas no cálculo, a metodologia e a forma de precificação utilizadas na avaliação dos ativos financeiros sem cotação no mercado, inclusive os que compõem a carteira de fundos de investimentos, constantes do laudo de avaliação econômica, bem como as justificativas para a escolha do preço do ativo nos casos em que mais de uma opção seja apresentada pelo avaliador;</w:t>
            </w:r>
          </w:p>
          <w:p w14:paraId="33C888A1" w14:textId="048FB29A" w:rsidR="00590E55" w:rsidRPr="00FB4FAB" w:rsidRDefault="00590E55" w:rsidP="00590E55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5342B260" w14:textId="5E954576" w:rsidR="00590E55" w:rsidRPr="00FB4FAB" w:rsidRDefault="00590E55" w:rsidP="00590E55">
            <w:pPr>
              <w:spacing w:after="160"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656486A6" w14:textId="4BFDA179" w:rsidR="00590E55" w:rsidRPr="00831552" w:rsidRDefault="00866C64" w:rsidP="00590E55">
            <w:pPr>
              <w:spacing w:line="276" w:lineRule="auto"/>
              <w:jc w:val="both"/>
              <w:rPr>
                <w:rFonts w:ascii="Calibri" w:eastAsia="Aptos" w:hAnsi="Calibri" w:cs="Calibri"/>
                <w:color w:val="00B050"/>
                <w:sz w:val="24"/>
                <w:szCs w:val="24"/>
                <w:highlight w:val="red"/>
              </w:rPr>
            </w:pPr>
            <w:r w:rsidRPr="00831552">
              <w:rPr>
                <w:rFonts w:ascii="Calibri" w:hAnsi="Calibri" w:cs="Calibri"/>
                <w:color w:val="00B050"/>
                <w:sz w:val="24"/>
                <w:szCs w:val="24"/>
              </w:rPr>
              <w:t>Item Revogado</w:t>
            </w:r>
          </w:p>
        </w:tc>
        <w:tc>
          <w:tcPr>
            <w:tcW w:w="3222" w:type="dxa"/>
          </w:tcPr>
          <w:p w14:paraId="157BF9D9" w14:textId="77777777" w:rsidR="00590E55" w:rsidRPr="00FB4FAB" w:rsidRDefault="00590E55" w:rsidP="00590E55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590E55" w:rsidRPr="00FB4FAB" w14:paraId="5E530355" w14:textId="47330586" w:rsidTr="00EE3724">
        <w:trPr>
          <w:trHeight w:val="300"/>
        </w:trPr>
        <w:tc>
          <w:tcPr>
            <w:tcW w:w="3903" w:type="dxa"/>
          </w:tcPr>
          <w:p w14:paraId="629FF0C0" w14:textId="3F0E911C" w:rsidR="00590E55" w:rsidRPr="00FB4FAB" w:rsidRDefault="00590E55" w:rsidP="00590E55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>XVII - premissas utilizadas para avaliação de imóveis constantes do laudo de avaliação, bem como as justificativas para a escolha do preço do ativo nos casos em que mais de uma opção seja apresentada pelo avaliador;</w:t>
            </w:r>
          </w:p>
        </w:tc>
        <w:tc>
          <w:tcPr>
            <w:tcW w:w="3886" w:type="dxa"/>
          </w:tcPr>
          <w:p w14:paraId="5B11A947" w14:textId="69053950" w:rsidR="00590E55" w:rsidRPr="00FB4FAB" w:rsidRDefault="00590E55" w:rsidP="00590E55">
            <w:pPr>
              <w:spacing w:after="160"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6B452D6D" w14:textId="5C286F47" w:rsidR="00590E55" w:rsidRPr="00831552" w:rsidRDefault="00866C64" w:rsidP="00590E55">
            <w:pPr>
              <w:spacing w:line="276" w:lineRule="auto"/>
              <w:jc w:val="both"/>
              <w:rPr>
                <w:rFonts w:ascii="Calibri" w:eastAsia="Aptos" w:hAnsi="Calibri" w:cs="Calibri"/>
                <w:color w:val="00B050"/>
                <w:sz w:val="24"/>
                <w:szCs w:val="24"/>
                <w:highlight w:val="red"/>
              </w:rPr>
            </w:pPr>
            <w:r w:rsidRPr="00831552">
              <w:rPr>
                <w:rFonts w:ascii="Calibri" w:hAnsi="Calibri" w:cs="Calibri"/>
                <w:color w:val="00B050"/>
                <w:sz w:val="24"/>
                <w:szCs w:val="24"/>
              </w:rPr>
              <w:t>Item Revogado</w:t>
            </w:r>
          </w:p>
        </w:tc>
        <w:tc>
          <w:tcPr>
            <w:tcW w:w="3222" w:type="dxa"/>
          </w:tcPr>
          <w:p w14:paraId="0B67D148" w14:textId="77777777" w:rsidR="00590E55" w:rsidRPr="00FB4FAB" w:rsidRDefault="00590E55" w:rsidP="00590E55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590E55" w:rsidRPr="00FB4FAB" w14:paraId="38361E90" w14:textId="41192141" w:rsidTr="00EE3724">
        <w:trPr>
          <w:trHeight w:val="300"/>
        </w:trPr>
        <w:tc>
          <w:tcPr>
            <w:tcW w:w="3903" w:type="dxa"/>
          </w:tcPr>
          <w:p w14:paraId="36F8F627" w14:textId="736A6A92" w:rsidR="00590E55" w:rsidRPr="00FB4FAB" w:rsidRDefault="00590E55" w:rsidP="00590E55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 xml:space="preserve">XVIII - controle e acompanhamento contábil e financeiro dos títulos objeto do ajuste de precificação contendo, no mínimo, a natureza, a quantidade e o montante de títulos por faixa de vencimento, o valor investido e o valor do ajuste </w:t>
            </w:r>
            <w:r w:rsidRPr="00FB4FAB">
              <w:rPr>
                <w:rFonts w:ascii="Calibri" w:eastAsia="Calibri" w:hAnsi="Calibri" w:cs="Calibri"/>
                <w:sz w:val="24"/>
                <w:szCs w:val="24"/>
              </w:rPr>
              <w:lastRenderedPageBreak/>
              <w:t>posicionado na data de encerramento do exercício ou em decorrência de fato relevante;</w:t>
            </w:r>
          </w:p>
          <w:p w14:paraId="5C12DB0C" w14:textId="1E167435" w:rsidR="00590E55" w:rsidRPr="00FB4FAB" w:rsidRDefault="00590E55" w:rsidP="00590E55">
            <w:pPr>
              <w:spacing w:line="24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494EAC62" w14:textId="1F96B296" w:rsidR="00590E55" w:rsidRPr="00FB4FAB" w:rsidRDefault="00590E55" w:rsidP="00590E55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12AEE0FE" w14:textId="2CE1B3C4" w:rsidR="00590E55" w:rsidRPr="00831552" w:rsidRDefault="00866C64" w:rsidP="00590E55">
            <w:pPr>
              <w:spacing w:line="240" w:lineRule="auto"/>
              <w:jc w:val="both"/>
              <w:rPr>
                <w:rFonts w:ascii="Calibri" w:eastAsia="Aptos" w:hAnsi="Calibri" w:cs="Calibri"/>
                <w:color w:val="00B050"/>
                <w:sz w:val="24"/>
                <w:szCs w:val="24"/>
              </w:rPr>
            </w:pPr>
            <w:r w:rsidRPr="00831552">
              <w:rPr>
                <w:rFonts w:ascii="Calibri" w:hAnsi="Calibri" w:cs="Calibri"/>
                <w:color w:val="00B050"/>
                <w:sz w:val="24"/>
                <w:szCs w:val="24"/>
              </w:rPr>
              <w:t>Item Revogado</w:t>
            </w:r>
          </w:p>
        </w:tc>
        <w:tc>
          <w:tcPr>
            <w:tcW w:w="3222" w:type="dxa"/>
          </w:tcPr>
          <w:p w14:paraId="7C1D8FCE" w14:textId="77777777" w:rsidR="00590E55" w:rsidRPr="00FB4FAB" w:rsidRDefault="00590E55" w:rsidP="00590E55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590E55" w:rsidRPr="00FB4FAB" w14:paraId="36AA5743" w14:textId="5DDC554B" w:rsidTr="00EE3724">
        <w:trPr>
          <w:trHeight w:val="300"/>
        </w:trPr>
        <w:tc>
          <w:tcPr>
            <w:tcW w:w="3903" w:type="dxa"/>
          </w:tcPr>
          <w:p w14:paraId="63F1726C" w14:textId="3E6B4F1D" w:rsidR="00590E55" w:rsidRPr="00FB4FAB" w:rsidRDefault="00590E55" w:rsidP="00590E55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>XIX - equacionamento de déficit técnico com indicação do plano de benefícios, do prazo, das taxas ou valores de contribuições, das contribuições extraordinárias de participantes, assistidos e patrocinadores, da eventual inadimplência e do tempo restante do equacionamento;</w:t>
            </w:r>
          </w:p>
          <w:p w14:paraId="6C684254" w14:textId="5CFFEA15" w:rsidR="00590E55" w:rsidRPr="00FB4FAB" w:rsidRDefault="00590E55" w:rsidP="00590E55">
            <w:pPr>
              <w:spacing w:line="24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000E93BD" w14:textId="076823CD" w:rsidR="00590E55" w:rsidRPr="00FB4FAB" w:rsidRDefault="00590E55" w:rsidP="00590E55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316757FF" w14:textId="69BA42D0" w:rsidR="00590E55" w:rsidRPr="00831552" w:rsidRDefault="00866C64" w:rsidP="00590E55">
            <w:pPr>
              <w:spacing w:line="240" w:lineRule="auto"/>
              <w:jc w:val="both"/>
              <w:rPr>
                <w:rFonts w:ascii="Calibri" w:eastAsia="Aptos" w:hAnsi="Calibri" w:cs="Calibri"/>
                <w:color w:val="00B050"/>
                <w:sz w:val="24"/>
                <w:szCs w:val="24"/>
                <w:highlight w:val="red"/>
              </w:rPr>
            </w:pPr>
            <w:r w:rsidRPr="00831552">
              <w:rPr>
                <w:rFonts w:ascii="Calibri" w:hAnsi="Calibri" w:cs="Calibri"/>
                <w:color w:val="00B050"/>
                <w:sz w:val="24"/>
                <w:szCs w:val="24"/>
              </w:rPr>
              <w:t>Item Revogado</w:t>
            </w:r>
          </w:p>
        </w:tc>
        <w:tc>
          <w:tcPr>
            <w:tcW w:w="3222" w:type="dxa"/>
          </w:tcPr>
          <w:p w14:paraId="68C104AC" w14:textId="77777777" w:rsidR="00590E55" w:rsidRPr="00FB4FAB" w:rsidRDefault="00590E55" w:rsidP="00590E55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590E55" w:rsidRPr="00FB4FAB" w14:paraId="70FF7058" w14:textId="4FF9E618" w:rsidTr="00EE3724">
        <w:trPr>
          <w:trHeight w:val="300"/>
        </w:trPr>
        <w:tc>
          <w:tcPr>
            <w:tcW w:w="3903" w:type="dxa"/>
          </w:tcPr>
          <w:p w14:paraId="1F4D5892" w14:textId="6C4E2229" w:rsidR="00590E55" w:rsidRPr="00FB4FAB" w:rsidRDefault="00590E55" w:rsidP="00590E55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>XX - critérios e prazos utilizados para a destinação de superávit técnico, caso aplicável;</w:t>
            </w:r>
          </w:p>
          <w:p w14:paraId="3B10464C" w14:textId="7F482E06" w:rsidR="00590E55" w:rsidRPr="00FB4FAB" w:rsidRDefault="00590E55" w:rsidP="00590E55">
            <w:pPr>
              <w:spacing w:line="24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0B031D47" w14:textId="734DDB7D" w:rsidR="00590E55" w:rsidRPr="00FB4FAB" w:rsidRDefault="00590E55" w:rsidP="00590E55">
            <w:pPr>
              <w:spacing w:after="160"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7F2CD6DB" w14:textId="29A212E2" w:rsidR="00590E55" w:rsidRPr="00831552" w:rsidRDefault="00866C64" w:rsidP="00590E55">
            <w:pPr>
              <w:spacing w:line="276" w:lineRule="auto"/>
              <w:jc w:val="both"/>
              <w:rPr>
                <w:rFonts w:ascii="Calibri" w:eastAsia="Aptos" w:hAnsi="Calibri" w:cs="Calibri"/>
                <w:color w:val="00B050"/>
                <w:sz w:val="24"/>
                <w:szCs w:val="24"/>
                <w:highlight w:val="red"/>
              </w:rPr>
            </w:pPr>
            <w:r w:rsidRPr="00831552">
              <w:rPr>
                <w:rFonts w:ascii="Calibri" w:hAnsi="Calibri" w:cs="Calibri"/>
                <w:color w:val="00B050"/>
                <w:sz w:val="24"/>
                <w:szCs w:val="24"/>
              </w:rPr>
              <w:t>Item Revogado</w:t>
            </w:r>
          </w:p>
        </w:tc>
        <w:tc>
          <w:tcPr>
            <w:tcW w:w="3222" w:type="dxa"/>
          </w:tcPr>
          <w:p w14:paraId="40FD08A6" w14:textId="77777777" w:rsidR="00590E55" w:rsidRPr="00FB4FAB" w:rsidRDefault="00590E55" w:rsidP="00590E55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590E55" w:rsidRPr="00FB4FAB" w14:paraId="5E4E7965" w14:textId="519CCC4B" w:rsidTr="00EE3724">
        <w:trPr>
          <w:trHeight w:val="300"/>
        </w:trPr>
        <w:tc>
          <w:tcPr>
            <w:tcW w:w="3903" w:type="dxa"/>
          </w:tcPr>
          <w:p w14:paraId="3EC38124" w14:textId="7C881F6A" w:rsidR="00590E55" w:rsidRPr="00FB4FAB" w:rsidRDefault="00590E55" w:rsidP="00590E55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>XXI - títulos públicos federais classificados na categoria "títulos mantidos até o vencimento", negociados no período, especificando a data da negociação, quantidade negociada, valor total negociado, o efeito no resultado e a justificativa para negociação;</w:t>
            </w:r>
          </w:p>
          <w:p w14:paraId="3E341DA7" w14:textId="07345F50" w:rsidR="00590E55" w:rsidRPr="00FB4FAB" w:rsidRDefault="00590E55" w:rsidP="00590E55">
            <w:pPr>
              <w:spacing w:line="24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6D8239D2" w14:textId="0CEA30B1" w:rsidR="00590E55" w:rsidRPr="00FB4FAB" w:rsidRDefault="00590E55" w:rsidP="00590E55">
            <w:pPr>
              <w:spacing w:after="160"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5EB27650" w14:textId="49BB4277" w:rsidR="00590E55" w:rsidRPr="00FB4FAB" w:rsidRDefault="00866C64" w:rsidP="00590E55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  <w:highlight w:val="red"/>
              </w:rPr>
            </w:pPr>
            <w:r w:rsidRPr="00831552">
              <w:rPr>
                <w:rFonts w:ascii="Calibri" w:hAnsi="Calibri" w:cs="Calibri"/>
                <w:color w:val="00B050"/>
                <w:sz w:val="24"/>
                <w:szCs w:val="24"/>
              </w:rPr>
              <w:t>Item Revogado</w:t>
            </w:r>
          </w:p>
        </w:tc>
        <w:tc>
          <w:tcPr>
            <w:tcW w:w="3222" w:type="dxa"/>
          </w:tcPr>
          <w:p w14:paraId="0756284D" w14:textId="77777777" w:rsidR="00590E55" w:rsidRPr="00FB4FAB" w:rsidRDefault="00590E55" w:rsidP="00590E55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590E55" w:rsidRPr="00FB4FAB" w14:paraId="10ECCBB8" w14:textId="1AFA4DD6" w:rsidTr="00EE3724">
        <w:trPr>
          <w:trHeight w:val="300"/>
        </w:trPr>
        <w:tc>
          <w:tcPr>
            <w:tcW w:w="3903" w:type="dxa"/>
          </w:tcPr>
          <w:p w14:paraId="781205FA" w14:textId="64BC0AA3" w:rsidR="00590E55" w:rsidRPr="00FB4FAB" w:rsidRDefault="00590E55" w:rsidP="00590E55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 xml:space="preserve">XXII - títulos públicos federais reclassificados da categoria "títulos </w:t>
            </w:r>
            <w:r w:rsidRPr="00FB4FAB">
              <w:rPr>
                <w:rFonts w:ascii="Calibri" w:eastAsia="Calibri" w:hAnsi="Calibri" w:cs="Calibri"/>
                <w:sz w:val="24"/>
                <w:szCs w:val="24"/>
              </w:rPr>
              <w:lastRenderedPageBreak/>
              <w:t>mantidos até o vencimento" para “títulos mantidos para negociação”;</w:t>
            </w:r>
          </w:p>
          <w:p w14:paraId="3AB0B4DB" w14:textId="2CB8E540" w:rsidR="00590E55" w:rsidRPr="00FB4FAB" w:rsidRDefault="00590E55" w:rsidP="00590E55">
            <w:pPr>
              <w:spacing w:line="24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7F6C2567" w14:textId="0F5AA788" w:rsidR="00590E55" w:rsidRPr="00FB4FAB" w:rsidRDefault="00590E55" w:rsidP="00590E55">
            <w:pPr>
              <w:spacing w:after="160"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59C15F31" w14:textId="2FF1AB52" w:rsidR="00590E55" w:rsidRPr="00831552" w:rsidRDefault="00866C64" w:rsidP="001C356F">
            <w:pPr>
              <w:spacing w:line="276" w:lineRule="auto"/>
              <w:jc w:val="both"/>
              <w:rPr>
                <w:rFonts w:ascii="Calibri" w:eastAsia="Aptos" w:hAnsi="Calibri" w:cs="Calibri"/>
                <w:color w:val="00B050"/>
                <w:sz w:val="24"/>
                <w:szCs w:val="24"/>
              </w:rPr>
            </w:pPr>
            <w:r w:rsidRPr="00831552">
              <w:rPr>
                <w:rFonts w:ascii="Calibri" w:hAnsi="Calibri" w:cs="Calibri"/>
                <w:color w:val="00B050"/>
                <w:sz w:val="24"/>
                <w:szCs w:val="24"/>
              </w:rPr>
              <w:t>Item Revogado</w:t>
            </w:r>
          </w:p>
        </w:tc>
        <w:tc>
          <w:tcPr>
            <w:tcW w:w="3222" w:type="dxa"/>
          </w:tcPr>
          <w:p w14:paraId="0F88B887" w14:textId="77777777" w:rsidR="00590E55" w:rsidRPr="00FB4FAB" w:rsidRDefault="00590E55" w:rsidP="00590E55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590E55" w:rsidRPr="00FB4FAB" w14:paraId="4C72F697" w14:textId="485B5913" w:rsidTr="00EE3724">
        <w:trPr>
          <w:trHeight w:val="300"/>
        </w:trPr>
        <w:tc>
          <w:tcPr>
            <w:tcW w:w="3903" w:type="dxa"/>
          </w:tcPr>
          <w:p w14:paraId="055255BB" w14:textId="10F09315" w:rsidR="00590E55" w:rsidRPr="00FB4FAB" w:rsidRDefault="00590E55" w:rsidP="00590E55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>XXIII - utilização de recursos de fundo previdencial para cobertura parcial ou total das contribuições para o plano de benefícios;</w:t>
            </w:r>
          </w:p>
          <w:p w14:paraId="1681B6CC" w14:textId="1F2607DF" w:rsidR="00590E55" w:rsidRPr="00FB4FAB" w:rsidRDefault="00590E55" w:rsidP="00590E55">
            <w:pPr>
              <w:spacing w:line="24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6572E7C8" w14:textId="0C457559" w:rsidR="00590E55" w:rsidRPr="00FB4FAB" w:rsidRDefault="00590E55" w:rsidP="00590E55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4400C9BF" w14:textId="65462554" w:rsidR="00590E55" w:rsidRPr="00831552" w:rsidRDefault="00866C64" w:rsidP="00D67D22">
            <w:pPr>
              <w:spacing w:line="240" w:lineRule="auto"/>
              <w:jc w:val="both"/>
              <w:rPr>
                <w:rFonts w:ascii="Calibri" w:eastAsia="Aptos" w:hAnsi="Calibri" w:cs="Calibri"/>
                <w:color w:val="00B050"/>
                <w:sz w:val="24"/>
                <w:szCs w:val="24"/>
              </w:rPr>
            </w:pPr>
            <w:r w:rsidRPr="00831552">
              <w:rPr>
                <w:rFonts w:ascii="Calibri" w:hAnsi="Calibri" w:cs="Calibri"/>
                <w:color w:val="00B050"/>
                <w:sz w:val="24"/>
                <w:szCs w:val="24"/>
              </w:rPr>
              <w:t>Item Revogado</w:t>
            </w:r>
          </w:p>
        </w:tc>
        <w:tc>
          <w:tcPr>
            <w:tcW w:w="3222" w:type="dxa"/>
          </w:tcPr>
          <w:p w14:paraId="73750D49" w14:textId="77777777" w:rsidR="00590E55" w:rsidRPr="00FB4FAB" w:rsidRDefault="00590E55" w:rsidP="00590E55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590E55" w:rsidRPr="00FB4FAB" w14:paraId="20BA08A5" w14:textId="432C0164" w:rsidTr="00EE3724">
        <w:trPr>
          <w:trHeight w:val="300"/>
        </w:trPr>
        <w:tc>
          <w:tcPr>
            <w:tcW w:w="3903" w:type="dxa"/>
          </w:tcPr>
          <w:p w14:paraId="4B494DE1" w14:textId="616D4811" w:rsidR="00590E55" w:rsidRPr="00FB4FAB" w:rsidRDefault="00590E55" w:rsidP="00590E55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>XXIV - operações com patrocinador, incluindo detalhamento dos ativos financeiros e de recebíveis, indicando o grau de dependência (percentual apurado pela soma de ativos financeiros e recebíveis junto aos patrocinadores em relação ao ativo total) por plano de benefícios;</w:t>
            </w:r>
          </w:p>
          <w:p w14:paraId="1BCF74D3" w14:textId="69FEE4E1" w:rsidR="00590E55" w:rsidRPr="00FB4FAB" w:rsidRDefault="00590E55" w:rsidP="00590E55">
            <w:pPr>
              <w:spacing w:line="24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7078524D" w14:textId="18FCA3E4" w:rsidR="00590E55" w:rsidRPr="00FB4FAB" w:rsidRDefault="00590E55" w:rsidP="00590E55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34559A64" w14:textId="4F12FEBA" w:rsidR="00590E55" w:rsidRPr="00831552" w:rsidRDefault="00866C64" w:rsidP="00590E55">
            <w:pPr>
              <w:spacing w:line="240" w:lineRule="auto"/>
              <w:jc w:val="both"/>
              <w:rPr>
                <w:rFonts w:ascii="Calibri" w:eastAsia="Aptos" w:hAnsi="Calibri" w:cs="Calibri"/>
                <w:color w:val="00B050"/>
                <w:sz w:val="24"/>
                <w:szCs w:val="24"/>
              </w:rPr>
            </w:pPr>
            <w:r w:rsidRPr="00831552">
              <w:rPr>
                <w:rFonts w:ascii="Calibri" w:hAnsi="Calibri" w:cs="Calibri"/>
                <w:color w:val="00B050"/>
                <w:sz w:val="24"/>
                <w:szCs w:val="24"/>
              </w:rPr>
              <w:t>Item Revogado</w:t>
            </w:r>
          </w:p>
        </w:tc>
        <w:tc>
          <w:tcPr>
            <w:tcW w:w="3222" w:type="dxa"/>
          </w:tcPr>
          <w:p w14:paraId="0A3E33FF" w14:textId="77777777" w:rsidR="00590E55" w:rsidRPr="00FB4FAB" w:rsidRDefault="00590E55" w:rsidP="00590E55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590E55" w:rsidRPr="00FB4FAB" w14:paraId="3D2B26E9" w14:textId="761645AB" w:rsidTr="00EE3724">
        <w:trPr>
          <w:trHeight w:val="300"/>
        </w:trPr>
        <w:tc>
          <w:tcPr>
            <w:tcW w:w="3903" w:type="dxa"/>
          </w:tcPr>
          <w:p w14:paraId="44758F2D" w14:textId="3605E944" w:rsidR="00590E55" w:rsidRPr="00FB4FAB" w:rsidRDefault="00590E55" w:rsidP="00590E55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>XXV - identificação dos perfis de investimentos de participantes em planos de benefícios de caráter previdencial e suas características; e</w:t>
            </w:r>
          </w:p>
          <w:p w14:paraId="7980A005" w14:textId="72847DEC" w:rsidR="00590E55" w:rsidRPr="00FB4FAB" w:rsidRDefault="00590E55" w:rsidP="00590E55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028483F3" w14:textId="5FB38782" w:rsidR="00590E55" w:rsidRPr="00FB4FAB" w:rsidRDefault="00590E55" w:rsidP="00590E55">
            <w:pPr>
              <w:spacing w:after="160" w:line="240" w:lineRule="auto"/>
              <w:jc w:val="both"/>
              <w:rPr>
                <w:rFonts w:ascii="Calibri" w:hAnsi="Calibri" w:cs="Calibri"/>
                <w:color w:val="0070C0"/>
                <w:sz w:val="24"/>
                <w:szCs w:val="24"/>
              </w:rPr>
            </w:pPr>
          </w:p>
        </w:tc>
        <w:tc>
          <w:tcPr>
            <w:tcW w:w="4116" w:type="dxa"/>
          </w:tcPr>
          <w:p w14:paraId="6580299F" w14:textId="26C2FF09" w:rsidR="00590E55" w:rsidRPr="00831552" w:rsidRDefault="00866C64" w:rsidP="00590E55">
            <w:pPr>
              <w:spacing w:line="240" w:lineRule="auto"/>
              <w:jc w:val="both"/>
              <w:rPr>
                <w:rFonts w:ascii="Calibri" w:eastAsia="Aptos" w:hAnsi="Calibri" w:cs="Calibri"/>
                <w:color w:val="00B050"/>
                <w:sz w:val="24"/>
                <w:szCs w:val="24"/>
              </w:rPr>
            </w:pPr>
            <w:r w:rsidRPr="00831552">
              <w:rPr>
                <w:rFonts w:ascii="Calibri" w:hAnsi="Calibri" w:cs="Calibri"/>
                <w:color w:val="00B050"/>
                <w:sz w:val="24"/>
                <w:szCs w:val="24"/>
              </w:rPr>
              <w:t>Item Revogado</w:t>
            </w:r>
          </w:p>
        </w:tc>
        <w:tc>
          <w:tcPr>
            <w:tcW w:w="3222" w:type="dxa"/>
          </w:tcPr>
          <w:p w14:paraId="4F7BA2DD" w14:textId="77777777" w:rsidR="00590E55" w:rsidRPr="00FB4FAB" w:rsidRDefault="00590E55" w:rsidP="00590E55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590E55" w:rsidRPr="00FB4FAB" w14:paraId="1F6733F6" w14:textId="718DE6DE" w:rsidTr="00EE3724">
        <w:trPr>
          <w:trHeight w:val="300"/>
        </w:trPr>
        <w:tc>
          <w:tcPr>
            <w:tcW w:w="3903" w:type="dxa"/>
          </w:tcPr>
          <w:p w14:paraId="2A9CD03A" w14:textId="4D154B97" w:rsidR="00590E55" w:rsidRPr="00FB4FAB" w:rsidRDefault="00590E55" w:rsidP="00590E55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bookmarkStart w:id="2" w:name="_Hlk205977014"/>
            <w:r w:rsidRPr="00FB4FAB">
              <w:rPr>
                <w:rFonts w:ascii="Calibri" w:hAnsi="Calibri" w:cs="Calibri"/>
                <w:sz w:val="24"/>
                <w:szCs w:val="24"/>
              </w:rPr>
              <w:t xml:space="preserve">XXVI - operações entre partes relacionadas com, no mínimo, condições pactuadas e os montantes dos saldos existentes das transações, bem como a provisão para créditos de liquidação duvidosa </w:t>
            </w:r>
            <w:bookmarkEnd w:id="2"/>
            <w:r w:rsidRPr="00FB4FAB">
              <w:rPr>
                <w:rFonts w:ascii="Calibri" w:hAnsi="Calibri" w:cs="Calibri"/>
                <w:sz w:val="24"/>
                <w:szCs w:val="24"/>
              </w:rPr>
              <w:t>relacionada com o montante dos saldos existentes.</w:t>
            </w:r>
          </w:p>
        </w:tc>
        <w:tc>
          <w:tcPr>
            <w:tcW w:w="3886" w:type="dxa"/>
          </w:tcPr>
          <w:p w14:paraId="5D87EBD4" w14:textId="05627E91" w:rsidR="00590E55" w:rsidRPr="00FB4FAB" w:rsidRDefault="00590E55" w:rsidP="00590E55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5CA96DF5" w14:textId="21BED177" w:rsidR="00590E55" w:rsidRPr="00FB4FAB" w:rsidRDefault="00866C64" w:rsidP="00590E55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831552">
              <w:rPr>
                <w:rFonts w:ascii="Calibri" w:hAnsi="Calibri" w:cs="Calibri"/>
                <w:color w:val="00B050"/>
                <w:sz w:val="24"/>
                <w:szCs w:val="24"/>
              </w:rPr>
              <w:t>Item Revogado</w:t>
            </w:r>
          </w:p>
        </w:tc>
        <w:tc>
          <w:tcPr>
            <w:tcW w:w="3222" w:type="dxa"/>
          </w:tcPr>
          <w:p w14:paraId="6BDEBAA6" w14:textId="77777777" w:rsidR="00590E55" w:rsidRPr="00FB4FAB" w:rsidRDefault="00590E55" w:rsidP="00590E55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5F133F" w:rsidRPr="00FB4FAB" w14:paraId="489DFEA2" w14:textId="77777777" w:rsidTr="00EE3724">
        <w:trPr>
          <w:trHeight w:val="300"/>
        </w:trPr>
        <w:tc>
          <w:tcPr>
            <w:tcW w:w="3903" w:type="dxa"/>
          </w:tcPr>
          <w:p w14:paraId="4E1C0EE1" w14:textId="77777777" w:rsidR="005F133F" w:rsidRDefault="005F133F" w:rsidP="005F133F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3D5978C1" w14:textId="77777777" w:rsidR="005F133F" w:rsidRPr="00461BB9" w:rsidRDefault="005F133F" w:rsidP="005F133F">
            <w:pPr>
              <w:spacing w:after="200" w:line="276" w:lineRule="auto"/>
              <w:jc w:val="both"/>
              <w:rPr>
                <w:rFonts w:asciiTheme="majorHAnsi" w:hAnsiTheme="majorHAnsi" w:cstheme="majorBidi"/>
                <w:color w:val="0070C0"/>
              </w:rPr>
            </w:pPr>
            <w:r w:rsidRPr="00831552">
              <w:rPr>
                <w:rFonts w:asciiTheme="majorHAnsi" w:hAnsiTheme="majorHAnsi" w:cstheme="majorBidi"/>
                <w:color w:val="00B050"/>
              </w:rPr>
              <w:t>Art. 208-A.</w:t>
            </w:r>
            <w:r w:rsidRPr="00461BB9">
              <w:rPr>
                <w:rFonts w:asciiTheme="majorHAnsi" w:hAnsiTheme="majorHAnsi" w:cstheme="majorBidi"/>
                <w:color w:val="0070C0"/>
              </w:rPr>
              <w:t xml:space="preserve"> As EFPC devem elaborar e apresentar as Notas Explicativas às Demonstrações Contábeis seguindo </w:t>
            </w:r>
            <w:r>
              <w:rPr>
                <w:rFonts w:asciiTheme="majorHAnsi" w:hAnsiTheme="majorHAnsi" w:cstheme="majorBidi"/>
                <w:color w:val="0070C0"/>
              </w:rPr>
              <w:t xml:space="preserve">obrigatoriamente </w:t>
            </w:r>
            <w:r w:rsidRPr="00461BB9">
              <w:rPr>
                <w:rFonts w:asciiTheme="majorHAnsi" w:hAnsiTheme="majorHAnsi" w:cstheme="majorBidi"/>
                <w:color w:val="0070C0"/>
              </w:rPr>
              <w:t>a ordem dos incisos deste artigo, contendo, no mínimo, as informações neles previstas, segregadas, quando possível, por planos de benefícios e pelo Plano de Gestão Administrativa</w:t>
            </w:r>
            <w:r>
              <w:rPr>
                <w:rFonts w:asciiTheme="majorHAnsi" w:hAnsiTheme="majorHAnsi" w:cstheme="majorBidi"/>
                <w:color w:val="0070C0"/>
              </w:rPr>
              <w:t>:</w:t>
            </w:r>
          </w:p>
          <w:p w14:paraId="2573A09C" w14:textId="77777777" w:rsidR="005F133F" w:rsidRDefault="005F133F" w:rsidP="005F133F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2C7A6A18" w14:textId="59D6403A" w:rsidR="005F133F" w:rsidRPr="00F36F43" w:rsidRDefault="005F133F" w:rsidP="005F133F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36F43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A </w:t>
            </w:r>
            <w:r w:rsidRPr="00F36F43">
              <w:rPr>
                <w:rFonts w:ascii="Calibri" w:hAnsi="Calibri" w:cs="Calibri"/>
                <w:color w:val="00B050"/>
                <w:sz w:val="24"/>
                <w:szCs w:val="24"/>
              </w:rPr>
              <w:t>inclusão</w:t>
            </w:r>
            <w:r w:rsidRPr="00F36F43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 do artigo</w:t>
            </w:r>
            <w:r w:rsidR="00D05396" w:rsidRPr="00F36F43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 </w:t>
            </w:r>
            <w:r w:rsidR="00D05396" w:rsidRPr="00F36F43">
              <w:rPr>
                <w:rFonts w:ascii="Calibri" w:hAnsi="Calibri" w:cs="Calibri"/>
                <w:color w:val="00B050"/>
                <w:sz w:val="24"/>
                <w:szCs w:val="24"/>
              </w:rPr>
              <w:t>208-A</w:t>
            </w:r>
            <w:r w:rsidRPr="00F36F43">
              <w:rPr>
                <w:rFonts w:ascii="Calibri" w:hAnsi="Calibri" w:cs="Calibri"/>
                <w:color w:val="00B050"/>
                <w:sz w:val="24"/>
                <w:szCs w:val="24"/>
              </w:rPr>
              <w:t xml:space="preserve"> </w:t>
            </w:r>
            <w:r w:rsidR="002237F9">
              <w:rPr>
                <w:rFonts w:ascii="Calibri" w:hAnsi="Calibri" w:cs="Calibri"/>
                <w:color w:val="00B050"/>
                <w:sz w:val="24"/>
                <w:szCs w:val="24"/>
              </w:rPr>
              <w:t xml:space="preserve">em substituição ao art. 208, </w:t>
            </w:r>
            <w:r w:rsidR="00F607D5">
              <w:rPr>
                <w:rFonts w:ascii="Calibri" w:hAnsi="Calibri" w:cs="Calibri"/>
                <w:color w:val="00B050"/>
                <w:sz w:val="24"/>
                <w:szCs w:val="24"/>
              </w:rPr>
              <w:t xml:space="preserve">tendo </w:t>
            </w:r>
            <w:r w:rsidR="009003D3">
              <w:rPr>
                <w:rFonts w:ascii="Calibri" w:hAnsi="Calibri" w:cs="Calibri"/>
                <w:color w:val="00B050"/>
                <w:sz w:val="24"/>
                <w:szCs w:val="24"/>
              </w:rPr>
              <w:t>o objetivo de estabelecer</w:t>
            </w:r>
            <w:r w:rsidRPr="00F36F43">
              <w:rPr>
                <w:rFonts w:ascii="Calibri" w:hAnsi="Calibri" w:cs="Calibri"/>
                <w:sz w:val="24"/>
                <w:szCs w:val="24"/>
              </w:rPr>
              <w:t xml:space="preserve"> ordem mínima padronizada </w:t>
            </w:r>
            <w:r w:rsidR="00F80367" w:rsidRPr="00F80367">
              <w:rPr>
                <w:rFonts w:ascii="Calibri" w:hAnsi="Calibri" w:cs="Calibri"/>
                <w:color w:val="00B050"/>
                <w:sz w:val="24"/>
                <w:szCs w:val="24"/>
              </w:rPr>
              <w:t>de forma a</w:t>
            </w:r>
            <w:r w:rsidR="00F80367">
              <w:rPr>
                <w:rFonts w:ascii="Calibri" w:hAnsi="Calibri" w:cs="Calibri"/>
                <w:color w:val="00B050"/>
                <w:sz w:val="24"/>
                <w:szCs w:val="24"/>
              </w:rPr>
              <w:t xml:space="preserve"> garantir</w:t>
            </w:r>
            <w:r w:rsidRPr="00F36F43">
              <w:rPr>
                <w:rFonts w:ascii="Calibri" w:hAnsi="Calibri" w:cs="Calibri"/>
                <w:sz w:val="24"/>
                <w:szCs w:val="24"/>
              </w:rPr>
              <w:t xml:space="preserve"> uniformidade na apresentação das informações, facilitando a leitura técnica, a análise comparativa entre entidades e o acompanhamento pelo órgão fiscalizador. Além disso, atende aos princípios da compreensibilidade e comparabilidade, fundamentais na estrutura conceitual da contabilidade prevista no CPC 00 (R2). Atualmente, a ausência de um modelo sequencial tem gerado divergências na forma de exposição das informações, dificultando a análise técnica. </w:t>
            </w:r>
            <w:r w:rsidRPr="00F607D5">
              <w:rPr>
                <w:rFonts w:ascii="Calibri" w:hAnsi="Calibri" w:cs="Calibri"/>
                <w:color w:val="00B050"/>
                <w:sz w:val="24"/>
                <w:szCs w:val="24"/>
              </w:rPr>
              <w:t xml:space="preserve">Além disso, </w:t>
            </w:r>
            <w:r w:rsidR="00D10D1D" w:rsidRPr="00F607D5">
              <w:rPr>
                <w:rFonts w:ascii="Calibri" w:hAnsi="Calibri" w:cs="Calibri"/>
                <w:color w:val="00B050"/>
                <w:sz w:val="24"/>
                <w:szCs w:val="24"/>
              </w:rPr>
              <w:t>verificou-se a</w:t>
            </w:r>
            <w:r w:rsidRPr="00F607D5">
              <w:rPr>
                <w:rFonts w:ascii="Calibri" w:hAnsi="Calibri" w:cs="Calibri"/>
                <w:color w:val="00B050"/>
                <w:sz w:val="24"/>
                <w:szCs w:val="24"/>
              </w:rPr>
              <w:t xml:space="preserve"> necessidade de </w:t>
            </w:r>
            <w:r w:rsidR="00485D1F" w:rsidRPr="00F607D5">
              <w:rPr>
                <w:rFonts w:ascii="Calibri" w:hAnsi="Calibri" w:cs="Calibri"/>
                <w:color w:val="00B050"/>
                <w:sz w:val="24"/>
                <w:szCs w:val="24"/>
              </w:rPr>
              <w:t xml:space="preserve">incluir e </w:t>
            </w:r>
            <w:r w:rsidRPr="00F607D5">
              <w:rPr>
                <w:rFonts w:ascii="Calibri" w:hAnsi="Calibri" w:cs="Calibri"/>
                <w:color w:val="00B050"/>
                <w:sz w:val="24"/>
                <w:szCs w:val="24"/>
              </w:rPr>
              <w:t xml:space="preserve">readequar alguns incisos, </w:t>
            </w:r>
            <w:r w:rsidR="00485D1F" w:rsidRPr="00F607D5">
              <w:rPr>
                <w:rFonts w:ascii="Calibri" w:hAnsi="Calibri" w:cs="Calibri"/>
                <w:color w:val="00B050"/>
                <w:sz w:val="24"/>
                <w:szCs w:val="24"/>
              </w:rPr>
              <w:t xml:space="preserve">demandados </w:t>
            </w:r>
            <w:r w:rsidR="00333B0D" w:rsidRPr="00F607D5">
              <w:rPr>
                <w:rFonts w:ascii="Calibri" w:hAnsi="Calibri" w:cs="Calibri"/>
                <w:color w:val="00B050"/>
                <w:sz w:val="24"/>
                <w:szCs w:val="24"/>
              </w:rPr>
              <w:t xml:space="preserve">por </w:t>
            </w:r>
            <w:r w:rsidRPr="00F607D5">
              <w:rPr>
                <w:rFonts w:ascii="Calibri" w:hAnsi="Calibri" w:cs="Calibri"/>
                <w:color w:val="00B050"/>
                <w:sz w:val="24"/>
                <w:szCs w:val="24"/>
              </w:rPr>
              <w:t>área</w:t>
            </w:r>
            <w:r w:rsidR="00333B0D" w:rsidRPr="00F607D5">
              <w:rPr>
                <w:rFonts w:ascii="Calibri" w:hAnsi="Calibri" w:cs="Calibri"/>
                <w:color w:val="00B050"/>
                <w:sz w:val="24"/>
                <w:szCs w:val="24"/>
              </w:rPr>
              <w:t>s</w:t>
            </w:r>
            <w:r w:rsidRPr="00F607D5">
              <w:rPr>
                <w:rFonts w:ascii="Calibri" w:hAnsi="Calibri" w:cs="Calibri"/>
                <w:color w:val="00B050"/>
                <w:sz w:val="24"/>
                <w:szCs w:val="24"/>
              </w:rPr>
              <w:t xml:space="preserve"> técnica</w:t>
            </w:r>
            <w:r w:rsidR="00333B0D" w:rsidRPr="00F607D5">
              <w:rPr>
                <w:rFonts w:ascii="Calibri" w:hAnsi="Calibri" w:cs="Calibri"/>
                <w:color w:val="00B050"/>
                <w:sz w:val="24"/>
                <w:szCs w:val="24"/>
              </w:rPr>
              <w:t xml:space="preserve">s </w:t>
            </w:r>
            <w:r w:rsidR="00882D8E" w:rsidRPr="00F607D5">
              <w:rPr>
                <w:rFonts w:ascii="Calibri" w:hAnsi="Calibri" w:cs="Calibri"/>
                <w:color w:val="00B050"/>
                <w:sz w:val="24"/>
                <w:szCs w:val="24"/>
              </w:rPr>
              <w:t>internas e externas</w:t>
            </w:r>
            <w:r w:rsidRPr="00F607D5">
              <w:rPr>
                <w:rFonts w:ascii="Calibri" w:hAnsi="Calibri" w:cs="Calibri"/>
                <w:color w:val="00B050"/>
                <w:sz w:val="24"/>
                <w:szCs w:val="24"/>
              </w:rPr>
              <w:t>.</w:t>
            </w:r>
          </w:p>
          <w:p w14:paraId="5FE55677" w14:textId="77777777" w:rsidR="005F133F" w:rsidRPr="00FB4FAB" w:rsidRDefault="005F133F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121BD7FF" w14:textId="77777777" w:rsidR="002B2AE0" w:rsidRPr="002B2AE0" w:rsidRDefault="002B2AE0" w:rsidP="002B2AE0">
            <w:pPr>
              <w:jc w:val="both"/>
              <w:rPr>
                <w:rFonts w:ascii="Calibri" w:hAnsi="Calibri" w:cs="Calibri"/>
                <w:color w:val="00B050"/>
                <w:sz w:val="24"/>
                <w:szCs w:val="24"/>
              </w:rPr>
            </w:pPr>
            <w:r w:rsidRPr="002B2AE0">
              <w:rPr>
                <w:rFonts w:ascii="Calibri" w:hAnsi="Calibri" w:cs="Calibri"/>
                <w:color w:val="00B050"/>
                <w:sz w:val="24"/>
                <w:szCs w:val="24"/>
              </w:rPr>
              <w:t>Inciso III do art. 4º do Decreto nº 10.411/2020.</w:t>
            </w:r>
          </w:p>
          <w:p w14:paraId="513A10F3" w14:textId="77777777" w:rsidR="002B2AE0" w:rsidRPr="002B2AE0" w:rsidRDefault="002B2AE0" w:rsidP="002B2AE0">
            <w:pPr>
              <w:jc w:val="both"/>
              <w:rPr>
                <w:rFonts w:ascii="Calibri" w:hAnsi="Calibri" w:cs="Calibri"/>
                <w:color w:val="00B050"/>
                <w:sz w:val="24"/>
                <w:szCs w:val="24"/>
              </w:rPr>
            </w:pPr>
          </w:p>
          <w:p w14:paraId="6E2AB4AF" w14:textId="77777777" w:rsidR="00815879" w:rsidRDefault="002B2AE0" w:rsidP="00815879">
            <w:pPr>
              <w:jc w:val="both"/>
              <w:rPr>
                <w:rFonts w:ascii="Calibri" w:hAnsi="Calibri" w:cs="Calibri"/>
                <w:color w:val="00B050"/>
                <w:sz w:val="24"/>
                <w:szCs w:val="24"/>
              </w:rPr>
            </w:pPr>
            <w:r w:rsidRPr="002B2AE0">
              <w:rPr>
                <w:rFonts w:ascii="Calibri" w:hAnsi="Calibri" w:cs="Calibri"/>
                <w:color w:val="00B050"/>
                <w:sz w:val="24"/>
                <w:szCs w:val="24"/>
              </w:rPr>
              <w:t xml:space="preserve">A dispensa de AIR está baseada em ato normativo de baixo impacto, pois trata de </w:t>
            </w:r>
            <w:r w:rsidR="007B2D3C">
              <w:rPr>
                <w:rFonts w:ascii="Calibri" w:hAnsi="Calibri" w:cs="Calibri"/>
                <w:color w:val="00B050"/>
                <w:sz w:val="24"/>
                <w:szCs w:val="24"/>
              </w:rPr>
              <w:t>substituição de artigo</w:t>
            </w:r>
            <w:r w:rsidR="009A544D">
              <w:rPr>
                <w:rFonts w:ascii="Calibri" w:hAnsi="Calibri" w:cs="Calibri"/>
                <w:color w:val="00B050"/>
                <w:sz w:val="24"/>
                <w:szCs w:val="24"/>
              </w:rPr>
              <w:t xml:space="preserve"> (art. 208)</w:t>
            </w:r>
            <w:r w:rsidR="007B2D3C">
              <w:rPr>
                <w:rFonts w:ascii="Calibri" w:hAnsi="Calibri" w:cs="Calibri"/>
                <w:color w:val="00B050"/>
                <w:sz w:val="24"/>
                <w:szCs w:val="24"/>
              </w:rPr>
              <w:t xml:space="preserve"> </w:t>
            </w:r>
            <w:r w:rsidR="00AC3E29">
              <w:rPr>
                <w:rFonts w:ascii="Calibri" w:hAnsi="Calibri" w:cs="Calibri"/>
                <w:color w:val="00B050"/>
                <w:sz w:val="24"/>
                <w:szCs w:val="24"/>
              </w:rPr>
              <w:t xml:space="preserve">para </w:t>
            </w:r>
            <w:r w:rsidR="00815879">
              <w:rPr>
                <w:rFonts w:ascii="Calibri" w:hAnsi="Calibri" w:cs="Calibri"/>
                <w:color w:val="00B050"/>
                <w:sz w:val="24"/>
                <w:szCs w:val="24"/>
              </w:rPr>
              <w:t xml:space="preserve">ficar mais claro para o leitor, pois </w:t>
            </w:r>
            <w:r w:rsidR="009A544D">
              <w:rPr>
                <w:rFonts w:ascii="Calibri" w:hAnsi="Calibri" w:cs="Calibri"/>
                <w:color w:val="00B050"/>
                <w:sz w:val="24"/>
                <w:szCs w:val="24"/>
              </w:rPr>
              <w:t xml:space="preserve">verificou-se a necessidade de </w:t>
            </w:r>
            <w:r w:rsidR="004051C1">
              <w:rPr>
                <w:rFonts w:ascii="Calibri" w:hAnsi="Calibri" w:cs="Calibri"/>
                <w:color w:val="00B050"/>
                <w:sz w:val="24"/>
                <w:szCs w:val="24"/>
              </w:rPr>
              <w:t xml:space="preserve">inclusão e reordenamento </w:t>
            </w:r>
            <w:r w:rsidR="00021AEC">
              <w:rPr>
                <w:rFonts w:ascii="Calibri" w:hAnsi="Calibri" w:cs="Calibri"/>
                <w:color w:val="00B050"/>
                <w:sz w:val="24"/>
                <w:szCs w:val="24"/>
              </w:rPr>
              <w:t>de</w:t>
            </w:r>
            <w:r w:rsidR="004051C1">
              <w:rPr>
                <w:rFonts w:ascii="Calibri" w:hAnsi="Calibri" w:cs="Calibri"/>
                <w:color w:val="00B050"/>
                <w:sz w:val="24"/>
                <w:szCs w:val="24"/>
              </w:rPr>
              <w:t xml:space="preserve"> incisos</w:t>
            </w:r>
            <w:r w:rsidR="00021AEC">
              <w:rPr>
                <w:rFonts w:ascii="Calibri" w:hAnsi="Calibri" w:cs="Calibri"/>
                <w:color w:val="00B050"/>
                <w:sz w:val="24"/>
                <w:szCs w:val="24"/>
              </w:rPr>
              <w:t xml:space="preserve">. </w:t>
            </w:r>
          </w:p>
          <w:p w14:paraId="7C32EC3E" w14:textId="4CCDB671" w:rsidR="005F133F" w:rsidRDefault="00021AEC" w:rsidP="0081587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color w:val="00B050"/>
                <w:sz w:val="24"/>
                <w:szCs w:val="24"/>
              </w:rPr>
              <w:t>As alterações e inclus</w:t>
            </w:r>
            <w:r w:rsidR="000C7F7C">
              <w:rPr>
                <w:rFonts w:ascii="Calibri" w:hAnsi="Calibri" w:cs="Calibri"/>
                <w:color w:val="00B050"/>
                <w:sz w:val="24"/>
                <w:szCs w:val="24"/>
              </w:rPr>
              <w:t xml:space="preserve">ões propostas </w:t>
            </w:r>
            <w:r>
              <w:rPr>
                <w:rFonts w:ascii="Calibri" w:hAnsi="Calibri" w:cs="Calibri"/>
                <w:color w:val="00B050"/>
                <w:sz w:val="24"/>
                <w:szCs w:val="24"/>
              </w:rPr>
              <w:t xml:space="preserve">são pontuais </w:t>
            </w:r>
            <w:r w:rsidR="00BE306D">
              <w:rPr>
                <w:rFonts w:ascii="Calibri" w:hAnsi="Calibri" w:cs="Calibri"/>
                <w:color w:val="00B050"/>
                <w:sz w:val="24"/>
                <w:szCs w:val="24"/>
              </w:rPr>
              <w:t>para trazer maior transpar</w:t>
            </w:r>
            <w:r w:rsidR="00EB47F5">
              <w:rPr>
                <w:rFonts w:ascii="Calibri" w:hAnsi="Calibri" w:cs="Calibri"/>
                <w:color w:val="00B050"/>
                <w:sz w:val="24"/>
                <w:szCs w:val="24"/>
              </w:rPr>
              <w:t>ência para as notas explicativas.</w:t>
            </w:r>
            <w:r w:rsidR="00BE306D">
              <w:rPr>
                <w:rFonts w:ascii="Calibri" w:hAnsi="Calibri" w:cs="Calibri"/>
                <w:color w:val="00B050"/>
                <w:sz w:val="24"/>
                <w:szCs w:val="24"/>
              </w:rPr>
              <w:t xml:space="preserve"> </w:t>
            </w:r>
          </w:p>
        </w:tc>
      </w:tr>
      <w:tr w:rsidR="005F133F" w:rsidRPr="00FB4FAB" w14:paraId="24903043" w14:textId="77777777" w:rsidTr="00EE3724">
        <w:trPr>
          <w:trHeight w:val="300"/>
        </w:trPr>
        <w:tc>
          <w:tcPr>
            <w:tcW w:w="3903" w:type="dxa"/>
          </w:tcPr>
          <w:p w14:paraId="490E3874" w14:textId="307689DD" w:rsidR="005F133F" w:rsidRDefault="005F133F" w:rsidP="005F133F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4198A30A" w14:textId="3EE077BD" w:rsidR="005F133F" w:rsidRDefault="005F133F" w:rsidP="005F133F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I - contexto operacional das EFPC, incluindo resumo das principais práticas contábeis, relação dos itens avaliados, descrição dos critérios adotados nos períodos, anterior e atual, e eventuais efeitos decorrentes de mudanças de critérios;</w:t>
            </w:r>
          </w:p>
        </w:tc>
        <w:tc>
          <w:tcPr>
            <w:tcW w:w="4116" w:type="dxa"/>
          </w:tcPr>
          <w:p w14:paraId="17B39BDD" w14:textId="23E02B4B" w:rsidR="005F133F" w:rsidRPr="00FB4FAB" w:rsidRDefault="00177A03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177A03">
              <w:rPr>
                <w:rFonts w:ascii="Calibri" w:hAnsi="Calibri" w:cs="Calibri"/>
                <w:color w:val="00B050"/>
                <w:sz w:val="24"/>
                <w:szCs w:val="24"/>
              </w:rPr>
              <w:t>Inciso I do art. 208</w:t>
            </w:r>
          </w:p>
        </w:tc>
        <w:tc>
          <w:tcPr>
            <w:tcW w:w="3222" w:type="dxa"/>
          </w:tcPr>
          <w:p w14:paraId="606F2FF8" w14:textId="63ED7A51" w:rsidR="005F133F" w:rsidRDefault="00EB47F5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B47F5">
              <w:rPr>
                <w:rFonts w:ascii="Calibri" w:hAnsi="Calibri" w:cs="Calibri"/>
                <w:color w:val="00B050"/>
                <w:sz w:val="24"/>
                <w:szCs w:val="24"/>
              </w:rPr>
              <w:t>Idem art. 208-A.</w:t>
            </w:r>
          </w:p>
        </w:tc>
      </w:tr>
      <w:tr w:rsidR="005F133F" w:rsidRPr="00FB4FAB" w14:paraId="640F0AA4" w14:textId="77777777" w:rsidTr="00EE3724">
        <w:trPr>
          <w:trHeight w:val="300"/>
        </w:trPr>
        <w:tc>
          <w:tcPr>
            <w:tcW w:w="3903" w:type="dxa"/>
          </w:tcPr>
          <w:p w14:paraId="4A9834C9" w14:textId="4E93AFA3" w:rsidR="005F133F" w:rsidRDefault="005F133F" w:rsidP="005F133F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7678E0A0" w14:textId="77777777" w:rsidR="005F133F" w:rsidRPr="00FB4FAB" w:rsidRDefault="005F133F" w:rsidP="005F133F">
            <w:pPr>
              <w:spacing w:after="160"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II -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>composição da carteira de investimentos, em comparação com a do exercício anterior;</w:t>
            </w:r>
          </w:p>
          <w:p w14:paraId="4C2DD092" w14:textId="77777777" w:rsidR="005F133F" w:rsidRDefault="005F133F" w:rsidP="005F133F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14A74ACE" w14:textId="164E5E60" w:rsidR="005F133F" w:rsidRPr="00FB4FAB" w:rsidRDefault="005F133F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Devido </w:t>
            </w:r>
            <w:r>
              <w:rPr>
                <w:rFonts w:ascii="Calibri" w:eastAsia="Aptos" w:hAnsi="Calibri" w:cs="Calibri"/>
                <w:sz w:val="24"/>
                <w:szCs w:val="24"/>
              </w:rPr>
              <w:t>à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 reorganização do ordenamento do conteúdo mínimo das notas explicativas, o inciso IX </w:t>
            </w:r>
            <w:r>
              <w:rPr>
                <w:rFonts w:ascii="Calibri" w:eastAsia="Aptos" w:hAnsi="Calibri" w:cs="Calibri"/>
                <w:color w:val="3A7C22" w:themeColor="accent6" w:themeShade="BF"/>
                <w:sz w:val="24"/>
                <w:szCs w:val="24"/>
              </w:rPr>
              <w:t xml:space="preserve">do art. 208 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>foi realocado para inciso II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 w:rsidRPr="00CC67E5">
              <w:rPr>
                <w:rFonts w:ascii="Calibri" w:eastAsia="Aptos" w:hAnsi="Calibri" w:cs="Calibri"/>
                <w:color w:val="3A7C22" w:themeColor="accent6" w:themeShade="BF"/>
                <w:sz w:val="24"/>
                <w:szCs w:val="24"/>
              </w:rPr>
              <w:t>d</w:t>
            </w:r>
            <w:r w:rsidRPr="00B616E6">
              <w:rPr>
                <w:rFonts w:ascii="Calibri" w:eastAsia="Aptos" w:hAnsi="Calibri" w:cs="Calibri"/>
                <w:color w:val="3A7C22" w:themeColor="accent6" w:themeShade="BF"/>
                <w:sz w:val="24"/>
                <w:szCs w:val="24"/>
              </w:rPr>
              <w:t>o art</w:t>
            </w:r>
            <w:r>
              <w:rPr>
                <w:rFonts w:ascii="Calibri" w:eastAsia="Aptos" w:hAnsi="Calibri" w:cs="Calibri"/>
                <w:color w:val="3A7C22" w:themeColor="accent6" w:themeShade="BF"/>
                <w:sz w:val="24"/>
                <w:szCs w:val="24"/>
              </w:rPr>
              <w:t>.</w:t>
            </w:r>
            <w:r w:rsidRPr="00B616E6">
              <w:rPr>
                <w:rFonts w:ascii="Calibri" w:eastAsia="Aptos" w:hAnsi="Calibri" w:cs="Calibri"/>
                <w:color w:val="3A7C22" w:themeColor="accent6" w:themeShade="BF"/>
                <w:sz w:val="24"/>
                <w:szCs w:val="24"/>
              </w:rPr>
              <w:t xml:space="preserve"> 208-A.</w:t>
            </w:r>
          </w:p>
        </w:tc>
        <w:tc>
          <w:tcPr>
            <w:tcW w:w="3222" w:type="dxa"/>
          </w:tcPr>
          <w:p w14:paraId="70ED8B89" w14:textId="1E69DB6C" w:rsidR="005F133F" w:rsidRDefault="00EB47F5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B47F5">
              <w:rPr>
                <w:rFonts w:ascii="Calibri" w:hAnsi="Calibri" w:cs="Calibri"/>
                <w:color w:val="00B050"/>
                <w:sz w:val="24"/>
                <w:szCs w:val="24"/>
              </w:rPr>
              <w:t>Idem art. 208-A.</w:t>
            </w:r>
          </w:p>
        </w:tc>
      </w:tr>
      <w:tr w:rsidR="005F133F" w:rsidRPr="00FB4FAB" w14:paraId="5A3513F0" w14:textId="77777777" w:rsidTr="00EE3724">
        <w:trPr>
          <w:trHeight w:val="300"/>
        </w:trPr>
        <w:tc>
          <w:tcPr>
            <w:tcW w:w="3903" w:type="dxa"/>
          </w:tcPr>
          <w:p w14:paraId="301829CB" w14:textId="12C5DD94" w:rsidR="005F133F" w:rsidRDefault="005F133F" w:rsidP="005F133F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2A082006" w14:textId="7D92B2CA" w:rsidR="005F133F" w:rsidRDefault="005F133F" w:rsidP="005F133F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III - títulos públicos federais classificados na categoria "títulos mantidos até o vencimento", negociados no período, especificando a data da negociação, quantidade negociada, valor total negociado, o efeito no resultado e a justificativa para negociação;</w:t>
            </w:r>
          </w:p>
        </w:tc>
        <w:tc>
          <w:tcPr>
            <w:tcW w:w="4116" w:type="dxa"/>
          </w:tcPr>
          <w:p w14:paraId="14C14067" w14:textId="7FE1F414" w:rsidR="005F133F" w:rsidRPr="00FB4FAB" w:rsidRDefault="005F133F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Devido </w:t>
            </w:r>
            <w:r>
              <w:rPr>
                <w:rFonts w:ascii="Calibri" w:eastAsia="Aptos" w:hAnsi="Calibri" w:cs="Calibri"/>
                <w:sz w:val="24"/>
                <w:szCs w:val="24"/>
              </w:rPr>
              <w:t>à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 reorganização do ordenamento do conteúdo mínimo das notas explicativas, o inciso XXI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Aptos" w:hAnsi="Calibri" w:cs="Calibri"/>
                <w:color w:val="3A7C22" w:themeColor="accent6" w:themeShade="BF"/>
                <w:sz w:val="24"/>
                <w:szCs w:val="24"/>
              </w:rPr>
              <w:t xml:space="preserve">do art. 208 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>foi realocado para inciso III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 w:rsidRPr="00CC67E5">
              <w:rPr>
                <w:rFonts w:ascii="Calibri" w:eastAsia="Aptos" w:hAnsi="Calibri" w:cs="Calibri"/>
                <w:color w:val="3A7C22" w:themeColor="accent6" w:themeShade="BF"/>
                <w:sz w:val="24"/>
                <w:szCs w:val="24"/>
              </w:rPr>
              <w:t>d</w:t>
            </w:r>
            <w:r w:rsidRPr="00B616E6">
              <w:rPr>
                <w:rFonts w:ascii="Calibri" w:eastAsia="Aptos" w:hAnsi="Calibri" w:cs="Calibri"/>
                <w:color w:val="3A7C22" w:themeColor="accent6" w:themeShade="BF"/>
                <w:sz w:val="24"/>
                <w:szCs w:val="24"/>
              </w:rPr>
              <w:t>o art</w:t>
            </w:r>
            <w:r>
              <w:rPr>
                <w:rFonts w:ascii="Calibri" w:eastAsia="Aptos" w:hAnsi="Calibri" w:cs="Calibri"/>
                <w:color w:val="3A7C22" w:themeColor="accent6" w:themeShade="BF"/>
                <w:sz w:val="24"/>
                <w:szCs w:val="24"/>
              </w:rPr>
              <w:t>.</w:t>
            </w:r>
            <w:r w:rsidRPr="00B616E6">
              <w:rPr>
                <w:rFonts w:ascii="Calibri" w:eastAsia="Aptos" w:hAnsi="Calibri" w:cs="Calibri"/>
                <w:color w:val="3A7C22" w:themeColor="accent6" w:themeShade="BF"/>
                <w:sz w:val="24"/>
                <w:szCs w:val="24"/>
              </w:rPr>
              <w:t xml:space="preserve"> 208-A.</w:t>
            </w:r>
          </w:p>
        </w:tc>
        <w:tc>
          <w:tcPr>
            <w:tcW w:w="3222" w:type="dxa"/>
          </w:tcPr>
          <w:p w14:paraId="54D06810" w14:textId="5E138963" w:rsidR="005F133F" w:rsidRDefault="00EB47F5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B47F5">
              <w:rPr>
                <w:rFonts w:ascii="Calibri" w:hAnsi="Calibri" w:cs="Calibri"/>
                <w:color w:val="00B050"/>
                <w:sz w:val="24"/>
                <w:szCs w:val="24"/>
              </w:rPr>
              <w:t>Idem art. 208-A.</w:t>
            </w:r>
          </w:p>
        </w:tc>
      </w:tr>
      <w:tr w:rsidR="005F133F" w:rsidRPr="00FB4FAB" w14:paraId="6FCA372F" w14:textId="77777777" w:rsidTr="00EE3724">
        <w:trPr>
          <w:trHeight w:val="300"/>
        </w:trPr>
        <w:tc>
          <w:tcPr>
            <w:tcW w:w="3903" w:type="dxa"/>
          </w:tcPr>
          <w:p w14:paraId="4E178B44" w14:textId="4BD236AE" w:rsidR="005F133F" w:rsidRDefault="005F133F" w:rsidP="005F133F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13891909" w14:textId="77777777" w:rsidR="005F133F" w:rsidRPr="00FB4FAB" w:rsidRDefault="005F133F" w:rsidP="005F133F">
            <w:pPr>
              <w:spacing w:after="160"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IV - títulos públicos federais reclassificados da categoria "títulos mantidos até o vencimento" para “títulos mantidos para negociação”;</w:t>
            </w:r>
          </w:p>
          <w:p w14:paraId="784690E2" w14:textId="77777777" w:rsidR="005F133F" w:rsidRDefault="005F133F" w:rsidP="005F133F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46311E7E" w14:textId="0D922F76" w:rsidR="005F133F" w:rsidRPr="00FB4FAB" w:rsidRDefault="005F133F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XXII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Aptos" w:hAnsi="Calibri" w:cs="Calibri"/>
                <w:color w:val="3A7C22" w:themeColor="accent6" w:themeShade="BF"/>
                <w:sz w:val="24"/>
                <w:szCs w:val="24"/>
              </w:rPr>
              <w:t>do art. 208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 foi realocado para inciso IV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 w:rsidRPr="00CC67E5">
              <w:rPr>
                <w:rFonts w:ascii="Calibri" w:eastAsia="Aptos" w:hAnsi="Calibri" w:cs="Calibri"/>
                <w:color w:val="3A7C22" w:themeColor="accent6" w:themeShade="BF"/>
                <w:sz w:val="24"/>
                <w:szCs w:val="24"/>
              </w:rPr>
              <w:t>d</w:t>
            </w:r>
            <w:r w:rsidRPr="00B616E6">
              <w:rPr>
                <w:rFonts w:ascii="Calibri" w:eastAsia="Aptos" w:hAnsi="Calibri" w:cs="Calibri"/>
                <w:color w:val="3A7C22" w:themeColor="accent6" w:themeShade="BF"/>
                <w:sz w:val="24"/>
                <w:szCs w:val="24"/>
              </w:rPr>
              <w:t>o art</w:t>
            </w:r>
            <w:r>
              <w:rPr>
                <w:rFonts w:ascii="Calibri" w:eastAsia="Aptos" w:hAnsi="Calibri" w:cs="Calibri"/>
                <w:color w:val="3A7C22" w:themeColor="accent6" w:themeShade="BF"/>
                <w:sz w:val="24"/>
                <w:szCs w:val="24"/>
              </w:rPr>
              <w:t>.</w:t>
            </w:r>
            <w:r w:rsidRPr="00B616E6">
              <w:rPr>
                <w:rFonts w:ascii="Calibri" w:eastAsia="Aptos" w:hAnsi="Calibri" w:cs="Calibri"/>
                <w:color w:val="3A7C22" w:themeColor="accent6" w:themeShade="BF"/>
                <w:sz w:val="24"/>
                <w:szCs w:val="24"/>
              </w:rPr>
              <w:t xml:space="preserve"> 208-A.</w:t>
            </w:r>
          </w:p>
        </w:tc>
        <w:tc>
          <w:tcPr>
            <w:tcW w:w="3222" w:type="dxa"/>
          </w:tcPr>
          <w:p w14:paraId="656BB34B" w14:textId="2E8A7BEC" w:rsidR="005F133F" w:rsidRDefault="00EB47F5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B47F5">
              <w:rPr>
                <w:rFonts w:ascii="Calibri" w:hAnsi="Calibri" w:cs="Calibri"/>
                <w:color w:val="00B050"/>
                <w:sz w:val="24"/>
                <w:szCs w:val="24"/>
              </w:rPr>
              <w:t>Idem art. 208-A.</w:t>
            </w:r>
          </w:p>
        </w:tc>
      </w:tr>
      <w:tr w:rsidR="005F133F" w:rsidRPr="00FB4FAB" w14:paraId="13A3EC3D" w14:textId="77777777" w:rsidTr="00EE3724">
        <w:trPr>
          <w:trHeight w:val="300"/>
        </w:trPr>
        <w:tc>
          <w:tcPr>
            <w:tcW w:w="3903" w:type="dxa"/>
          </w:tcPr>
          <w:p w14:paraId="3BB3F857" w14:textId="5A8888BA" w:rsidR="005F133F" w:rsidRDefault="005F133F" w:rsidP="005F133F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1D51C0D5" w14:textId="77777777" w:rsidR="005F133F" w:rsidRPr="00FB4FAB" w:rsidRDefault="005F133F" w:rsidP="005F133F">
            <w:pPr>
              <w:spacing w:after="160"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V - premissas utilizadas no cálculo, a metodologia e a forma de precificação utilizadas na avaliação dos ativos financeiros sem cotação no mercado, inclusive os que compõem a carteira de fundos de investimentos, constantes do laudo de avaliação econômica, bem como as 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lastRenderedPageBreak/>
              <w:t>justificativas para a escolha do preço do ativo nos casos em que mais de uma opção seja apresentada pelo avaliador;</w:t>
            </w:r>
          </w:p>
          <w:p w14:paraId="024AFB99" w14:textId="77777777" w:rsidR="005F133F" w:rsidRDefault="005F133F" w:rsidP="005F133F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645F716F" w14:textId="77777777" w:rsidR="005F133F" w:rsidRPr="000077E6" w:rsidRDefault="005F133F" w:rsidP="005F133F">
            <w:pPr>
              <w:spacing w:line="276" w:lineRule="auto"/>
              <w:jc w:val="both"/>
              <w:rPr>
                <w:rFonts w:ascii="Calibri" w:eastAsia="Aptos" w:hAnsi="Calibri" w:cs="Calibri"/>
                <w:color w:val="00B050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lastRenderedPageBreak/>
              <w:t>Devido a reorganização do ordenamento do conteúdo mínimo das notas explicativas, o inciso XVI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 w:rsidRPr="000077E6">
              <w:rPr>
                <w:rFonts w:ascii="Calibri" w:eastAsia="Aptos" w:hAnsi="Calibri" w:cs="Calibri"/>
                <w:color w:val="00B050"/>
                <w:sz w:val="24"/>
                <w:szCs w:val="24"/>
              </w:rPr>
              <w:t>do art. 208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 foi realocado para inciso V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 w:rsidRPr="000077E6">
              <w:rPr>
                <w:rFonts w:ascii="Calibri" w:eastAsia="Aptos" w:hAnsi="Calibri" w:cs="Calibri"/>
                <w:color w:val="00B050"/>
                <w:sz w:val="24"/>
                <w:szCs w:val="24"/>
              </w:rPr>
              <w:t>do art. 208-A.</w:t>
            </w:r>
          </w:p>
          <w:p w14:paraId="11A2D5D5" w14:textId="77777777" w:rsidR="005F133F" w:rsidRPr="00FB4FAB" w:rsidRDefault="005F133F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2EF1F72B" w14:textId="11C0E83A" w:rsidR="005F133F" w:rsidRDefault="00EB47F5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B47F5">
              <w:rPr>
                <w:rFonts w:ascii="Calibri" w:hAnsi="Calibri" w:cs="Calibri"/>
                <w:color w:val="00B050"/>
                <w:sz w:val="24"/>
                <w:szCs w:val="24"/>
              </w:rPr>
              <w:t>Idem art. 208-A.</w:t>
            </w:r>
          </w:p>
        </w:tc>
      </w:tr>
      <w:tr w:rsidR="005F133F" w:rsidRPr="00FB4FAB" w14:paraId="5F591EFE" w14:textId="77777777" w:rsidTr="00EE3724">
        <w:trPr>
          <w:trHeight w:val="300"/>
        </w:trPr>
        <w:tc>
          <w:tcPr>
            <w:tcW w:w="3903" w:type="dxa"/>
          </w:tcPr>
          <w:p w14:paraId="12AA9BCE" w14:textId="42F22767" w:rsidR="005F133F" w:rsidRDefault="005F133F" w:rsidP="005F133F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3627F7CB" w14:textId="6E594AB4" w:rsidR="005F133F" w:rsidRDefault="005F133F" w:rsidP="005F133F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VI - controle e acompanhamento contábil e financeiro dos títulos objeto do ajuste de precificação contendo, no mínimo, a natureza, a quantidade e o montante de títulos por faixa de vencimento, o valor investido e o valor do ajuste posicionado na data de encerramento do exercício ou em decorrência de fato relevante;</w:t>
            </w:r>
          </w:p>
        </w:tc>
        <w:tc>
          <w:tcPr>
            <w:tcW w:w="4116" w:type="dxa"/>
          </w:tcPr>
          <w:p w14:paraId="7293E029" w14:textId="77777777" w:rsidR="005F133F" w:rsidRPr="00FB4FAB" w:rsidRDefault="005F133F" w:rsidP="005F133F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XVII</w:t>
            </w:r>
            <w:r w:rsidRPr="00BB5AA7">
              <w:rPr>
                <w:rFonts w:ascii="Calibri" w:eastAsia="Aptos" w:hAnsi="Calibri" w:cs="Calibri"/>
                <w:sz w:val="24"/>
                <w:szCs w:val="24"/>
              </w:rPr>
              <w:t>I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 w:rsidRPr="000077E6">
              <w:rPr>
                <w:rFonts w:ascii="Calibri" w:eastAsia="Aptos" w:hAnsi="Calibri" w:cs="Calibri"/>
                <w:color w:val="00B050"/>
                <w:sz w:val="24"/>
                <w:szCs w:val="24"/>
              </w:rPr>
              <w:t>do art. 208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 foi realocado para inciso VI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 w:rsidRPr="000077E6">
              <w:rPr>
                <w:rFonts w:ascii="Calibri" w:eastAsia="Aptos" w:hAnsi="Calibri" w:cs="Calibri"/>
                <w:color w:val="00B050"/>
                <w:sz w:val="24"/>
                <w:szCs w:val="24"/>
              </w:rPr>
              <w:t>do art. 208-A</w:t>
            </w:r>
            <w:r w:rsidRPr="00B616E6">
              <w:rPr>
                <w:rFonts w:ascii="Calibri" w:eastAsia="Aptos" w:hAnsi="Calibri" w:cs="Calibri"/>
                <w:color w:val="3A7C22" w:themeColor="accent6" w:themeShade="BF"/>
                <w:sz w:val="24"/>
                <w:szCs w:val="24"/>
              </w:rPr>
              <w:t>.</w:t>
            </w:r>
          </w:p>
          <w:p w14:paraId="3659E4F0" w14:textId="77777777" w:rsidR="005F133F" w:rsidRPr="00FB4FAB" w:rsidRDefault="005F133F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31B09BE3" w14:textId="3099A43B" w:rsidR="005F133F" w:rsidRDefault="00EB47F5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B47F5">
              <w:rPr>
                <w:rFonts w:ascii="Calibri" w:hAnsi="Calibri" w:cs="Calibri"/>
                <w:color w:val="00B050"/>
                <w:sz w:val="24"/>
                <w:szCs w:val="24"/>
              </w:rPr>
              <w:t>Idem art. 208-A.</w:t>
            </w:r>
          </w:p>
        </w:tc>
      </w:tr>
      <w:tr w:rsidR="005F133F" w:rsidRPr="00FB4FAB" w14:paraId="117516DF" w14:textId="77777777" w:rsidTr="00EE3724">
        <w:trPr>
          <w:trHeight w:val="300"/>
        </w:trPr>
        <w:tc>
          <w:tcPr>
            <w:tcW w:w="3903" w:type="dxa"/>
          </w:tcPr>
          <w:p w14:paraId="7906D3B5" w14:textId="5EDE8078" w:rsidR="005F133F" w:rsidRDefault="005F133F" w:rsidP="005F133F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15F4B401" w14:textId="0A3A6AA0" w:rsidR="005F133F" w:rsidRDefault="005F133F" w:rsidP="005F133F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VII - identificação dos perfis de investimentos de participantes em planos de benefícios de caráter previdencial e suas características;</w:t>
            </w:r>
          </w:p>
        </w:tc>
        <w:tc>
          <w:tcPr>
            <w:tcW w:w="4116" w:type="dxa"/>
          </w:tcPr>
          <w:p w14:paraId="67AA378B" w14:textId="7425A732" w:rsidR="005F133F" w:rsidRPr="00FB4FAB" w:rsidRDefault="005F133F" w:rsidP="00CF4F90">
            <w:pPr>
              <w:spacing w:line="276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X</w:t>
            </w:r>
            <w:r w:rsidRPr="00BB5AA7">
              <w:rPr>
                <w:rFonts w:ascii="Calibri" w:eastAsia="Aptos" w:hAnsi="Calibri" w:cs="Calibri"/>
                <w:sz w:val="24"/>
                <w:szCs w:val="24"/>
              </w:rPr>
              <w:t>X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>V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 w:rsidRPr="000077E6">
              <w:rPr>
                <w:rFonts w:ascii="Calibri" w:eastAsia="Aptos" w:hAnsi="Calibri" w:cs="Calibri"/>
                <w:color w:val="00B050"/>
                <w:sz w:val="24"/>
                <w:szCs w:val="24"/>
              </w:rPr>
              <w:t>do art. 208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 foi realocado para inciso VII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 w:rsidRPr="000077E6">
              <w:rPr>
                <w:rFonts w:ascii="Calibri" w:eastAsia="Aptos" w:hAnsi="Calibri" w:cs="Calibri"/>
                <w:color w:val="00B050"/>
                <w:sz w:val="24"/>
                <w:szCs w:val="24"/>
              </w:rPr>
              <w:t>do art. 208-A</w:t>
            </w:r>
            <w:r w:rsidRPr="00B616E6">
              <w:rPr>
                <w:rFonts w:ascii="Calibri" w:eastAsia="Aptos" w:hAnsi="Calibri" w:cs="Calibri"/>
                <w:color w:val="3A7C22" w:themeColor="accent6" w:themeShade="BF"/>
                <w:sz w:val="24"/>
                <w:szCs w:val="24"/>
              </w:rPr>
              <w:t>.</w:t>
            </w:r>
          </w:p>
        </w:tc>
        <w:tc>
          <w:tcPr>
            <w:tcW w:w="3222" w:type="dxa"/>
          </w:tcPr>
          <w:p w14:paraId="0821BDA5" w14:textId="113E36E4" w:rsidR="005F133F" w:rsidRDefault="00EB47F5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B47F5">
              <w:rPr>
                <w:rFonts w:ascii="Calibri" w:hAnsi="Calibri" w:cs="Calibri"/>
                <w:color w:val="00B050"/>
                <w:sz w:val="24"/>
                <w:szCs w:val="24"/>
              </w:rPr>
              <w:t>Idem art. 208-A.</w:t>
            </w:r>
          </w:p>
        </w:tc>
      </w:tr>
      <w:tr w:rsidR="005F133F" w:rsidRPr="00FB4FAB" w14:paraId="1D57DB81" w14:textId="77777777" w:rsidTr="00EE3724">
        <w:trPr>
          <w:trHeight w:val="300"/>
        </w:trPr>
        <w:tc>
          <w:tcPr>
            <w:tcW w:w="3903" w:type="dxa"/>
          </w:tcPr>
          <w:p w14:paraId="53FB17C4" w14:textId="18F36492" w:rsidR="005F133F" w:rsidRDefault="005F133F" w:rsidP="005F133F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227C224C" w14:textId="77777777" w:rsidR="005F133F" w:rsidRPr="0061076A" w:rsidRDefault="005F133F" w:rsidP="005F133F">
            <w:pPr>
              <w:jc w:val="both"/>
              <w:rPr>
                <w:rFonts w:ascii="Calibri" w:hAnsi="Calibri" w:cs="Calibri"/>
                <w:color w:val="0070C0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VIII - avaliações dos bens imóveis do ativo “Imobilizado” </w:t>
            </w:r>
            <w:r w:rsidRPr="00FB4FAB">
              <w:rPr>
                <w:rFonts w:ascii="Calibri" w:eastAsiaTheme="minorEastAsia" w:hAnsi="Calibri" w:cs="Calibri"/>
                <w:color w:val="0070C0"/>
                <w:sz w:val="24"/>
                <w:szCs w:val="24"/>
              </w:rPr>
              <w:t>indicando, no mínimo, as avaliações realizadas, o método de depreciação adotado</w:t>
            </w:r>
            <w:r>
              <w:rPr>
                <w:rFonts w:ascii="Calibri" w:eastAsiaTheme="minorEastAsia" w:hAnsi="Calibri" w:cs="Calibri"/>
                <w:color w:val="0070C0"/>
                <w:sz w:val="24"/>
                <w:szCs w:val="24"/>
              </w:rPr>
              <w:t xml:space="preserve">, o histórico </w:t>
            </w:r>
            <w:r w:rsidRPr="00FB4FAB">
              <w:rPr>
                <w:rFonts w:ascii="Calibri" w:eastAsiaTheme="minorEastAsia" w:hAnsi="Calibri" w:cs="Calibri"/>
                <w:color w:val="0070C0"/>
                <w:sz w:val="24"/>
                <w:szCs w:val="24"/>
              </w:rPr>
              <w:t xml:space="preserve">e a </w:t>
            </w:r>
            <w:r>
              <w:rPr>
                <w:rFonts w:ascii="Calibri" w:eastAsiaTheme="minorEastAsia" w:hAnsi="Calibri" w:cs="Calibri"/>
                <w:color w:val="0070C0"/>
                <w:sz w:val="24"/>
                <w:szCs w:val="24"/>
              </w:rPr>
              <w:t xml:space="preserve">data da avaliação, a identificação dos avaliadores </w:t>
            </w:r>
            <w:r w:rsidRPr="0061076A">
              <w:rPr>
                <w:rFonts w:ascii="Calibri" w:hAnsi="Calibri" w:cs="Calibri"/>
                <w:color w:val="0070C0"/>
                <w:sz w:val="24"/>
                <w:szCs w:val="24"/>
              </w:rPr>
              <w:lastRenderedPageBreak/>
              <w:t>responsáveis e os respectivos valores, bem como, quando aplicável, a justificativa para reconhecimento ou reversão de perda por redução ao valor recuperável do ativo e os efeitos decorrentes no exercício</w:t>
            </w:r>
            <w:r>
              <w:rPr>
                <w:rFonts w:ascii="Calibri" w:hAnsi="Calibri" w:cs="Calibri"/>
                <w:color w:val="0070C0"/>
                <w:sz w:val="24"/>
                <w:szCs w:val="24"/>
              </w:rPr>
              <w:t>;</w:t>
            </w:r>
          </w:p>
          <w:p w14:paraId="62CBA13A" w14:textId="77777777" w:rsidR="005F133F" w:rsidRDefault="005F133F" w:rsidP="005F133F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0F3C7AC1" w14:textId="4FBE958E" w:rsidR="005F133F" w:rsidRPr="00FB4FAB" w:rsidRDefault="005F133F" w:rsidP="005F133F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lastRenderedPageBreak/>
              <w:t xml:space="preserve">Devido a reorganização do ordenamento do conteúdo mínimo das notas explicativas, o inciso V </w:t>
            </w:r>
            <w:r w:rsidR="008F6847" w:rsidRPr="008F6847">
              <w:rPr>
                <w:rFonts w:ascii="Calibri" w:eastAsia="Aptos" w:hAnsi="Calibri" w:cs="Calibri"/>
                <w:color w:val="00B050"/>
                <w:sz w:val="24"/>
                <w:szCs w:val="24"/>
              </w:rPr>
              <w:t>do art. 208</w:t>
            </w:r>
            <w:r w:rsidR="008F6847"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>foi dividido em dois incisos e uma parte foi realocado para inciso VIII e outra para o inciso IX</w:t>
            </w:r>
            <w:r w:rsidR="008F6847"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 w:rsidR="008F6847" w:rsidRPr="008F6847">
              <w:rPr>
                <w:rFonts w:ascii="Calibri" w:eastAsia="Aptos" w:hAnsi="Calibri" w:cs="Calibri"/>
                <w:color w:val="00B050"/>
                <w:sz w:val="24"/>
                <w:szCs w:val="24"/>
              </w:rPr>
              <w:t>do art. 208-A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>.</w:t>
            </w:r>
          </w:p>
          <w:p w14:paraId="1E3DF9FC" w14:textId="77777777" w:rsidR="005F133F" w:rsidRPr="00FB4FAB" w:rsidRDefault="005F133F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lastRenderedPageBreak/>
              <w:t xml:space="preserve">A alteração proposta de divisão do inciso V anterior em dois incisos, tem por finalidade fortalecer a qualidade e a completude das informações divulgadas pelas EFPC nas notas explicativas, especificamente no que se refere à mensuração e à avaliação de bens imóveis classificados como </w:t>
            </w: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“Imobilizado”</w:t>
            </w:r>
            <w:r w:rsidRPr="00FB4FAB">
              <w:rPr>
                <w:rFonts w:ascii="Calibri" w:hAnsi="Calibri" w:cs="Calibri"/>
                <w:sz w:val="24"/>
                <w:szCs w:val="24"/>
              </w:rPr>
              <w:t xml:space="preserve"> ou como </w:t>
            </w: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“Investimentos em imóveis”</w:t>
            </w:r>
            <w:r w:rsidRPr="00FB4FAB">
              <w:rPr>
                <w:rFonts w:ascii="Calibri" w:hAnsi="Calibri" w:cs="Calibri"/>
                <w:sz w:val="24"/>
                <w:szCs w:val="24"/>
              </w:rPr>
              <w:t>.</w:t>
            </w:r>
          </w:p>
          <w:p w14:paraId="4AABF10B" w14:textId="77777777" w:rsidR="005F133F" w:rsidRPr="00FB4FAB" w:rsidRDefault="005F133F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O texto original tratava conjuntamente dos dois tipos de classificação contábil, exigindo apenas informações genéricas sobre as avaliações e reavaliações, sem distinguir a natureza e o tratamento contábil distinto entre esses grupos patrimoniais. A nova redação propõe separar de forma explícita as exigências para:</w:t>
            </w:r>
          </w:p>
          <w:p w14:paraId="414B0B30" w14:textId="77777777" w:rsidR="005F133F" w:rsidRPr="00FB4FAB" w:rsidRDefault="005F133F" w:rsidP="005F133F">
            <w:pPr>
              <w:numPr>
                <w:ilvl w:val="0"/>
                <w:numId w:val="5"/>
              </w:numPr>
              <w:spacing w:after="200" w:line="276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 xml:space="preserve">Imóveis classificados como imobilizado (ativo operacional da entidade), que estão sujeitos a depreciação sistemática e avaliação de recuperabilidade (teste de </w:t>
            </w:r>
            <w:r w:rsidRPr="00FB4FAB">
              <w:rPr>
                <w:rFonts w:ascii="Calibri" w:hAnsi="Calibri" w:cs="Calibri"/>
                <w:i/>
                <w:iCs/>
                <w:sz w:val="24"/>
                <w:szCs w:val="24"/>
              </w:rPr>
              <w:t>impairment</w:t>
            </w:r>
            <w:r w:rsidRPr="00FB4FAB">
              <w:rPr>
                <w:rFonts w:ascii="Calibri" w:hAnsi="Calibri" w:cs="Calibri"/>
                <w:sz w:val="24"/>
                <w:szCs w:val="24"/>
              </w:rPr>
              <w:t>); e</w:t>
            </w:r>
          </w:p>
          <w:p w14:paraId="76F90242" w14:textId="77777777" w:rsidR="005F133F" w:rsidRPr="00FB4FAB" w:rsidRDefault="005F133F" w:rsidP="005F133F">
            <w:pPr>
              <w:numPr>
                <w:ilvl w:val="0"/>
                <w:numId w:val="5"/>
              </w:numPr>
              <w:spacing w:after="200" w:line="276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lastRenderedPageBreak/>
              <w:t>Imóveis classificados como Investimentos, que têm como finalidade a renda ou valorização de capital, demandando divulgação clara dos critérios de avaliação justa ou reavaliação periódica.</w:t>
            </w:r>
          </w:p>
          <w:p w14:paraId="49D8854D" w14:textId="77777777" w:rsidR="005F133F" w:rsidRPr="00FB4FAB" w:rsidRDefault="005F133F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 xml:space="preserve">Essa separação decorre das exigências dos Pronunciamentos Técnicos </w:t>
            </w: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CPC 27</w:t>
            </w:r>
            <w:r w:rsidRPr="00FB4FAB">
              <w:rPr>
                <w:rFonts w:ascii="Calibri" w:hAnsi="Calibri" w:cs="Calibri"/>
                <w:sz w:val="24"/>
                <w:szCs w:val="24"/>
              </w:rPr>
              <w:t xml:space="preserve"> (Ativo Imobilizado) e </w:t>
            </w: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CPC 28</w:t>
            </w:r>
            <w:r w:rsidRPr="00FB4FAB">
              <w:rPr>
                <w:rFonts w:ascii="Calibri" w:hAnsi="Calibri" w:cs="Calibri"/>
                <w:sz w:val="24"/>
                <w:szCs w:val="24"/>
              </w:rPr>
              <w:t xml:space="preserve"> (Propriedade para Investimento), ambos exigíveis às EFPC por força da Resolução CNPC nº 43/2021, e tem como objetivo evitar assimetrias e omissões na apresentação das informações contábeis.</w:t>
            </w:r>
          </w:p>
          <w:p w14:paraId="38F524E8" w14:textId="77777777" w:rsidR="005F133F" w:rsidRPr="00FB4FAB" w:rsidRDefault="005F133F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2F95B545" w14:textId="638C2AF0" w:rsidR="005F133F" w:rsidRDefault="00CF4F90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B47F5">
              <w:rPr>
                <w:rFonts w:ascii="Calibri" w:hAnsi="Calibri" w:cs="Calibri"/>
                <w:color w:val="00B050"/>
                <w:sz w:val="24"/>
                <w:szCs w:val="24"/>
              </w:rPr>
              <w:lastRenderedPageBreak/>
              <w:t>Idem art. 208-A.</w:t>
            </w:r>
          </w:p>
        </w:tc>
      </w:tr>
      <w:tr w:rsidR="005F133F" w:rsidRPr="00FB4FAB" w14:paraId="61AD23C2" w14:textId="77777777" w:rsidTr="00EE3724">
        <w:trPr>
          <w:trHeight w:val="300"/>
        </w:trPr>
        <w:tc>
          <w:tcPr>
            <w:tcW w:w="3903" w:type="dxa"/>
          </w:tcPr>
          <w:p w14:paraId="4E8CA99F" w14:textId="77777777" w:rsidR="005F133F" w:rsidRDefault="005F133F" w:rsidP="005F133F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055416BA" w14:textId="127EC766" w:rsidR="005F133F" w:rsidRDefault="005F133F" w:rsidP="005F133F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>
              <w:rPr>
                <w:rFonts w:ascii="Aptos" w:eastAsia="Aptos" w:hAnsi="Aptos" w:cs="Aptos"/>
                <w:color w:val="0070C0"/>
                <w:sz w:val="24"/>
                <w:szCs w:val="24"/>
              </w:rPr>
              <w:t xml:space="preserve">IX - </w:t>
            </w:r>
            <w:r w:rsidRPr="0002567E">
              <w:rPr>
                <w:rFonts w:ascii="Aptos" w:eastAsia="Aptos" w:hAnsi="Aptos" w:cs="Aptos"/>
                <w:color w:val="0070C0"/>
                <w:sz w:val="24"/>
                <w:szCs w:val="24"/>
              </w:rPr>
              <w:t xml:space="preserve">avaliações e, quando aplicável, reavaliações dos bens imóveis classificados como investimento, indicando, no mínimo, o histórico, a data da avaliação, a identificação dos avaliadores responsáveis e os respectivos valores, o critério de mensuração adotado (valor justo </w:t>
            </w:r>
            <w:r w:rsidRPr="0002567E">
              <w:rPr>
                <w:rFonts w:ascii="Aptos" w:eastAsia="Aptos" w:hAnsi="Aptos" w:cs="Aptos"/>
                <w:color w:val="0070C0"/>
                <w:sz w:val="24"/>
                <w:szCs w:val="24"/>
              </w:rPr>
              <w:lastRenderedPageBreak/>
              <w:t>ou custo) e os efeitos decorrentes no exercício</w:t>
            </w:r>
            <w:r>
              <w:rPr>
                <w:rFonts w:ascii="Aptos" w:eastAsia="Aptos" w:hAnsi="Aptos" w:cs="Aptos"/>
                <w:color w:val="0070C0"/>
                <w:sz w:val="24"/>
                <w:szCs w:val="24"/>
              </w:rPr>
              <w:t>;</w:t>
            </w:r>
          </w:p>
        </w:tc>
        <w:tc>
          <w:tcPr>
            <w:tcW w:w="4116" w:type="dxa"/>
          </w:tcPr>
          <w:p w14:paraId="2946F5F3" w14:textId="704087A4" w:rsidR="005F133F" w:rsidRPr="00FB4FAB" w:rsidRDefault="005F133F" w:rsidP="005F133F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lastRenderedPageBreak/>
              <w:t xml:space="preserve">Inclusão de inciso decorrente da divisão do inciso V </w:t>
            </w:r>
            <w:r w:rsidRPr="000077E6">
              <w:rPr>
                <w:rFonts w:ascii="Calibri" w:eastAsia="Aptos" w:hAnsi="Calibri" w:cs="Calibri"/>
                <w:color w:val="00B050"/>
                <w:sz w:val="24"/>
                <w:szCs w:val="24"/>
              </w:rPr>
              <w:t>do art. 208</w:t>
            </w:r>
            <w:r w:rsidRPr="00FB4FAB">
              <w:rPr>
                <w:rFonts w:ascii="Calibri" w:hAnsi="Calibri" w:cs="Calibri"/>
                <w:sz w:val="24"/>
                <w:szCs w:val="24"/>
              </w:rPr>
              <w:t xml:space="preserve"> em dois incisos</w:t>
            </w:r>
            <w:r>
              <w:rPr>
                <w:rFonts w:ascii="Calibri" w:hAnsi="Calibri" w:cs="Calibri"/>
                <w:sz w:val="24"/>
                <w:szCs w:val="24"/>
              </w:rPr>
              <w:t>,</w:t>
            </w:r>
            <w:r w:rsidRPr="00ED641D">
              <w:rPr>
                <w:rFonts w:ascii="Calibri" w:hAnsi="Calibri" w:cs="Calibri"/>
                <w:color w:val="3A7C22" w:themeColor="accent6" w:themeShade="BF"/>
                <w:sz w:val="24"/>
                <w:szCs w:val="24"/>
              </w:rPr>
              <w:t xml:space="preserve"> </w:t>
            </w:r>
            <w:r w:rsidRPr="000077E6">
              <w:rPr>
                <w:rFonts w:ascii="Calibri" w:hAnsi="Calibri" w:cs="Calibri"/>
                <w:color w:val="00B050"/>
                <w:sz w:val="24"/>
                <w:szCs w:val="24"/>
              </w:rPr>
              <w:t>n</w:t>
            </w:r>
            <w:r w:rsidRPr="000077E6">
              <w:rPr>
                <w:rFonts w:ascii="Calibri" w:eastAsia="Aptos" w:hAnsi="Calibri" w:cs="Calibri"/>
                <w:color w:val="00B050"/>
                <w:sz w:val="24"/>
                <w:szCs w:val="24"/>
              </w:rPr>
              <w:t>o art. 208-A</w:t>
            </w:r>
            <w:r w:rsidRPr="00ED641D">
              <w:rPr>
                <w:rFonts w:ascii="Calibri" w:eastAsia="Aptos" w:hAnsi="Calibri" w:cs="Calibri"/>
                <w:color w:val="3A7C22" w:themeColor="accent6" w:themeShade="BF"/>
                <w:sz w:val="24"/>
                <w:szCs w:val="24"/>
              </w:rPr>
              <w:t>,</w:t>
            </w:r>
            <w:r w:rsidR="003268E2">
              <w:rPr>
                <w:rFonts w:ascii="Calibri" w:eastAsia="Aptos" w:hAnsi="Calibri" w:cs="Calibri"/>
                <w:color w:val="3A7C22" w:themeColor="accent6" w:themeShade="BF"/>
                <w:sz w:val="24"/>
                <w:szCs w:val="24"/>
              </w:rPr>
              <w:t xml:space="preserve"> </w:t>
            </w:r>
            <w:r>
              <w:rPr>
                <w:rFonts w:ascii="Calibri" w:hAnsi="Calibri" w:cs="Calibri"/>
                <w:sz w:val="24"/>
                <w:szCs w:val="24"/>
              </w:rPr>
              <w:t>sendo este inciso IX referente a imóveis classificados como investimentos</w:t>
            </w:r>
            <w:r w:rsidRPr="00FB4FAB">
              <w:rPr>
                <w:rFonts w:ascii="Calibri" w:hAnsi="Calibri" w:cs="Calibri"/>
                <w:sz w:val="24"/>
                <w:szCs w:val="24"/>
              </w:rPr>
              <w:t>.</w:t>
            </w:r>
          </w:p>
          <w:p w14:paraId="22564006" w14:textId="77777777" w:rsidR="005F133F" w:rsidRPr="00FB4FAB" w:rsidRDefault="005F133F" w:rsidP="005F133F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  <w:p w14:paraId="61E2EA5D" w14:textId="77777777" w:rsidR="005F133F" w:rsidRPr="00FB4FAB" w:rsidRDefault="005F133F" w:rsidP="005F133F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  <w:highlight w:val="red"/>
              </w:rPr>
            </w:pPr>
          </w:p>
          <w:p w14:paraId="05F88882" w14:textId="77777777" w:rsidR="005F133F" w:rsidRPr="00FB4FAB" w:rsidRDefault="005F133F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2A9999C7" w14:textId="13582A1C" w:rsidR="005F133F" w:rsidRDefault="00CF4F90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B47F5">
              <w:rPr>
                <w:rFonts w:ascii="Calibri" w:hAnsi="Calibri" w:cs="Calibri"/>
                <w:color w:val="00B050"/>
                <w:sz w:val="24"/>
                <w:szCs w:val="24"/>
              </w:rPr>
              <w:t>Idem art. 208-A.</w:t>
            </w:r>
          </w:p>
        </w:tc>
      </w:tr>
      <w:tr w:rsidR="005F133F" w:rsidRPr="00FB4FAB" w14:paraId="0DC837EB" w14:textId="77777777" w:rsidTr="00EE3724">
        <w:trPr>
          <w:trHeight w:val="300"/>
        </w:trPr>
        <w:tc>
          <w:tcPr>
            <w:tcW w:w="3903" w:type="dxa"/>
          </w:tcPr>
          <w:p w14:paraId="111BC629" w14:textId="77777777" w:rsidR="005F133F" w:rsidRDefault="005F133F" w:rsidP="005F133F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718DC804" w14:textId="6750B765" w:rsidR="005F133F" w:rsidRDefault="005F133F" w:rsidP="005F133F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X - premissas utilizadas para avaliação de imóveis constantes do laudo de avaliação, bem como as justificativas para a escolha do preço do ativo nos casos em que mais de uma opção seja apresentada pelo avaliador;</w:t>
            </w:r>
          </w:p>
        </w:tc>
        <w:tc>
          <w:tcPr>
            <w:tcW w:w="4116" w:type="dxa"/>
          </w:tcPr>
          <w:p w14:paraId="1E98991A" w14:textId="77777777" w:rsidR="005F133F" w:rsidRPr="00B33A3E" w:rsidRDefault="005F133F" w:rsidP="005F133F">
            <w:pPr>
              <w:spacing w:line="276" w:lineRule="auto"/>
              <w:jc w:val="both"/>
              <w:rPr>
                <w:rFonts w:ascii="Calibri" w:eastAsia="Aptos" w:hAnsi="Calibri" w:cs="Calibri"/>
                <w:color w:val="3A7C22" w:themeColor="accent6" w:themeShade="BF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XVII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 w:rsidRPr="000077E6">
              <w:rPr>
                <w:rFonts w:ascii="Calibri" w:eastAsia="Aptos" w:hAnsi="Calibri" w:cs="Calibri"/>
                <w:color w:val="00B050"/>
                <w:sz w:val="24"/>
                <w:szCs w:val="24"/>
              </w:rPr>
              <w:t>do art. 208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 foi realocado para inciso X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 w:rsidRPr="000077E6">
              <w:rPr>
                <w:rFonts w:ascii="Calibri" w:eastAsia="Aptos" w:hAnsi="Calibri" w:cs="Calibri"/>
                <w:color w:val="00B050"/>
                <w:sz w:val="24"/>
                <w:szCs w:val="24"/>
              </w:rPr>
              <w:t>do art. 208-A</w:t>
            </w:r>
            <w:r w:rsidRPr="00B33A3E">
              <w:rPr>
                <w:rFonts w:ascii="Calibri" w:eastAsia="Aptos" w:hAnsi="Calibri" w:cs="Calibri"/>
                <w:color w:val="3A7C22" w:themeColor="accent6" w:themeShade="BF"/>
                <w:sz w:val="24"/>
                <w:szCs w:val="24"/>
              </w:rPr>
              <w:t>.</w:t>
            </w:r>
          </w:p>
          <w:p w14:paraId="673F3956" w14:textId="77777777" w:rsidR="005F133F" w:rsidRPr="00FB4FAB" w:rsidRDefault="005F133F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7F878A0E" w14:textId="38541D62" w:rsidR="005F133F" w:rsidRDefault="00CF4F90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B47F5">
              <w:rPr>
                <w:rFonts w:ascii="Calibri" w:hAnsi="Calibri" w:cs="Calibri"/>
                <w:color w:val="00B050"/>
                <w:sz w:val="24"/>
                <w:szCs w:val="24"/>
              </w:rPr>
              <w:t>Idem art. 208-A.</w:t>
            </w:r>
          </w:p>
        </w:tc>
      </w:tr>
      <w:tr w:rsidR="005F133F" w:rsidRPr="00FB4FAB" w14:paraId="14D91C77" w14:textId="77777777" w:rsidTr="00EE3724">
        <w:trPr>
          <w:trHeight w:val="300"/>
        </w:trPr>
        <w:tc>
          <w:tcPr>
            <w:tcW w:w="3903" w:type="dxa"/>
          </w:tcPr>
          <w:p w14:paraId="5515FD86" w14:textId="77777777" w:rsidR="005F133F" w:rsidRDefault="005F133F" w:rsidP="005F133F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47ABDEA3" w14:textId="3D7B1DAC" w:rsidR="005F133F" w:rsidRDefault="005F133F" w:rsidP="005F133F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XI - descrição de operações de empréstimo de títulos ou valores mobiliários em que o ativo recebido for diverso daquele originalmente entregue, classificado na categoria "títulos mantidos até o vencimento", com informações sobre ativos emprestados e recebidos, datas da operação original e da devolução, quantidades envolvidas e efeito no resultado do período;</w:t>
            </w:r>
          </w:p>
        </w:tc>
        <w:tc>
          <w:tcPr>
            <w:tcW w:w="4116" w:type="dxa"/>
          </w:tcPr>
          <w:p w14:paraId="372E2C19" w14:textId="77777777" w:rsidR="005F133F" w:rsidRPr="00B33A3E" w:rsidRDefault="005F133F" w:rsidP="005F133F">
            <w:pPr>
              <w:spacing w:line="276" w:lineRule="auto"/>
              <w:jc w:val="both"/>
              <w:rPr>
                <w:rFonts w:ascii="Calibri" w:eastAsia="Aptos" w:hAnsi="Calibri" w:cs="Calibri"/>
                <w:color w:val="3A7C22" w:themeColor="accent6" w:themeShade="BF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XIV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 w:rsidRPr="000077E6">
              <w:rPr>
                <w:rFonts w:ascii="Calibri" w:eastAsia="Aptos" w:hAnsi="Calibri" w:cs="Calibri"/>
                <w:color w:val="00B050"/>
                <w:sz w:val="24"/>
                <w:szCs w:val="24"/>
              </w:rPr>
              <w:t xml:space="preserve">do art. 208 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>foi realocado para inciso XI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 w:rsidRPr="000077E6">
              <w:rPr>
                <w:rFonts w:ascii="Calibri" w:eastAsia="Aptos" w:hAnsi="Calibri" w:cs="Calibri"/>
                <w:color w:val="00B050"/>
                <w:sz w:val="24"/>
                <w:szCs w:val="24"/>
              </w:rPr>
              <w:t>do art. 208-A.</w:t>
            </w:r>
          </w:p>
          <w:p w14:paraId="2788EEB4" w14:textId="77777777" w:rsidR="005F133F" w:rsidRPr="00FB4FAB" w:rsidRDefault="005F133F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4B3A40EA" w14:textId="0DF80EB3" w:rsidR="005F133F" w:rsidRDefault="00CF4F90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B47F5">
              <w:rPr>
                <w:rFonts w:ascii="Calibri" w:hAnsi="Calibri" w:cs="Calibri"/>
                <w:color w:val="00B050"/>
                <w:sz w:val="24"/>
                <w:szCs w:val="24"/>
              </w:rPr>
              <w:t>Idem art. 208-A.</w:t>
            </w:r>
          </w:p>
        </w:tc>
      </w:tr>
      <w:tr w:rsidR="005F133F" w:rsidRPr="00FB4FAB" w14:paraId="11ABCDF1" w14:textId="77777777" w:rsidTr="00EE3724">
        <w:trPr>
          <w:trHeight w:val="300"/>
        </w:trPr>
        <w:tc>
          <w:tcPr>
            <w:tcW w:w="3903" w:type="dxa"/>
          </w:tcPr>
          <w:p w14:paraId="6825B155" w14:textId="77777777" w:rsidR="005F133F" w:rsidRDefault="005F133F" w:rsidP="005F133F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0910FB40" w14:textId="21AF9400" w:rsidR="005F133F" w:rsidRDefault="005F133F" w:rsidP="005F133F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XII - operações entre partes relacionadas com, no mínimo, condições pactuadas e os montantes dos saldos existentes das transações, bem como a provisão para créditos de liquidação duvidosa relacionada com o montante dos saldos existentes</w:t>
            </w:r>
            <w:r>
              <w:rPr>
                <w:rFonts w:ascii="Calibri" w:eastAsia="Aptos" w:hAnsi="Calibri" w:cs="Calibri"/>
                <w:sz w:val="24"/>
                <w:szCs w:val="24"/>
              </w:rPr>
              <w:t>;</w:t>
            </w:r>
          </w:p>
        </w:tc>
        <w:tc>
          <w:tcPr>
            <w:tcW w:w="4116" w:type="dxa"/>
          </w:tcPr>
          <w:p w14:paraId="67CD79B9" w14:textId="77777777" w:rsidR="005F133F" w:rsidRPr="00B33A3E" w:rsidRDefault="005F133F" w:rsidP="005F133F">
            <w:pPr>
              <w:spacing w:line="276" w:lineRule="auto"/>
              <w:jc w:val="both"/>
              <w:rPr>
                <w:rFonts w:ascii="Calibri" w:eastAsia="Aptos" w:hAnsi="Calibri" w:cs="Calibri"/>
                <w:color w:val="3A7C22" w:themeColor="accent6" w:themeShade="BF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XXVI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 w:rsidRPr="000077E6">
              <w:rPr>
                <w:rFonts w:ascii="Calibri" w:eastAsia="Aptos" w:hAnsi="Calibri" w:cs="Calibri"/>
                <w:color w:val="00B050"/>
                <w:sz w:val="24"/>
                <w:szCs w:val="24"/>
              </w:rPr>
              <w:t>do art. 208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 foi realocado para inciso XII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 w:rsidRPr="000077E6">
              <w:rPr>
                <w:rFonts w:ascii="Calibri" w:eastAsia="Aptos" w:hAnsi="Calibri" w:cs="Calibri"/>
                <w:color w:val="00B050"/>
                <w:sz w:val="24"/>
                <w:szCs w:val="24"/>
              </w:rPr>
              <w:t>do art. 208-A</w:t>
            </w:r>
            <w:r w:rsidRPr="00B33A3E">
              <w:rPr>
                <w:rFonts w:ascii="Calibri" w:eastAsia="Aptos" w:hAnsi="Calibri" w:cs="Calibri"/>
                <w:color w:val="3A7C22" w:themeColor="accent6" w:themeShade="BF"/>
                <w:sz w:val="24"/>
                <w:szCs w:val="24"/>
              </w:rPr>
              <w:t>.</w:t>
            </w:r>
          </w:p>
          <w:p w14:paraId="50C39C9D" w14:textId="77777777" w:rsidR="005F133F" w:rsidRPr="00FB4FAB" w:rsidRDefault="005F133F" w:rsidP="005F133F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  <w:p w14:paraId="6B8372E8" w14:textId="77777777" w:rsidR="005F133F" w:rsidRPr="00FB4FAB" w:rsidRDefault="005F133F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2CDC1203" w14:textId="00589131" w:rsidR="005F133F" w:rsidRDefault="00CF4F90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B47F5">
              <w:rPr>
                <w:rFonts w:ascii="Calibri" w:hAnsi="Calibri" w:cs="Calibri"/>
                <w:color w:val="00B050"/>
                <w:sz w:val="24"/>
                <w:szCs w:val="24"/>
              </w:rPr>
              <w:t>Idem art. 208-A.</w:t>
            </w:r>
          </w:p>
        </w:tc>
      </w:tr>
      <w:tr w:rsidR="005F133F" w:rsidRPr="00FB4FAB" w14:paraId="7F1D5A90" w14:textId="77777777" w:rsidTr="00EE3724">
        <w:trPr>
          <w:trHeight w:val="300"/>
        </w:trPr>
        <w:tc>
          <w:tcPr>
            <w:tcW w:w="3903" w:type="dxa"/>
          </w:tcPr>
          <w:p w14:paraId="070849A8" w14:textId="77777777" w:rsidR="005F133F" w:rsidRDefault="005F133F" w:rsidP="005F133F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63FE60DC" w14:textId="163E555A" w:rsidR="005F133F" w:rsidRDefault="005F133F" w:rsidP="005F133F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XIII -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 w:rsidRPr="00FB4FAB">
              <w:rPr>
                <w:rFonts w:ascii="Calibri" w:hAnsi="Calibri" w:cs="Calibri"/>
                <w:sz w:val="24"/>
                <w:szCs w:val="24"/>
              </w:rPr>
              <w:t xml:space="preserve">operações entre partes relacionadas com, no mínimo, condições pactuadas </w:t>
            </w:r>
            <w:r w:rsidRPr="00FB4FAB">
              <w:rPr>
                <w:rFonts w:ascii="Calibri" w:hAnsi="Calibri" w:cs="Calibri"/>
                <w:color w:val="0070C0"/>
                <w:sz w:val="24"/>
                <w:szCs w:val="24"/>
              </w:rPr>
              <w:t>com seus prazos e condições, incluindo eventuais garantias dadas ou recebidas</w:t>
            </w:r>
            <w:r w:rsidRPr="00FB4FAB">
              <w:rPr>
                <w:rFonts w:ascii="Calibri" w:hAnsi="Calibri" w:cs="Calibri"/>
                <w:sz w:val="24"/>
                <w:szCs w:val="24"/>
              </w:rPr>
              <w:t>, os montantes dos saldos existentes das transações, bem como a provisão para créditos de liquidação duvidosa relacionada com o montante dos saldos existentes</w:t>
            </w:r>
            <w:r>
              <w:rPr>
                <w:rFonts w:ascii="Calibri" w:hAnsi="Calibri" w:cs="Calibri"/>
                <w:sz w:val="24"/>
                <w:szCs w:val="24"/>
              </w:rPr>
              <w:t>;</w:t>
            </w:r>
          </w:p>
        </w:tc>
        <w:tc>
          <w:tcPr>
            <w:tcW w:w="4116" w:type="dxa"/>
          </w:tcPr>
          <w:p w14:paraId="705D0E9F" w14:textId="77777777" w:rsidR="005F133F" w:rsidRDefault="005F133F" w:rsidP="005F133F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XXVI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 w:rsidRPr="000077E6">
              <w:rPr>
                <w:rFonts w:ascii="Calibri" w:eastAsia="Aptos" w:hAnsi="Calibri" w:cs="Calibri"/>
                <w:color w:val="00B050"/>
                <w:sz w:val="24"/>
                <w:szCs w:val="24"/>
              </w:rPr>
              <w:t>do art. 208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 foi realocado para inciso XIII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 w:rsidRPr="000077E6">
              <w:rPr>
                <w:rFonts w:ascii="Calibri" w:eastAsia="Aptos" w:hAnsi="Calibri" w:cs="Calibri"/>
                <w:color w:val="00B050"/>
                <w:sz w:val="24"/>
                <w:szCs w:val="24"/>
              </w:rPr>
              <w:t>do art. 208-A</w:t>
            </w:r>
            <w:r w:rsidRPr="00B33A3E">
              <w:rPr>
                <w:rFonts w:ascii="Calibri" w:eastAsia="Aptos" w:hAnsi="Calibri" w:cs="Calibri"/>
                <w:color w:val="3A7C22" w:themeColor="accent6" w:themeShade="BF"/>
                <w:sz w:val="24"/>
                <w:szCs w:val="24"/>
              </w:rPr>
              <w:t>.</w:t>
            </w:r>
          </w:p>
          <w:p w14:paraId="3D06DB0E" w14:textId="77777777" w:rsidR="005F133F" w:rsidRPr="00FB4FAB" w:rsidRDefault="005F133F" w:rsidP="005F133F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>
              <w:rPr>
                <w:rFonts w:ascii="Calibri" w:eastAsia="Aptos" w:hAnsi="Calibri" w:cs="Calibri"/>
                <w:sz w:val="24"/>
                <w:szCs w:val="24"/>
              </w:rPr>
              <w:t>Inclusão de texto para melhor detalhamento de informações sobre partes relacionadas.</w:t>
            </w:r>
          </w:p>
          <w:p w14:paraId="30D6C5EB" w14:textId="77777777" w:rsidR="005F133F" w:rsidRPr="00FB4FAB" w:rsidRDefault="005F133F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3A7394B9" w14:textId="60C6C610" w:rsidR="005F133F" w:rsidRDefault="00CF4F90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B47F5">
              <w:rPr>
                <w:rFonts w:ascii="Calibri" w:hAnsi="Calibri" w:cs="Calibri"/>
                <w:color w:val="00B050"/>
                <w:sz w:val="24"/>
                <w:szCs w:val="24"/>
              </w:rPr>
              <w:t>Idem art. 208-A.</w:t>
            </w:r>
          </w:p>
        </w:tc>
      </w:tr>
      <w:tr w:rsidR="005F133F" w:rsidRPr="00FB4FAB" w14:paraId="1BACF3EC" w14:textId="77777777" w:rsidTr="00EE3724">
        <w:trPr>
          <w:trHeight w:val="300"/>
        </w:trPr>
        <w:tc>
          <w:tcPr>
            <w:tcW w:w="3903" w:type="dxa"/>
          </w:tcPr>
          <w:p w14:paraId="242852F4" w14:textId="77777777" w:rsidR="005F133F" w:rsidRDefault="005F133F" w:rsidP="005F133F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3A03323C" w14:textId="048A4A92" w:rsidR="005F133F" w:rsidRDefault="005F133F" w:rsidP="005F133F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XIV - critérios de avaliação e de amortização das aplicações de recursos existentes no ativo intangível;</w:t>
            </w:r>
          </w:p>
        </w:tc>
        <w:tc>
          <w:tcPr>
            <w:tcW w:w="4116" w:type="dxa"/>
          </w:tcPr>
          <w:p w14:paraId="27AAE83D" w14:textId="485B6D13" w:rsidR="005F133F" w:rsidRPr="00FB4FAB" w:rsidRDefault="005F133F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IV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 w:rsidRPr="000077E6">
              <w:rPr>
                <w:rFonts w:ascii="Calibri" w:eastAsia="Aptos" w:hAnsi="Calibri" w:cs="Calibri"/>
                <w:color w:val="00B050"/>
                <w:sz w:val="24"/>
                <w:szCs w:val="24"/>
              </w:rPr>
              <w:t xml:space="preserve">do art. 208 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>foi realocado para inciso XIV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 w:rsidRPr="00B33A3E">
              <w:rPr>
                <w:rFonts w:ascii="Calibri" w:eastAsia="Aptos" w:hAnsi="Calibri" w:cs="Calibri"/>
                <w:color w:val="3A7C22" w:themeColor="accent6" w:themeShade="BF"/>
                <w:sz w:val="24"/>
                <w:szCs w:val="24"/>
              </w:rPr>
              <w:t>do art. 208-A.</w:t>
            </w:r>
          </w:p>
        </w:tc>
        <w:tc>
          <w:tcPr>
            <w:tcW w:w="3222" w:type="dxa"/>
          </w:tcPr>
          <w:p w14:paraId="629C27BA" w14:textId="44A935AC" w:rsidR="005F133F" w:rsidRDefault="00CF4F90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B47F5">
              <w:rPr>
                <w:rFonts w:ascii="Calibri" w:hAnsi="Calibri" w:cs="Calibri"/>
                <w:color w:val="00B050"/>
                <w:sz w:val="24"/>
                <w:szCs w:val="24"/>
              </w:rPr>
              <w:t>Idem art. 208-A.</w:t>
            </w:r>
          </w:p>
        </w:tc>
      </w:tr>
      <w:tr w:rsidR="005F133F" w:rsidRPr="00FB4FAB" w14:paraId="67369FD8" w14:textId="77777777" w:rsidTr="00EE3724">
        <w:trPr>
          <w:trHeight w:val="300"/>
        </w:trPr>
        <w:tc>
          <w:tcPr>
            <w:tcW w:w="3903" w:type="dxa"/>
          </w:tcPr>
          <w:p w14:paraId="5516670C" w14:textId="77777777" w:rsidR="005F133F" w:rsidRDefault="005F133F" w:rsidP="005F133F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65F7F04A" w14:textId="77777777" w:rsidR="005F133F" w:rsidRPr="00FB4FAB" w:rsidRDefault="005F133F" w:rsidP="005F133F">
            <w:pPr>
              <w:spacing w:after="160"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XV - descrição das contingências passivas relevantes, cujas chances de perda sejam prováveis ou possíveis;</w:t>
            </w:r>
          </w:p>
          <w:p w14:paraId="577C07AE" w14:textId="77777777" w:rsidR="005F133F" w:rsidRDefault="005F133F" w:rsidP="005F133F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73CA32B4" w14:textId="7792A933" w:rsidR="005F133F" w:rsidRPr="00FB4FAB" w:rsidRDefault="005F133F" w:rsidP="005F133F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II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 w:rsidRPr="000077E6">
              <w:rPr>
                <w:rFonts w:ascii="Calibri" w:eastAsia="Aptos" w:hAnsi="Calibri" w:cs="Calibri"/>
                <w:color w:val="00B050"/>
                <w:sz w:val="24"/>
                <w:szCs w:val="24"/>
              </w:rPr>
              <w:t xml:space="preserve">do art. 208 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>foi realocado para inciso XV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>XIV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 w:rsidRPr="000077E6">
              <w:rPr>
                <w:rFonts w:ascii="Calibri" w:eastAsia="Aptos" w:hAnsi="Calibri" w:cs="Calibri"/>
                <w:color w:val="00B050"/>
                <w:sz w:val="24"/>
                <w:szCs w:val="24"/>
              </w:rPr>
              <w:t>do art. 208-A</w:t>
            </w:r>
            <w:r w:rsidRPr="00B33A3E">
              <w:rPr>
                <w:rFonts w:ascii="Calibri" w:eastAsia="Aptos" w:hAnsi="Calibri" w:cs="Calibri"/>
                <w:color w:val="3A7C22" w:themeColor="accent6" w:themeShade="BF"/>
                <w:sz w:val="24"/>
                <w:szCs w:val="24"/>
              </w:rPr>
              <w:t>.</w:t>
            </w:r>
          </w:p>
          <w:p w14:paraId="4C3F93A0" w14:textId="77777777" w:rsidR="005F133F" w:rsidRPr="00FB4FAB" w:rsidRDefault="005F133F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3E0F2CCE" w14:textId="2A7CD1E4" w:rsidR="005F133F" w:rsidRDefault="00CF4F90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B47F5">
              <w:rPr>
                <w:rFonts w:ascii="Calibri" w:hAnsi="Calibri" w:cs="Calibri"/>
                <w:color w:val="00B050"/>
                <w:sz w:val="24"/>
                <w:szCs w:val="24"/>
              </w:rPr>
              <w:t>Idem art. 208-A.</w:t>
            </w:r>
          </w:p>
        </w:tc>
      </w:tr>
      <w:tr w:rsidR="005F133F" w:rsidRPr="00FB4FAB" w14:paraId="33399D2D" w14:textId="77777777" w:rsidTr="00EE3724">
        <w:trPr>
          <w:trHeight w:val="300"/>
        </w:trPr>
        <w:tc>
          <w:tcPr>
            <w:tcW w:w="3903" w:type="dxa"/>
          </w:tcPr>
          <w:p w14:paraId="359F0679" w14:textId="77777777" w:rsidR="005F133F" w:rsidRDefault="005F133F" w:rsidP="005F133F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30C8241A" w14:textId="2F080BD8" w:rsidR="005F133F" w:rsidRDefault="005F133F" w:rsidP="005F133F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>
              <w:rPr>
                <w:rFonts w:ascii="Calibri" w:eastAsia="Aptos" w:hAnsi="Calibri" w:cs="Calibri"/>
                <w:color w:val="0070C0"/>
                <w:sz w:val="24"/>
                <w:szCs w:val="24"/>
              </w:rPr>
              <w:t>XVI - d</w:t>
            </w:r>
            <w:r w:rsidRPr="00736998">
              <w:rPr>
                <w:rFonts w:ascii="Aptos" w:eastAsia="Aptos" w:hAnsi="Aptos" w:cs="Aptos"/>
                <w:color w:val="0070C0"/>
                <w:sz w:val="24"/>
                <w:szCs w:val="24"/>
              </w:rPr>
              <w:t>etalhamento</w:t>
            </w:r>
            <w:r>
              <w:rPr>
                <w:rFonts w:ascii="Aptos" w:eastAsia="Aptos" w:hAnsi="Aptos" w:cs="Aptos"/>
                <w:color w:val="0070C0"/>
                <w:sz w:val="24"/>
                <w:szCs w:val="24"/>
              </w:rPr>
              <w:t>s</w:t>
            </w:r>
            <w:r w:rsidRPr="00736998">
              <w:rPr>
                <w:rFonts w:ascii="Aptos" w:eastAsia="Aptos" w:hAnsi="Aptos" w:cs="Aptos"/>
                <w:color w:val="0070C0"/>
                <w:sz w:val="24"/>
                <w:szCs w:val="24"/>
              </w:rPr>
              <w:t xml:space="preserve"> e justificativa</w:t>
            </w:r>
            <w:r>
              <w:rPr>
                <w:rFonts w:ascii="Aptos" w:eastAsia="Aptos" w:hAnsi="Aptos" w:cs="Aptos"/>
                <w:color w:val="0070C0"/>
                <w:sz w:val="24"/>
                <w:szCs w:val="24"/>
              </w:rPr>
              <w:t>s</w:t>
            </w:r>
            <w:r w:rsidRPr="00736998">
              <w:rPr>
                <w:rFonts w:ascii="Aptos" w:eastAsia="Aptos" w:hAnsi="Aptos" w:cs="Aptos"/>
                <w:color w:val="0070C0"/>
                <w:sz w:val="24"/>
                <w:szCs w:val="24"/>
              </w:rPr>
              <w:t xml:space="preserve"> das provisões reconhecidas no período, bem como dos passivos contingentes, cujas perdas sejam classificadas como prováveis ou </w:t>
            </w:r>
            <w:r w:rsidRPr="00736998">
              <w:rPr>
                <w:rFonts w:ascii="Aptos" w:eastAsia="Aptos" w:hAnsi="Aptos" w:cs="Aptos"/>
                <w:color w:val="0070C0"/>
                <w:sz w:val="24"/>
                <w:szCs w:val="24"/>
              </w:rPr>
              <w:lastRenderedPageBreak/>
              <w:t>possíveis, nos termos das normas contábeis aplicáveis</w:t>
            </w:r>
            <w:r>
              <w:rPr>
                <w:rFonts w:ascii="Aptos" w:eastAsia="Aptos" w:hAnsi="Aptos" w:cs="Aptos"/>
                <w:color w:val="0070C0"/>
                <w:sz w:val="24"/>
                <w:szCs w:val="24"/>
              </w:rPr>
              <w:t>;</w:t>
            </w:r>
          </w:p>
        </w:tc>
        <w:tc>
          <w:tcPr>
            <w:tcW w:w="4116" w:type="dxa"/>
          </w:tcPr>
          <w:p w14:paraId="62BB1909" w14:textId="77777777" w:rsidR="005F133F" w:rsidRPr="004A4D70" w:rsidRDefault="005F133F" w:rsidP="005F133F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4A4D70">
              <w:rPr>
                <w:rFonts w:ascii="Calibri" w:eastAsia="Aptos" w:hAnsi="Calibri" w:cs="Calibri"/>
                <w:sz w:val="24"/>
                <w:szCs w:val="24"/>
              </w:rPr>
              <w:lastRenderedPageBreak/>
              <w:t>Inclusão de novo inciso.</w:t>
            </w:r>
          </w:p>
          <w:p w14:paraId="3EBC579E" w14:textId="77777777" w:rsidR="005F133F" w:rsidRPr="0013030D" w:rsidRDefault="005F133F" w:rsidP="005F133F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13030D">
              <w:rPr>
                <w:rFonts w:ascii="Calibri" w:hAnsi="Calibri" w:cs="Calibri"/>
                <w:sz w:val="24"/>
                <w:szCs w:val="24"/>
              </w:rPr>
              <w:t xml:space="preserve">inclusão do inciso proposto visa aprimorar o conteúdo das notas explicativas exigidas das EFPC no que se refere à divulgação de provisões reconhecidas no período e de passivos </w:t>
            </w:r>
            <w:r w:rsidRPr="0013030D">
              <w:rPr>
                <w:rFonts w:ascii="Calibri" w:hAnsi="Calibri" w:cs="Calibri"/>
                <w:sz w:val="24"/>
                <w:szCs w:val="24"/>
              </w:rPr>
              <w:lastRenderedPageBreak/>
              <w:t>contingentes classificados como de perda provável ou possível, conforme definido pelas normas contábeis aplicáveis.</w:t>
            </w:r>
            <w:r w:rsidRPr="0013030D">
              <w:rPr>
                <w:rFonts w:ascii="Calibri" w:hAnsi="Calibri" w:cs="Calibri"/>
                <w:sz w:val="24"/>
                <w:szCs w:val="24"/>
              </w:rPr>
              <w:br/>
              <w:t>O objetivo é assegurar maior transparência e clareza na apresentação dessas informações, permitindo que os usuários das demonstrações contábeis — como participantes, assistidos, órgãos de fiscalização e auditorias — compreendam de forma adequada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 q</w:t>
            </w:r>
            <w:r w:rsidRPr="0013030D">
              <w:rPr>
                <w:rFonts w:ascii="Calibri" w:hAnsi="Calibri" w:cs="Calibri"/>
                <w:sz w:val="24"/>
                <w:szCs w:val="24"/>
              </w:rPr>
              <w:t>uais obrigações foram efetivamente reconhecidas no período</w:t>
            </w:r>
            <w:r>
              <w:rPr>
                <w:rFonts w:ascii="Calibri" w:hAnsi="Calibri" w:cs="Calibri"/>
                <w:sz w:val="24"/>
                <w:szCs w:val="24"/>
              </w:rPr>
              <w:t>, bem como q</w:t>
            </w:r>
            <w:r w:rsidRPr="0013030D">
              <w:rPr>
                <w:rFonts w:ascii="Calibri" w:hAnsi="Calibri" w:cs="Calibri"/>
                <w:sz w:val="24"/>
                <w:szCs w:val="24"/>
              </w:rPr>
              <w:t>uais passivos contingentes relevantes, ainda não reconhecidos contabilmente, apresentam probabilidade de perda provável ou possível</w:t>
            </w:r>
            <w:r>
              <w:rPr>
                <w:rFonts w:ascii="Calibri" w:hAnsi="Calibri" w:cs="Calibri"/>
                <w:sz w:val="24"/>
                <w:szCs w:val="24"/>
              </w:rPr>
              <w:t>, por exemplo.</w:t>
            </w:r>
            <w:r w:rsidRPr="0013030D">
              <w:rPr>
                <w:rFonts w:ascii="Calibri" w:hAnsi="Calibri" w:cs="Calibri"/>
                <w:sz w:val="24"/>
                <w:szCs w:val="24"/>
              </w:rPr>
              <w:br/>
              <w:t>Essa melhoria contribui para o alinhamento às boas práticas contábeis e regulatórias, reforçando a fidedignidade e utilidade das demonstrações financeiras.</w:t>
            </w:r>
          </w:p>
          <w:p w14:paraId="5A7A3112" w14:textId="77777777" w:rsidR="005F133F" w:rsidRPr="004A4D70" w:rsidRDefault="005F133F" w:rsidP="005F133F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  <w:p w14:paraId="1CB9763A" w14:textId="77777777" w:rsidR="005F133F" w:rsidRPr="004A4D70" w:rsidRDefault="005F133F" w:rsidP="005F133F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4A4D70">
              <w:rPr>
                <w:rFonts w:ascii="Calibri" w:hAnsi="Calibri" w:cs="Calibri"/>
                <w:sz w:val="24"/>
                <w:szCs w:val="24"/>
              </w:rPr>
              <w:t xml:space="preserve">Do ponto de vista contábil, essa distinção é fundamental para assegurar a fidedignidade das demonstrações financeiras, permitindo que os usuários (como participantes, assistidos, órgãos </w:t>
            </w:r>
            <w:r w:rsidRPr="004A4D70">
              <w:rPr>
                <w:rFonts w:ascii="Calibri" w:hAnsi="Calibri" w:cs="Calibri"/>
                <w:sz w:val="24"/>
                <w:szCs w:val="24"/>
              </w:rPr>
              <w:lastRenderedPageBreak/>
              <w:t>de fiscalização e auditorias) compreendam:</w:t>
            </w:r>
          </w:p>
          <w:p w14:paraId="11F95E1F" w14:textId="77777777" w:rsidR="005F133F" w:rsidRPr="004A4D70" w:rsidRDefault="005F133F" w:rsidP="005F133F">
            <w:pPr>
              <w:tabs>
                <w:tab w:val="num" w:pos="720"/>
              </w:tabs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4A4D70">
              <w:rPr>
                <w:rFonts w:ascii="Calibri" w:hAnsi="Calibri" w:cs="Calibri"/>
                <w:sz w:val="24"/>
                <w:szCs w:val="24"/>
              </w:rPr>
              <w:t>Quais são as obrigações efetivas já reconhecidas e com impacto patrimonial;</w:t>
            </w:r>
          </w:p>
          <w:p w14:paraId="091DD29D" w14:textId="269C96F1" w:rsidR="005F133F" w:rsidRPr="00FB4FAB" w:rsidRDefault="005F133F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4A4D70">
              <w:rPr>
                <w:rFonts w:ascii="Calibri" w:hAnsi="Calibri" w:cs="Calibri"/>
                <w:sz w:val="24"/>
                <w:szCs w:val="24"/>
              </w:rPr>
              <w:t>Quais são riscos potenciais ainda não registrados contabilmente, mas que merecem monitoramento.</w:t>
            </w:r>
          </w:p>
        </w:tc>
        <w:tc>
          <w:tcPr>
            <w:tcW w:w="3222" w:type="dxa"/>
          </w:tcPr>
          <w:p w14:paraId="58258A5B" w14:textId="118CD978" w:rsidR="005F133F" w:rsidRDefault="00CF4F90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B47F5">
              <w:rPr>
                <w:rFonts w:ascii="Calibri" w:hAnsi="Calibri" w:cs="Calibri"/>
                <w:color w:val="00B050"/>
                <w:sz w:val="24"/>
                <w:szCs w:val="24"/>
              </w:rPr>
              <w:lastRenderedPageBreak/>
              <w:t>Idem art. 208-A.</w:t>
            </w:r>
          </w:p>
        </w:tc>
      </w:tr>
      <w:tr w:rsidR="005F133F" w:rsidRPr="00FB4FAB" w14:paraId="7F88F515" w14:textId="77777777" w:rsidTr="00EE3724">
        <w:trPr>
          <w:trHeight w:val="300"/>
        </w:trPr>
        <w:tc>
          <w:tcPr>
            <w:tcW w:w="3903" w:type="dxa"/>
          </w:tcPr>
          <w:p w14:paraId="444F9233" w14:textId="77777777" w:rsidR="005F133F" w:rsidRDefault="005F133F" w:rsidP="005F133F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3BA899FA" w14:textId="132032F5" w:rsidR="005F133F" w:rsidRDefault="005F133F" w:rsidP="005F133F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XVII - critérios, natureza e percentual utilizados para a constituição de provisões;</w:t>
            </w:r>
          </w:p>
        </w:tc>
        <w:tc>
          <w:tcPr>
            <w:tcW w:w="4116" w:type="dxa"/>
          </w:tcPr>
          <w:p w14:paraId="554F8EC9" w14:textId="07332C3B" w:rsidR="005F133F" w:rsidRPr="00D06EE1" w:rsidRDefault="005F133F" w:rsidP="005F133F">
            <w:pPr>
              <w:spacing w:line="240" w:lineRule="auto"/>
              <w:jc w:val="both"/>
              <w:rPr>
                <w:rFonts w:ascii="Calibri" w:eastAsia="Aptos" w:hAnsi="Calibri" w:cs="Calibri"/>
                <w:color w:val="00B050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Devido a reorganização do ordenamento do conteúdo mínimo das notas explicativas, o inciso III </w:t>
            </w:r>
            <w:r w:rsidRPr="00D06EE1">
              <w:rPr>
                <w:rFonts w:ascii="Calibri" w:eastAsia="Aptos" w:hAnsi="Calibri" w:cs="Calibri"/>
                <w:color w:val="00B050"/>
                <w:sz w:val="24"/>
                <w:szCs w:val="24"/>
              </w:rPr>
              <w:t xml:space="preserve">do art. 208 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>foi realocado para inciso XVII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 w:rsidRPr="00D06EE1">
              <w:rPr>
                <w:rFonts w:ascii="Calibri" w:eastAsia="Aptos" w:hAnsi="Calibri" w:cs="Calibri"/>
                <w:color w:val="00B050"/>
                <w:sz w:val="24"/>
                <w:szCs w:val="24"/>
              </w:rPr>
              <w:t>do art. 208-A.</w:t>
            </w:r>
          </w:p>
          <w:p w14:paraId="4E27D16E" w14:textId="77777777" w:rsidR="005F133F" w:rsidRPr="00FB4FAB" w:rsidRDefault="005F133F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689A38FB" w14:textId="6DEBB1A3" w:rsidR="005F133F" w:rsidRDefault="00032D09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B47F5">
              <w:rPr>
                <w:rFonts w:ascii="Calibri" w:hAnsi="Calibri" w:cs="Calibri"/>
                <w:color w:val="00B050"/>
                <w:sz w:val="24"/>
                <w:szCs w:val="24"/>
              </w:rPr>
              <w:t>Idem art. 208-A.</w:t>
            </w:r>
          </w:p>
        </w:tc>
      </w:tr>
      <w:tr w:rsidR="005F133F" w:rsidRPr="00FB4FAB" w14:paraId="54A56A70" w14:textId="77777777" w:rsidTr="00EE3724">
        <w:trPr>
          <w:trHeight w:val="300"/>
        </w:trPr>
        <w:tc>
          <w:tcPr>
            <w:tcW w:w="3903" w:type="dxa"/>
          </w:tcPr>
          <w:p w14:paraId="442F2927" w14:textId="77777777" w:rsidR="005F133F" w:rsidRDefault="005F133F" w:rsidP="005F133F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604AA731" w14:textId="03CC80C3" w:rsidR="005F133F" w:rsidRDefault="005F133F" w:rsidP="005F133F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XVIII - critérios e prazos utilizados para a destinação de superávit técnico, caso aplicável;</w:t>
            </w:r>
          </w:p>
        </w:tc>
        <w:tc>
          <w:tcPr>
            <w:tcW w:w="4116" w:type="dxa"/>
          </w:tcPr>
          <w:p w14:paraId="2AFCDD77" w14:textId="762937CD" w:rsidR="005F133F" w:rsidRPr="00FB4FAB" w:rsidRDefault="005F133F" w:rsidP="00032D09">
            <w:pPr>
              <w:spacing w:line="276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XX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 w:rsidRPr="00D06EE1">
              <w:rPr>
                <w:rFonts w:ascii="Calibri" w:eastAsia="Aptos" w:hAnsi="Calibri" w:cs="Calibri"/>
                <w:color w:val="00B050"/>
                <w:sz w:val="24"/>
                <w:szCs w:val="24"/>
              </w:rPr>
              <w:t>do art. 208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 foi realocado para inciso XVIII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 w:rsidRPr="00D06EE1">
              <w:rPr>
                <w:rFonts w:ascii="Calibri" w:eastAsia="Aptos" w:hAnsi="Calibri" w:cs="Calibri"/>
                <w:color w:val="00B050"/>
                <w:sz w:val="24"/>
                <w:szCs w:val="24"/>
              </w:rPr>
              <w:t>do art. 208-A.</w:t>
            </w:r>
          </w:p>
        </w:tc>
        <w:tc>
          <w:tcPr>
            <w:tcW w:w="3222" w:type="dxa"/>
          </w:tcPr>
          <w:p w14:paraId="41C8EFD4" w14:textId="060ABBFF" w:rsidR="005F133F" w:rsidRDefault="00032D09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B47F5">
              <w:rPr>
                <w:rFonts w:ascii="Calibri" w:hAnsi="Calibri" w:cs="Calibri"/>
                <w:color w:val="00B050"/>
                <w:sz w:val="24"/>
                <w:szCs w:val="24"/>
              </w:rPr>
              <w:t>Idem art. 208-A.</w:t>
            </w:r>
          </w:p>
        </w:tc>
      </w:tr>
      <w:tr w:rsidR="005F133F" w:rsidRPr="00FB4FAB" w14:paraId="38715104" w14:textId="77777777" w:rsidTr="00EE3724">
        <w:trPr>
          <w:trHeight w:val="300"/>
        </w:trPr>
        <w:tc>
          <w:tcPr>
            <w:tcW w:w="3903" w:type="dxa"/>
          </w:tcPr>
          <w:p w14:paraId="68F11D08" w14:textId="77777777" w:rsidR="005F133F" w:rsidRDefault="005F133F" w:rsidP="005F133F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7150E1FC" w14:textId="77777777" w:rsidR="005F133F" w:rsidRPr="00FB4FAB" w:rsidRDefault="005F133F" w:rsidP="005F133F">
            <w:pPr>
              <w:spacing w:after="160"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XIX - objetivos e critérios utilizados para constituição e reversão de fundos;</w:t>
            </w:r>
          </w:p>
          <w:p w14:paraId="04F3ADA7" w14:textId="77777777" w:rsidR="005F133F" w:rsidRDefault="005F133F" w:rsidP="005F133F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46FA6C85" w14:textId="77777777" w:rsidR="005F133F" w:rsidRPr="00FB4FAB" w:rsidRDefault="005F133F" w:rsidP="005F133F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XI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 w:rsidRPr="00D06EE1">
              <w:rPr>
                <w:rFonts w:ascii="Calibri" w:eastAsia="Aptos" w:hAnsi="Calibri" w:cs="Calibri"/>
                <w:color w:val="00B050"/>
                <w:sz w:val="24"/>
                <w:szCs w:val="24"/>
              </w:rPr>
              <w:t xml:space="preserve">do art. 208 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>foi realocado para inciso XIX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 w:rsidRPr="00D06EE1">
              <w:rPr>
                <w:rFonts w:ascii="Calibri" w:eastAsia="Aptos" w:hAnsi="Calibri" w:cs="Calibri"/>
                <w:color w:val="00B050"/>
                <w:sz w:val="24"/>
                <w:szCs w:val="24"/>
              </w:rPr>
              <w:t>do art. 208-A</w:t>
            </w:r>
            <w:r w:rsidRPr="00B33A3E">
              <w:rPr>
                <w:rFonts w:ascii="Calibri" w:eastAsia="Aptos" w:hAnsi="Calibri" w:cs="Calibri"/>
                <w:color w:val="3A7C22" w:themeColor="accent6" w:themeShade="BF"/>
                <w:sz w:val="24"/>
                <w:szCs w:val="24"/>
              </w:rPr>
              <w:t>.</w:t>
            </w:r>
          </w:p>
          <w:p w14:paraId="135988CF" w14:textId="77777777" w:rsidR="005F133F" w:rsidRPr="00FB4FAB" w:rsidRDefault="005F133F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6CE215F5" w14:textId="64DAC9D3" w:rsidR="005F133F" w:rsidRDefault="00032D09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B47F5">
              <w:rPr>
                <w:rFonts w:ascii="Calibri" w:hAnsi="Calibri" w:cs="Calibri"/>
                <w:color w:val="00B050"/>
                <w:sz w:val="24"/>
                <w:szCs w:val="24"/>
              </w:rPr>
              <w:t>Idem art. 208-A.</w:t>
            </w:r>
          </w:p>
        </w:tc>
      </w:tr>
      <w:tr w:rsidR="005F133F" w:rsidRPr="00FB4FAB" w14:paraId="00EC1E35" w14:textId="77777777" w:rsidTr="00EE3724">
        <w:trPr>
          <w:trHeight w:val="300"/>
        </w:trPr>
        <w:tc>
          <w:tcPr>
            <w:tcW w:w="3903" w:type="dxa"/>
          </w:tcPr>
          <w:p w14:paraId="6E3DC76A" w14:textId="77777777" w:rsidR="005F133F" w:rsidRDefault="005F133F" w:rsidP="005F133F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531819DA" w14:textId="02909505" w:rsidR="005F133F" w:rsidRDefault="005F133F" w:rsidP="005F133F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XX - utilização de recursos de fundo previdencial para cobertura parcial ou 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lastRenderedPageBreak/>
              <w:t>total das contribuições para o plano de benefícios;</w:t>
            </w:r>
          </w:p>
        </w:tc>
        <w:tc>
          <w:tcPr>
            <w:tcW w:w="4116" w:type="dxa"/>
          </w:tcPr>
          <w:p w14:paraId="7FB1927E" w14:textId="77777777" w:rsidR="005F133F" w:rsidRPr="006112BF" w:rsidRDefault="005F133F" w:rsidP="005F133F">
            <w:pPr>
              <w:spacing w:line="240" w:lineRule="auto"/>
              <w:jc w:val="both"/>
              <w:rPr>
                <w:rFonts w:ascii="Calibri" w:eastAsia="Aptos" w:hAnsi="Calibri" w:cs="Calibri"/>
                <w:color w:val="00B050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lastRenderedPageBreak/>
              <w:t xml:space="preserve">Devido a reorganização do ordenamento do conteúdo mínimo das 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lastRenderedPageBreak/>
              <w:t xml:space="preserve">notas explicativas, o inciso XXIII </w:t>
            </w:r>
            <w:r w:rsidRPr="006112BF">
              <w:rPr>
                <w:rFonts w:ascii="Calibri" w:eastAsia="Aptos" w:hAnsi="Calibri" w:cs="Calibri"/>
                <w:color w:val="00B050"/>
                <w:sz w:val="24"/>
                <w:szCs w:val="24"/>
              </w:rPr>
              <w:t>do art. 208</w:t>
            </w:r>
            <w:r>
              <w:rPr>
                <w:rFonts w:ascii="Calibri" w:eastAsia="Aptos" w:hAnsi="Calibri" w:cs="Calibri"/>
                <w:color w:val="3A7C22" w:themeColor="accent6" w:themeShade="BF"/>
                <w:sz w:val="24"/>
                <w:szCs w:val="24"/>
              </w:rPr>
              <w:t xml:space="preserve"> 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>foi realocado para inciso XX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 w:rsidRPr="006112BF">
              <w:rPr>
                <w:rFonts w:ascii="Calibri" w:eastAsia="Aptos" w:hAnsi="Calibri" w:cs="Calibri"/>
                <w:color w:val="00B050"/>
                <w:sz w:val="24"/>
                <w:szCs w:val="24"/>
              </w:rPr>
              <w:t>do art. 208-A.</w:t>
            </w:r>
          </w:p>
          <w:p w14:paraId="5EA4B335" w14:textId="77777777" w:rsidR="005F133F" w:rsidRPr="00FB4FAB" w:rsidRDefault="005F133F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6F7BF17C" w14:textId="29248C71" w:rsidR="005F133F" w:rsidRDefault="00032D09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B47F5">
              <w:rPr>
                <w:rFonts w:ascii="Calibri" w:hAnsi="Calibri" w:cs="Calibri"/>
                <w:color w:val="00B050"/>
                <w:sz w:val="24"/>
                <w:szCs w:val="24"/>
              </w:rPr>
              <w:lastRenderedPageBreak/>
              <w:t>Idem art. 208-A</w:t>
            </w:r>
          </w:p>
        </w:tc>
      </w:tr>
      <w:tr w:rsidR="005F133F" w:rsidRPr="00FB4FAB" w14:paraId="400BF7B5" w14:textId="77777777" w:rsidTr="00EE3724">
        <w:trPr>
          <w:trHeight w:val="300"/>
        </w:trPr>
        <w:tc>
          <w:tcPr>
            <w:tcW w:w="3903" w:type="dxa"/>
          </w:tcPr>
          <w:p w14:paraId="7D4F89FA" w14:textId="77777777" w:rsidR="005F133F" w:rsidRDefault="005F133F" w:rsidP="005F133F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77188476" w14:textId="77777777" w:rsidR="005F133F" w:rsidRPr="00FB4FAB" w:rsidRDefault="005F133F" w:rsidP="005F133F">
            <w:pPr>
              <w:spacing w:after="160"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XXI - composição das contribuições em atraso e contratadas, por patrocinador e por plano de benefícios, comparativos com o exercício anterior;</w:t>
            </w:r>
          </w:p>
          <w:p w14:paraId="6F6D3AE6" w14:textId="77777777" w:rsidR="005F133F" w:rsidRDefault="005F133F" w:rsidP="005F133F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029E8C5F" w14:textId="77777777" w:rsidR="005F133F" w:rsidRPr="00FB4FAB" w:rsidRDefault="005F133F" w:rsidP="005F133F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VIII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 w:rsidRPr="006112BF">
              <w:rPr>
                <w:rFonts w:ascii="Calibri" w:eastAsia="Aptos" w:hAnsi="Calibri" w:cs="Calibri"/>
                <w:color w:val="00B050"/>
                <w:sz w:val="24"/>
                <w:szCs w:val="24"/>
              </w:rPr>
              <w:t xml:space="preserve">do art. </w:t>
            </w:r>
            <w:r w:rsidRPr="00B33A3E">
              <w:rPr>
                <w:rFonts w:ascii="Calibri" w:eastAsia="Aptos" w:hAnsi="Calibri" w:cs="Calibri"/>
                <w:color w:val="3A7C22" w:themeColor="accent6" w:themeShade="BF"/>
                <w:sz w:val="24"/>
                <w:szCs w:val="24"/>
              </w:rPr>
              <w:t>208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 foi realocado para inciso XXI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 w:rsidRPr="00B33A3E">
              <w:rPr>
                <w:rFonts w:ascii="Calibri" w:eastAsia="Aptos" w:hAnsi="Calibri" w:cs="Calibri"/>
                <w:color w:val="3A7C22" w:themeColor="accent6" w:themeShade="BF"/>
                <w:sz w:val="24"/>
                <w:szCs w:val="24"/>
              </w:rPr>
              <w:t>do art. 208-A.</w:t>
            </w:r>
          </w:p>
          <w:p w14:paraId="4C797154" w14:textId="77777777" w:rsidR="005F133F" w:rsidRPr="00FB4FAB" w:rsidRDefault="005F133F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69FD9362" w14:textId="7A2C8D5C" w:rsidR="005F133F" w:rsidRDefault="00032D09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B47F5">
              <w:rPr>
                <w:rFonts w:ascii="Calibri" w:hAnsi="Calibri" w:cs="Calibri"/>
                <w:color w:val="00B050"/>
                <w:sz w:val="24"/>
                <w:szCs w:val="24"/>
              </w:rPr>
              <w:t>Idem art. 208-A</w:t>
            </w:r>
          </w:p>
        </w:tc>
      </w:tr>
      <w:tr w:rsidR="005F133F" w:rsidRPr="00FB4FAB" w14:paraId="502621BF" w14:textId="77777777" w:rsidTr="00EE3724">
        <w:trPr>
          <w:trHeight w:val="300"/>
        </w:trPr>
        <w:tc>
          <w:tcPr>
            <w:tcW w:w="3903" w:type="dxa"/>
          </w:tcPr>
          <w:p w14:paraId="7989E38A" w14:textId="77777777" w:rsidR="005F133F" w:rsidRDefault="005F133F" w:rsidP="005F133F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39EB2244" w14:textId="01DD8B24" w:rsidR="005F133F" w:rsidRDefault="005F133F" w:rsidP="005F133F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XXII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>-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>equacionamento de déficit técnico com indicação do plano de benefícios, do prazo, das taxas ou valores de contribuições, das contribuições extraordinárias de participantes, assistidos e patrocinadores, da eventual inadimplência e do tempo restante do equacionamento;</w:t>
            </w:r>
          </w:p>
        </w:tc>
        <w:tc>
          <w:tcPr>
            <w:tcW w:w="4116" w:type="dxa"/>
          </w:tcPr>
          <w:p w14:paraId="2B2FA485" w14:textId="77777777" w:rsidR="005F133F" w:rsidRPr="006112BF" w:rsidRDefault="005F133F" w:rsidP="005F133F">
            <w:pPr>
              <w:spacing w:line="276" w:lineRule="auto"/>
              <w:jc w:val="both"/>
              <w:rPr>
                <w:rFonts w:ascii="Calibri" w:eastAsia="Aptos" w:hAnsi="Calibri" w:cs="Calibri"/>
                <w:color w:val="00B050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XIX</w:t>
            </w:r>
            <w:r w:rsidRPr="00B33A3E">
              <w:rPr>
                <w:rFonts w:ascii="Calibri" w:eastAsia="Aptos" w:hAnsi="Calibri" w:cs="Calibri"/>
                <w:color w:val="3A7C22" w:themeColor="accent6" w:themeShade="BF"/>
                <w:sz w:val="24"/>
                <w:szCs w:val="24"/>
              </w:rPr>
              <w:t xml:space="preserve"> do art. </w:t>
            </w:r>
            <w:r w:rsidRPr="006112BF">
              <w:rPr>
                <w:rFonts w:ascii="Calibri" w:eastAsia="Aptos" w:hAnsi="Calibri" w:cs="Calibri"/>
                <w:color w:val="00B050"/>
                <w:sz w:val="24"/>
                <w:szCs w:val="24"/>
              </w:rPr>
              <w:t>208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 foi realocado para inciso XXII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 w:rsidRPr="006112BF">
              <w:rPr>
                <w:rFonts w:ascii="Calibri" w:eastAsia="Aptos" w:hAnsi="Calibri" w:cs="Calibri"/>
                <w:color w:val="00B050"/>
                <w:sz w:val="24"/>
                <w:szCs w:val="24"/>
              </w:rPr>
              <w:t>do art. 208-A.</w:t>
            </w:r>
          </w:p>
          <w:p w14:paraId="0C8E4B5F" w14:textId="77777777" w:rsidR="005F133F" w:rsidRPr="00FB4FAB" w:rsidRDefault="005F133F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49EE259F" w14:textId="1A37F91C" w:rsidR="005F133F" w:rsidRDefault="00032D09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B47F5">
              <w:rPr>
                <w:rFonts w:ascii="Calibri" w:hAnsi="Calibri" w:cs="Calibri"/>
                <w:color w:val="00B050"/>
                <w:sz w:val="24"/>
                <w:szCs w:val="24"/>
              </w:rPr>
              <w:t>Idem art. 208-A</w:t>
            </w:r>
          </w:p>
        </w:tc>
      </w:tr>
      <w:tr w:rsidR="005F133F" w:rsidRPr="00FB4FAB" w14:paraId="56925BA5" w14:textId="77777777" w:rsidTr="00EE3724">
        <w:trPr>
          <w:trHeight w:val="300"/>
        </w:trPr>
        <w:tc>
          <w:tcPr>
            <w:tcW w:w="3903" w:type="dxa"/>
          </w:tcPr>
          <w:p w14:paraId="61E9862F" w14:textId="77777777" w:rsidR="005F133F" w:rsidRDefault="005F133F" w:rsidP="005F133F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56CDA532" w14:textId="3F9E0774" w:rsidR="005F133F" w:rsidRDefault="005F133F" w:rsidP="005F133F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XXIII -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>descrição de operações relativas à contratação de contribuições em atraso, de serviço passado, de déficit técnico e de outras indicando o valor contratado, o prazo de amortização, o valor da parcela, a data de vencimento, os juros pactuados e outras informações pertinentes;</w:t>
            </w:r>
          </w:p>
        </w:tc>
        <w:tc>
          <w:tcPr>
            <w:tcW w:w="4116" w:type="dxa"/>
          </w:tcPr>
          <w:p w14:paraId="2C90CCC0" w14:textId="77777777" w:rsidR="005F133F" w:rsidRPr="00FB4FAB" w:rsidRDefault="005F133F" w:rsidP="005F133F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Devido a reorganização do ordenamento do conteúdo mínimo das notas explicativas, o inciso VII </w:t>
            </w:r>
            <w:r w:rsidRPr="006112BF">
              <w:rPr>
                <w:rFonts w:ascii="Calibri" w:eastAsia="Aptos" w:hAnsi="Calibri" w:cs="Calibri"/>
                <w:color w:val="00B050"/>
                <w:sz w:val="24"/>
                <w:szCs w:val="24"/>
              </w:rPr>
              <w:t>do art</w:t>
            </w:r>
            <w:r w:rsidRPr="00B33A3E">
              <w:rPr>
                <w:rFonts w:ascii="Calibri" w:eastAsia="Aptos" w:hAnsi="Calibri" w:cs="Calibri"/>
                <w:color w:val="3A7C22" w:themeColor="accent6" w:themeShade="BF"/>
                <w:sz w:val="24"/>
                <w:szCs w:val="24"/>
              </w:rPr>
              <w:t xml:space="preserve">. </w:t>
            </w:r>
            <w:r w:rsidRPr="006112BF">
              <w:rPr>
                <w:rFonts w:ascii="Calibri" w:eastAsia="Aptos" w:hAnsi="Calibri" w:cs="Calibri"/>
                <w:color w:val="00B050"/>
                <w:sz w:val="24"/>
                <w:szCs w:val="24"/>
              </w:rPr>
              <w:t>208</w:t>
            </w:r>
            <w:r>
              <w:rPr>
                <w:rFonts w:ascii="Calibri" w:eastAsia="Aptos" w:hAnsi="Calibri" w:cs="Calibri"/>
                <w:color w:val="3A7C22" w:themeColor="accent6" w:themeShade="BF"/>
                <w:sz w:val="24"/>
                <w:szCs w:val="24"/>
              </w:rPr>
              <w:t xml:space="preserve"> 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>foi realocado para inciso XXIII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 w:rsidRPr="00B33A3E">
              <w:rPr>
                <w:rFonts w:ascii="Calibri" w:eastAsia="Aptos" w:hAnsi="Calibri" w:cs="Calibri"/>
                <w:color w:val="3A7C22" w:themeColor="accent6" w:themeShade="BF"/>
                <w:sz w:val="24"/>
                <w:szCs w:val="24"/>
              </w:rPr>
              <w:t xml:space="preserve">do art. </w:t>
            </w:r>
            <w:r w:rsidRPr="006112BF">
              <w:rPr>
                <w:rFonts w:ascii="Calibri" w:eastAsia="Aptos" w:hAnsi="Calibri" w:cs="Calibri"/>
                <w:color w:val="00B050"/>
                <w:sz w:val="24"/>
                <w:szCs w:val="24"/>
              </w:rPr>
              <w:t>208-A</w:t>
            </w:r>
            <w:r w:rsidRPr="00B33A3E">
              <w:rPr>
                <w:rFonts w:ascii="Calibri" w:eastAsia="Aptos" w:hAnsi="Calibri" w:cs="Calibri"/>
                <w:color w:val="3A7C22" w:themeColor="accent6" w:themeShade="BF"/>
                <w:sz w:val="24"/>
                <w:szCs w:val="24"/>
              </w:rPr>
              <w:t>.</w:t>
            </w:r>
          </w:p>
          <w:p w14:paraId="2A474D20" w14:textId="77777777" w:rsidR="005F133F" w:rsidRPr="00FB4FAB" w:rsidRDefault="005F133F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0C6695ED" w14:textId="705C7638" w:rsidR="005F133F" w:rsidRDefault="00032D09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B47F5">
              <w:rPr>
                <w:rFonts w:ascii="Calibri" w:hAnsi="Calibri" w:cs="Calibri"/>
                <w:color w:val="00B050"/>
                <w:sz w:val="24"/>
                <w:szCs w:val="24"/>
              </w:rPr>
              <w:t>Idem art. 208-A</w:t>
            </w:r>
          </w:p>
        </w:tc>
      </w:tr>
      <w:tr w:rsidR="005F133F" w:rsidRPr="00FB4FAB" w14:paraId="1B318022" w14:textId="77777777" w:rsidTr="00EE3724">
        <w:trPr>
          <w:trHeight w:val="300"/>
        </w:trPr>
        <w:tc>
          <w:tcPr>
            <w:tcW w:w="3903" w:type="dxa"/>
          </w:tcPr>
          <w:p w14:paraId="47D2ABC6" w14:textId="77777777" w:rsidR="005F133F" w:rsidRDefault="005F133F" w:rsidP="005F133F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781494CE" w14:textId="3DDAF088" w:rsidR="005F133F" w:rsidRDefault="005F133F" w:rsidP="005F133F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XXIV - critérios utilizados para o rateio das despesas administrativas entre os planos de benefícios, se for o caso;</w:t>
            </w:r>
          </w:p>
        </w:tc>
        <w:tc>
          <w:tcPr>
            <w:tcW w:w="4116" w:type="dxa"/>
          </w:tcPr>
          <w:p w14:paraId="489DA6C9" w14:textId="134A561E" w:rsidR="005F133F" w:rsidRPr="00FB4FAB" w:rsidRDefault="005F133F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X</w:t>
            </w:r>
            <w:r w:rsidRPr="00B33A3E">
              <w:rPr>
                <w:rFonts w:ascii="Calibri" w:eastAsia="Aptos" w:hAnsi="Calibri" w:cs="Calibri"/>
                <w:color w:val="3A7C22" w:themeColor="accent6" w:themeShade="BF"/>
                <w:sz w:val="24"/>
                <w:szCs w:val="24"/>
              </w:rPr>
              <w:t xml:space="preserve"> </w:t>
            </w:r>
            <w:r w:rsidRPr="006112BF">
              <w:rPr>
                <w:rFonts w:ascii="Calibri" w:eastAsia="Aptos" w:hAnsi="Calibri" w:cs="Calibri"/>
                <w:color w:val="00B050"/>
                <w:sz w:val="24"/>
                <w:szCs w:val="24"/>
              </w:rPr>
              <w:t xml:space="preserve">do art. 208 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>foi realocado para inciso XXIV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 w:rsidRPr="006112BF">
              <w:rPr>
                <w:rFonts w:ascii="Calibri" w:eastAsia="Aptos" w:hAnsi="Calibri" w:cs="Calibri"/>
                <w:color w:val="00B050"/>
                <w:sz w:val="24"/>
                <w:szCs w:val="24"/>
              </w:rPr>
              <w:t>do art. 208-A</w:t>
            </w:r>
            <w:r w:rsidRPr="00B33A3E">
              <w:rPr>
                <w:rFonts w:ascii="Calibri" w:eastAsia="Aptos" w:hAnsi="Calibri" w:cs="Calibri"/>
                <w:color w:val="3A7C22" w:themeColor="accent6" w:themeShade="BF"/>
                <w:sz w:val="24"/>
                <w:szCs w:val="24"/>
              </w:rPr>
              <w:t>.</w:t>
            </w:r>
          </w:p>
        </w:tc>
        <w:tc>
          <w:tcPr>
            <w:tcW w:w="3222" w:type="dxa"/>
          </w:tcPr>
          <w:p w14:paraId="631441E9" w14:textId="26303463" w:rsidR="005F133F" w:rsidRDefault="00032D09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B47F5">
              <w:rPr>
                <w:rFonts w:ascii="Calibri" w:hAnsi="Calibri" w:cs="Calibri"/>
                <w:color w:val="00B050"/>
                <w:sz w:val="24"/>
                <w:szCs w:val="24"/>
              </w:rPr>
              <w:t>Idem art. 208-A</w:t>
            </w:r>
          </w:p>
        </w:tc>
      </w:tr>
      <w:tr w:rsidR="005F133F" w:rsidRPr="00FB4FAB" w14:paraId="37560968" w14:textId="77777777" w:rsidTr="00EE3724">
        <w:trPr>
          <w:trHeight w:val="300"/>
        </w:trPr>
        <w:tc>
          <w:tcPr>
            <w:tcW w:w="3903" w:type="dxa"/>
          </w:tcPr>
          <w:p w14:paraId="550D4ED3" w14:textId="77777777" w:rsidR="005F133F" w:rsidRDefault="005F133F" w:rsidP="005F133F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7A95D083" w14:textId="25D68608" w:rsidR="005F133F" w:rsidRDefault="005F133F" w:rsidP="005F133F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>
              <w:rPr>
                <w:rFonts w:ascii="Calibri" w:eastAsia="Aptos" w:hAnsi="Calibri" w:cs="Calibri"/>
                <w:color w:val="0070C0"/>
                <w:sz w:val="24"/>
                <w:szCs w:val="24"/>
              </w:rPr>
              <w:t>XXV - descrição da c</w:t>
            </w:r>
            <w:r w:rsidRPr="00EA22DE">
              <w:rPr>
                <w:rFonts w:ascii="Calibri" w:eastAsia="Aptos" w:hAnsi="Calibri" w:cs="Calibri"/>
                <w:color w:val="0070C0"/>
                <w:sz w:val="24"/>
                <w:szCs w:val="24"/>
              </w:rPr>
              <w:t>onstituição e reversão do fundo administrativo</w:t>
            </w:r>
            <w:r>
              <w:rPr>
                <w:rFonts w:ascii="Calibri" w:eastAsia="Aptos" w:hAnsi="Calibri" w:cs="Calibri"/>
                <w:color w:val="0070C0"/>
                <w:sz w:val="24"/>
                <w:szCs w:val="24"/>
              </w:rPr>
              <w:t xml:space="preserve"> compartilhado;</w:t>
            </w:r>
          </w:p>
        </w:tc>
        <w:tc>
          <w:tcPr>
            <w:tcW w:w="4116" w:type="dxa"/>
          </w:tcPr>
          <w:p w14:paraId="31E09F2C" w14:textId="77777777" w:rsidR="005F133F" w:rsidRPr="00FB4FAB" w:rsidRDefault="005F133F" w:rsidP="005F133F">
            <w:pPr>
              <w:spacing w:line="240" w:lineRule="auto"/>
              <w:jc w:val="both"/>
              <w:rPr>
                <w:rFonts w:ascii="Calibri" w:hAnsi="Calibri" w:cs="Calibri"/>
                <w:color w:val="000000" w:themeColor="text1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Inclusão de inciso, </w:t>
            </w:r>
            <w:r w:rsidRPr="00FB4FAB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a fim </w:t>
            </w: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de contemplar as informações do fundo administrativo compartilhado atendendo ao disposto no art. 11 da Resolução CNPC nº 62/2024</w:t>
            </w:r>
            <w:r w:rsidRPr="00FB4FAB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.</w:t>
            </w:r>
          </w:p>
          <w:p w14:paraId="606D25F4" w14:textId="77777777" w:rsidR="005F133F" w:rsidRPr="00FB4FAB" w:rsidRDefault="005F133F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5655DEED" w14:textId="22567F20" w:rsidR="005F133F" w:rsidRDefault="00032D09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B47F5">
              <w:rPr>
                <w:rFonts w:ascii="Calibri" w:hAnsi="Calibri" w:cs="Calibri"/>
                <w:color w:val="00B050"/>
                <w:sz w:val="24"/>
                <w:szCs w:val="24"/>
              </w:rPr>
              <w:t>Idem art. 208-A</w:t>
            </w:r>
          </w:p>
        </w:tc>
      </w:tr>
      <w:tr w:rsidR="005F133F" w:rsidRPr="00FB4FAB" w14:paraId="61B7C224" w14:textId="77777777" w:rsidTr="00EE3724">
        <w:trPr>
          <w:trHeight w:val="300"/>
        </w:trPr>
        <w:tc>
          <w:tcPr>
            <w:tcW w:w="3903" w:type="dxa"/>
          </w:tcPr>
          <w:p w14:paraId="7AB3B66A" w14:textId="77777777" w:rsidR="005F133F" w:rsidRDefault="005F133F" w:rsidP="005F133F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5B6A0654" w14:textId="114732A7" w:rsidR="005F133F" w:rsidRDefault="005F133F" w:rsidP="005F133F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color w:val="0070C0"/>
                <w:sz w:val="24"/>
                <w:szCs w:val="24"/>
              </w:rPr>
              <w:t>XXV</w:t>
            </w:r>
            <w:r>
              <w:rPr>
                <w:rFonts w:ascii="Calibri" w:eastAsia="Aptos" w:hAnsi="Calibri" w:cs="Calibri"/>
                <w:color w:val="0070C0"/>
                <w:sz w:val="24"/>
                <w:szCs w:val="24"/>
              </w:rPr>
              <w:t>I</w:t>
            </w:r>
            <w:r w:rsidRPr="00FB4FAB">
              <w:rPr>
                <w:rFonts w:ascii="Calibri" w:eastAsia="Aptos" w:hAnsi="Calibri" w:cs="Calibri"/>
                <w:color w:val="0070C0"/>
                <w:sz w:val="24"/>
                <w:szCs w:val="24"/>
              </w:rPr>
              <w:t xml:space="preserve"> - </w:t>
            </w:r>
            <w:r w:rsidRPr="00FB4FAB">
              <w:rPr>
                <w:rFonts w:ascii="Calibri" w:hAnsi="Calibri" w:cs="Calibri"/>
                <w:color w:val="0070C0"/>
                <w:sz w:val="24"/>
                <w:szCs w:val="24"/>
              </w:rPr>
              <w:t>indicação do saldo e detalhamento das despesas de fomento e de inovação referentes ao fundo administrativo compartilhado</w:t>
            </w:r>
            <w:r>
              <w:rPr>
                <w:rFonts w:ascii="Calibri" w:hAnsi="Calibri" w:cs="Calibri"/>
                <w:color w:val="0070C0"/>
                <w:sz w:val="24"/>
                <w:szCs w:val="24"/>
              </w:rPr>
              <w:t>;</w:t>
            </w:r>
          </w:p>
        </w:tc>
        <w:tc>
          <w:tcPr>
            <w:tcW w:w="4116" w:type="dxa"/>
          </w:tcPr>
          <w:p w14:paraId="736EF812" w14:textId="77777777" w:rsidR="005F133F" w:rsidRPr="00FB4FAB" w:rsidRDefault="005F133F" w:rsidP="005F133F">
            <w:pPr>
              <w:spacing w:line="240" w:lineRule="auto"/>
              <w:jc w:val="both"/>
              <w:rPr>
                <w:rFonts w:ascii="Calibri" w:hAnsi="Calibri" w:cs="Calibri"/>
                <w:color w:val="000000" w:themeColor="text1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Inclusão de inciso, </w:t>
            </w:r>
            <w:r w:rsidRPr="00FB4FAB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a fim </w:t>
            </w: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de contemplar as informações de fomento e inovação atendendo ao disposto no art. 11 da Resolução CNPC nº 62/2024</w:t>
            </w:r>
            <w:r w:rsidRPr="00FB4FAB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.</w:t>
            </w:r>
          </w:p>
          <w:p w14:paraId="0D81AE3E" w14:textId="77777777" w:rsidR="005F133F" w:rsidRPr="00FB4FAB" w:rsidRDefault="005F133F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43063F50" w14:textId="6B57BB33" w:rsidR="005F133F" w:rsidRDefault="00032D09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B47F5">
              <w:rPr>
                <w:rFonts w:ascii="Calibri" w:hAnsi="Calibri" w:cs="Calibri"/>
                <w:color w:val="00B050"/>
                <w:sz w:val="24"/>
                <w:szCs w:val="24"/>
              </w:rPr>
              <w:t>Idem art. 208-A</w:t>
            </w:r>
          </w:p>
        </w:tc>
      </w:tr>
      <w:tr w:rsidR="005F133F" w:rsidRPr="00FB4FAB" w14:paraId="5EEB7391" w14:textId="77777777" w:rsidTr="00EE3724">
        <w:trPr>
          <w:trHeight w:val="300"/>
        </w:trPr>
        <w:tc>
          <w:tcPr>
            <w:tcW w:w="3903" w:type="dxa"/>
          </w:tcPr>
          <w:p w14:paraId="619FD65D" w14:textId="77777777" w:rsidR="005F133F" w:rsidRDefault="005F133F" w:rsidP="005F133F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032FCEB7" w14:textId="343BD3DC" w:rsidR="005F133F" w:rsidRDefault="005F133F" w:rsidP="005F133F">
            <w:pPr>
              <w:spacing w:line="240" w:lineRule="auto"/>
              <w:jc w:val="both"/>
              <w:rPr>
                <w:rFonts w:ascii="Calibri" w:eastAsia="Aptos" w:hAnsi="Calibri" w:cs="Calibri"/>
                <w:color w:val="0070C0"/>
                <w:sz w:val="24"/>
                <w:szCs w:val="24"/>
              </w:rPr>
            </w:pPr>
            <w:r>
              <w:rPr>
                <w:rFonts w:ascii="Calibri" w:eastAsia="Aptos" w:hAnsi="Calibri" w:cs="Calibri"/>
                <w:color w:val="0070C0"/>
                <w:sz w:val="24"/>
                <w:szCs w:val="24"/>
              </w:rPr>
              <w:t>XXVII - indicação dos montantes de despesas de remuneração fixa e variável pagas no exercício a dirigentes, conselheiros, pessoal próprio e pessoal cedido</w:t>
            </w:r>
            <w:r w:rsidR="0089687B">
              <w:rPr>
                <w:rFonts w:ascii="Calibri" w:eastAsia="Aptos" w:hAnsi="Calibri" w:cs="Calibri"/>
                <w:color w:val="0070C0"/>
                <w:sz w:val="24"/>
                <w:szCs w:val="24"/>
              </w:rPr>
              <w:t xml:space="preserve">, </w:t>
            </w:r>
            <w:r w:rsidR="0089687B" w:rsidRPr="0089687B">
              <w:rPr>
                <w:rFonts w:ascii="Calibri" w:eastAsia="Aptos" w:hAnsi="Calibri" w:cs="Calibri"/>
                <w:color w:val="0070C0"/>
                <w:sz w:val="24"/>
                <w:szCs w:val="24"/>
              </w:rPr>
              <w:t>conforme política de remuneração da EFPC;</w:t>
            </w:r>
          </w:p>
          <w:p w14:paraId="4BEF8E38" w14:textId="77777777" w:rsidR="005F133F" w:rsidRDefault="005F133F" w:rsidP="005F133F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5C1A05D7" w14:textId="77777777" w:rsidR="005F133F" w:rsidRDefault="005F133F" w:rsidP="005F133F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Inclusão de inciso, 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para informar em notas explicativas os montantes pagos de remuneração fixa e variável de pessoal próprio e cedido, dirigentes e conselheiros, com a finalidade de ampliar a transparência quanto ao dispêndio realizado pelas EFPC no que tange a remuneração de pessoal, </w:t>
            </w:r>
            <w:r w:rsidRPr="00490420">
              <w:rPr>
                <w:rFonts w:ascii="Calibri" w:eastAsia="Aptos" w:hAnsi="Calibri" w:cs="Calibri"/>
                <w:sz w:val="24"/>
                <w:szCs w:val="24"/>
              </w:rPr>
              <w:t xml:space="preserve">possibilitando </w:t>
            </w:r>
            <w:r>
              <w:rPr>
                <w:rFonts w:ascii="Calibri" w:eastAsia="Aptos" w:hAnsi="Calibri" w:cs="Calibri"/>
                <w:sz w:val="24"/>
                <w:szCs w:val="24"/>
              </w:rPr>
              <w:t>o</w:t>
            </w:r>
            <w:r w:rsidRPr="00490420"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Aptos" w:hAnsi="Calibri" w:cs="Calibri"/>
                <w:sz w:val="24"/>
                <w:szCs w:val="24"/>
              </w:rPr>
              <w:t>acompanhamento</w:t>
            </w:r>
            <w:r w:rsidRPr="00490420">
              <w:rPr>
                <w:rFonts w:ascii="Calibri" w:eastAsia="Aptos" w:hAnsi="Calibri" w:cs="Calibri"/>
                <w:sz w:val="24"/>
                <w:szCs w:val="24"/>
              </w:rPr>
              <w:t xml:space="preserve"> pelos participantes, assistidos, patrocinadores, instituidores e pelo órgão fiscalizador, em consonância com </w:t>
            </w:r>
            <w:r w:rsidRPr="00490420">
              <w:rPr>
                <w:rFonts w:ascii="Calibri" w:eastAsia="Aptos" w:hAnsi="Calibri" w:cs="Calibri"/>
                <w:sz w:val="24"/>
                <w:szCs w:val="24"/>
              </w:rPr>
              <w:lastRenderedPageBreak/>
              <w:t>a criação das contas contábeis específicas para registro da remuneração fixa e variável de dirigentes</w:t>
            </w:r>
            <w:r>
              <w:rPr>
                <w:rFonts w:ascii="Calibri" w:eastAsia="Aptos" w:hAnsi="Calibri" w:cs="Calibri"/>
                <w:sz w:val="24"/>
                <w:szCs w:val="24"/>
              </w:rPr>
              <w:t>.</w:t>
            </w:r>
          </w:p>
          <w:p w14:paraId="402FCB6B" w14:textId="77777777" w:rsidR="005F133F" w:rsidRPr="00FB4FAB" w:rsidRDefault="005F133F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049B8FE2" w14:textId="1FB585CC" w:rsidR="005F133F" w:rsidRDefault="00032D09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B47F5">
              <w:rPr>
                <w:rFonts w:ascii="Calibri" w:hAnsi="Calibri" w:cs="Calibri"/>
                <w:color w:val="00B050"/>
                <w:sz w:val="24"/>
                <w:szCs w:val="24"/>
              </w:rPr>
              <w:lastRenderedPageBreak/>
              <w:t>Idem art. 208-A</w:t>
            </w:r>
          </w:p>
        </w:tc>
      </w:tr>
      <w:tr w:rsidR="005F133F" w:rsidRPr="00FB4FAB" w14:paraId="30AD0E42" w14:textId="77777777" w:rsidTr="00EE3724">
        <w:trPr>
          <w:trHeight w:val="300"/>
        </w:trPr>
        <w:tc>
          <w:tcPr>
            <w:tcW w:w="3903" w:type="dxa"/>
          </w:tcPr>
          <w:p w14:paraId="09BD70CC" w14:textId="77777777" w:rsidR="005F133F" w:rsidRDefault="005F133F" w:rsidP="005F133F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6D5EEE42" w14:textId="77777777" w:rsidR="005F133F" w:rsidRPr="00FB4FAB" w:rsidRDefault="005F133F" w:rsidP="005F133F">
            <w:pPr>
              <w:spacing w:line="240" w:lineRule="auto"/>
              <w:jc w:val="both"/>
              <w:rPr>
                <w:rFonts w:ascii="Calibri" w:hAnsi="Calibri" w:cs="Calibri"/>
                <w:color w:val="0070C0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color w:val="0070C0"/>
                <w:sz w:val="24"/>
                <w:szCs w:val="24"/>
              </w:rPr>
              <w:t>XXVI</w:t>
            </w:r>
            <w:r>
              <w:rPr>
                <w:rFonts w:ascii="Calibri" w:eastAsia="Aptos" w:hAnsi="Calibri" w:cs="Calibri"/>
                <w:color w:val="0070C0"/>
                <w:sz w:val="24"/>
                <w:szCs w:val="24"/>
              </w:rPr>
              <w:t>II</w:t>
            </w:r>
            <w:r w:rsidRPr="00FB4FAB">
              <w:rPr>
                <w:rFonts w:ascii="Calibri" w:eastAsia="Aptos" w:hAnsi="Calibri" w:cs="Calibri"/>
                <w:color w:val="0070C0"/>
                <w:sz w:val="24"/>
                <w:szCs w:val="24"/>
              </w:rPr>
              <w:t xml:space="preserve"> - </w:t>
            </w:r>
            <w:r w:rsidRPr="00FB4FAB">
              <w:rPr>
                <w:rFonts w:ascii="Calibri" w:hAnsi="Calibri" w:cs="Calibri"/>
                <w:color w:val="0070C0"/>
                <w:sz w:val="24"/>
                <w:szCs w:val="24"/>
              </w:rPr>
              <w:t>descrição das receitas diretas administrativas</w:t>
            </w:r>
            <w:r>
              <w:rPr>
                <w:rFonts w:ascii="Calibri" w:hAnsi="Calibri" w:cs="Calibri"/>
                <w:color w:val="0070C0"/>
                <w:sz w:val="24"/>
                <w:szCs w:val="24"/>
              </w:rPr>
              <w:t>;</w:t>
            </w:r>
          </w:p>
          <w:p w14:paraId="439D03E6" w14:textId="77777777" w:rsidR="005F133F" w:rsidRDefault="005F133F" w:rsidP="005F133F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6DE7530F" w14:textId="77777777" w:rsidR="005F133F" w:rsidRPr="00FB4FAB" w:rsidRDefault="005F133F" w:rsidP="005F133F">
            <w:pPr>
              <w:spacing w:line="240" w:lineRule="auto"/>
              <w:jc w:val="both"/>
              <w:rPr>
                <w:rFonts w:ascii="Calibri" w:hAnsi="Calibri" w:cs="Calibri"/>
                <w:color w:val="000000" w:themeColor="text1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Inclusão de inciso, </w:t>
            </w:r>
            <w:r w:rsidRPr="00FB4FAB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a fim </w:t>
            </w: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de que sejam informadas as despesas diretas administrativas previstas no art. 4º da Resolução CNPC nº 62/2024</w:t>
            </w:r>
            <w:r w:rsidRPr="00FB4FAB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.</w:t>
            </w:r>
          </w:p>
          <w:p w14:paraId="79AB5476" w14:textId="77777777" w:rsidR="005F133F" w:rsidRPr="00FB4FAB" w:rsidRDefault="005F133F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3CD41EC4" w14:textId="11DA96BD" w:rsidR="005F133F" w:rsidRDefault="00032D09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B47F5">
              <w:rPr>
                <w:rFonts w:ascii="Calibri" w:hAnsi="Calibri" w:cs="Calibri"/>
                <w:color w:val="00B050"/>
                <w:sz w:val="24"/>
                <w:szCs w:val="24"/>
              </w:rPr>
              <w:t>Idem art. 208-A</w:t>
            </w:r>
          </w:p>
        </w:tc>
      </w:tr>
      <w:tr w:rsidR="005F133F" w:rsidRPr="00FB4FAB" w14:paraId="09B3A50A" w14:textId="77777777" w:rsidTr="00EE3724">
        <w:trPr>
          <w:trHeight w:val="300"/>
        </w:trPr>
        <w:tc>
          <w:tcPr>
            <w:tcW w:w="3903" w:type="dxa"/>
          </w:tcPr>
          <w:p w14:paraId="7A08D7A2" w14:textId="77777777" w:rsidR="005F133F" w:rsidRDefault="005F133F" w:rsidP="005F133F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40456401" w14:textId="303F0574" w:rsidR="005F133F" w:rsidRDefault="005F133F" w:rsidP="005F133F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XX</w:t>
            </w:r>
            <w:r>
              <w:rPr>
                <w:rFonts w:ascii="Calibri" w:eastAsia="Aptos" w:hAnsi="Calibri" w:cs="Calibri"/>
                <w:sz w:val="24"/>
                <w:szCs w:val="24"/>
              </w:rPr>
              <w:t>IX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 - detalhamento dos saldos das contas que contenham a denominação "Outros", quando ultrapassarem, no total, um décimo do valor do respectivo grupo da referida conta;</w:t>
            </w:r>
          </w:p>
        </w:tc>
        <w:tc>
          <w:tcPr>
            <w:tcW w:w="4116" w:type="dxa"/>
          </w:tcPr>
          <w:p w14:paraId="411A4178" w14:textId="7CC10B1A" w:rsidR="005F133F" w:rsidRPr="00FB4FAB" w:rsidRDefault="005F133F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XII</w:t>
            </w:r>
            <w:r w:rsidRPr="00B33A3E">
              <w:rPr>
                <w:rFonts w:ascii="Calibri" w:eastAsia="Aptos" w:hAnsi="Calibri" w:cs="Calibri"/>
                <w:color w:val="3A7C22" w:themeColor="accent6" w:themeShade="BF"/>
                <w:sz w:val="24"/>
                <w:szCs w:val="24"/>
              </w:rPr>
              <w:t xml:space="preserve"> </w:t>
            </w:r>
            <w:r w:rsidRPr="007A11F1">
              <w:rPr>
                <w:rFonts w:ascii="Calibri" w:eastAsia="Aptos" w:hAnsi="Calibri" w:cs="Calibri"/>
                <w:color w:val="00B050"/>
                <w:sz w:val="24"/>
                <w:szCs w:val="24"/>
              </w:rPr>
              <w:t>do art. 208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 foi realocado para inciso XXVII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I </w:t>
            </w:r>
            <w:r w:rsidRPr="007A11F1">
              <w:rPr>
                <w:rFonts w:ascii="Calibri" w:eastAsia="Aptos" w:hAnsi="Calibri" w:cs="Calibri"/>
                <w:color w:val="00B050"/>
                <w:sz w:val="24"/>
                <w:szCs w:val="24"/>
              </w:rPr>
              <w:t>do art. 208-A</w:t>
            </w:r>
            <w:r>
              <w:rPr>
                <w:rFonts w:ascii="Calibri" w:eastAsia="Aptos" w:hAnsi="Calibri" w:cs="Calibri"/>
                <w:color w:val="3A7C22" w:themeColor="accent6" w:themeShade="BF"/>
                <w:sz w:val="24"/>
                <w:szCs w:val="24"/>
              </w:rPr>
              <w:t>.</w:t>
            </w:r>
          </w:p>
        </w:tc>
        <w:tc>
          <w:tcPr>
            <w:tcW w:w="3222" w:type="dxa"/>
          </w:tcPr>
          <w:p w14:paraId="274E80E5" w14:textId="09D589E9" w:rsidR="005F133F" w:rsidRDefault="00032D09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B47F5">
              <w:rPr>
                <w:rFonts w:ascii="Calibri" w:hAnsi="Calibri" w:cs="Calibri"/>
                <w:color w:val="00B050"/>
                <w:sz w:val="24"/>
                <w:szCs w:val="24"/>
              </w:rPr>
              <w:t>Idem art. 208-A</w:t>
            </w:r>
          </w:p>
        </w:tc>
      </w:tr>
      <w:tr w:rsidR="005F133F" w:rsidRPr="00FB4FAB" w14:paraId="71C642E5" w14:textId="77777777" w:rsidTr="00EE3724">
        <w:trPr>
          <w:trHeight w:val="300"/>
        </w:trPr>
        <w:tc>
          <w:tcPr>
            <w:tcW w:w="3903" w:type="dxa"/>
          </w:tcPr>
          <w:p w14:paraId="4BCF2DEC" w14:textId="77777777" w:rsidR="005F133F" w:rsidRDefault="005F133F" w:rsidP="005F133F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2161B5C2" w14:textId="77777777" w:rsidR="005F133F" w:rsidRDefault="005F133F" w:rsidP="005F133F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XX</w:t>
            </w:r>
            <w:r>
              <w:rPr>
                <w:rFonts w:ascii="Calibri" w:eastAsia="Aptos" w:hAnsi="Calibri" w:cs="Calibri"/>
                <w:sz w:val="24"/>
                <w:szCs w:val="24"/>
              </w:rPr>
              <w:t>X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 -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>ajustes de exercícios anteriores decorrentes de mudanças de práticas contábeis ou de retificações de erros de períodos anteriores, não atribuíveis a eventos subsequentes, com descrição da natureza e dos seus respectivos efeitos, conforme normas do Conselho Federal de Contabilidade (CFC);</w:t>
            </w:r>
          </w:p>
          <w:p w14:paraId="6621A6E6" w14:textId="77777777" w:rsidR="005F133F" w:rsidRDefault="005F133F" w:rsidP="005F133F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3C869F4E" w14:textId="77777777" w:rsidR="005F133F" w:rsidRPr="00FB4FAB" w:rsidRDefault="005F133F" w:rsidP="005F133F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VI</w:t>
            </w:r>
            <w:r w:rsidRPr="00B33A3E">
              <w:rPr>
                <w:rFonts w:ascii="Calibri" w:eastAsia="Aptos" w:hAnsi="Calibri" w:cs="Calibri"/>
                <w:color w:val="3A7C22" w:themeColor="accent6" w:themeShade="BF"/>
                <w:sz w:val="24"/>
                <w:szCs w:val="24"/>
              </w:rPr>
              <w:t xml:space="preserve"> </w:t>
            </w:r>
            <w:r w:rsidRPr="007A11F1">
              <w:rPr>
                <w:rFonts w:ascii="Calibri" w:eastAsia="Aptos" w:hAnsi="Calibri" w:cs="Calibri"/>
                <w:color w:val="00B050"/>
                <w:sz w:val="24"/>
                <w:szCs w:val="24"/>
              </w:rPr>
              <w:t xml:space="preserve">do art. 208 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>foi realocado para inciso XXI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X </w:t>
            </w:r>
            <w:r w:rsidRPr="007A11F1">
              <w:rPr>
                <w:rFonts w:ascii="Calibri" w:eastAsia="Aptos" w:hAnsi="Calibri" w:cs="Calibri"/>
                <w:color w:val="00B050"/>
                <w:sz w:val="24"/>
                <w:szCs w:val="24"/>
              </w:rPr>
              <w:t>do art. 208-A</w:t>
            </w:r>
            <w:r>
              <w:rPr>
                <w:rFonts w:ascii="Calibri" w:eastAsia="Aptos" w:hAnsi="Calibri" w:cs="Calibri"/>
                <w:color w:val="3A7C22" w:themeColor="accent6" w:themeShade="BF"/>
                <w:sz w:val="24"/>
                <w:szCs w:val="24"/>
              </w:rPr>
              <w:t>.</w:t>
            </w:r>
          </w:p>
          <w:p w14:paraId="340CC289" w14:textId="77777777" w:rsidR="005F133F" w:rsidRPr="00FB4FAB" w:rsidRDefault="005F133F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688FDAB5" w14:textId="60185A6D" w:rsidR="005F133F" w:rsidRDefault="00032D09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B47F5">
              <w:rPr>
                <w:rFonts w:ascii="Calibri" w:hAnsi="Calibri" w:cs="Calibri"/>
                <w:color w:val="00B050"/>
                <w:sz w:val="24"/>
                <w:szCs w:val="24"/>
              </w:rPr>
              <w:t>Idem art. 208-A</w:t>
            </w:r>
          </w:p>
        </w:tc>
      </w:tr>
      <w:tr w:rsidR="005F133F" w:rsidRPr="00FB4FAB" w14:paraId="452A5CAE" w14:textId="77777777" w:rsidTr="00EE3724">
        <w:trPr>
          <w:trHeight w:val="300"/>
        </w:trPr>
        <w:tc>
          <w:tcPr>
            <w:tcW w:w="3903" w:type="dxa"/>
          </w:tcPr>
          <w:p w14:paraId="7F84E216" w14:textId="77777777" w:rsidR="005F133F" w:rsidRDefault="005F133F" w:rsidP="005F133F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27E253D7" w14:textId="208714EB" w:rsidR="005F133F" w:rsidRDefault="005F133F" w:rsidP="005F133F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XXX</w:t>
            </w:r>
            <w:r>
              <w:rPr>
                <w:rFonts w:ascii="Calibri" w:eastAsia="Aptos" w:hAnsi="Calibri" w:cs="Calibri"/>
                <w:sz w:val="24"/>
                <w:szCs w:val="24"/>
              </w:rPr>
              <w:t>I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 - detalhamento dos ajustes e eliminações decorrentes do processo 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lastRenderedPageBreak/>
              <w:t>de consolidação das Demonstrações Contábeis;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 e</w:t>
            </w:r>
          </w:p>
        </w:tc>
        <w:tc>
          <w:tcPr>
            <w:tcW w:w="4116" w:type="dxa"/>
          </w:tcPr>
          <w:p w14:paraId="30B71DAC" w14:textId="793A5043" w:rsidR="005F133F" w:rsidRPr="00FB4FAB" w:rsidRDefault="005F133F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lastRenderedPageBreak/>
              <w:t xml:space="preserve">Devido a reorganização do ordenamento do conteúdo mínimo das 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lastRenderedPageBreak/>
              <w:t>notas explicativas, o inciso XIII</w:t>
            </w:r>
            <w:r w:rsidRPr="00B33A3E">
              <w:rPr>
                <w:rFonts w:ascii="Calibri" w:eastAsia="Aptos" w:hAnsi="Calibri" w:cs="Calibri"/>
                <w:color w:val="3A7C22" w:themeColor="accent6" w:themeShade="BF"/>
                <w:sz w:val="24"/>
                <w:szCs w:val="24"/>
              </w:rPr>
              <w:t xml:space="preserve"> </w:t>
            </w:r>
            <w:r w:rsidRPr="007A11F1">
              <w:rPr>
                <w:rFonts w:ascii="Calibri" w:eastAsia="Aptos" w:hAnsi="Calibri" w:cs="Calibri"/>
                <w:color w:val="00B050"/>
                <w:sz w:val="24"/>
                <w:szCs w:val="24"/>
              </w:rPr>
              <w:t>do art. 208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 foi realocado para inciso XXX</w:t>
            </w:r>
            <w:r w:rsidRPr="00B33A3E">
              <w:rPr>
                <w:rFonts w:ascii="Calibri" w:eastAsia="Aptos" w:hAnsi="Calibri" w:cs="Calibri"/>
                <w:color w:val="3A7C22" w:themeColor="accent6" w:themeShade="BF"/>
                <w:sz w:val="24"/>
                <w:szCs w:val="24"/>
              </w:rPr>
              <w:t xml:space="preserve"> </w:t>
            </w:r>
            <w:r w:rsidRPr="007A11F1">
              <w:rPr>
                <w:rFonts w:ascii="Calibri" w:eastAsia="Aptos" w:hAnsi="Calibri" w:cs="Calibri"/>
                <w:color w:val="00B050"/>
                <w:sz w:val="24"/>
                <w:szCs w:val="24"/>
              </w:rPr>
              <w:t>do art. 208-A</w:t>
            </w:r>
            <w:r>
              <w:rPr>
                <w:rFonts w:ascii="Calibri" w:eastAsia="Aptos" w:hAnsi="Calibri" w:cs="Calibri"/>
                <w:color w:val="3A7C22" w:themeColor="accent6" w:themeShade="BF"/>
                <w:sz w:val="24"/>
                <w:szCs w:val="24"/>
              </w:rPr>
              <w:t>.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3222" w:type="dxa"/>
          </w:tcPr>
          <w:p w14:paraId="7BFA1CA8" w14:textId="2151FCF0" w:rsidR="005F133F" w:rsidRDefault="00032D09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B47F5">
              <w:rPr>
                <w:rFonts w:ascii="Calibri" w:hAnsi="Calibri" w:cs="Calibri"/>
                <w:color w:val="00B050"/>
                <w:sz w:val="24"/>
                <w:szCs w:val="24"/>
              </w:rPr>
              <w:lastRenderedPageBreak/>
              <w:t>Idem art. 208-A</w:t>
            </w:r>
          </w:p>
        </w:tc>
      </w:tr>
      <w:tr w:rsidR="005F133F" w:rsidRPr="00FB4FAB" w14:paraId="6AE45E7C" w14:textId="77777777" w:rsidTr="00EE3724">
        <w:trPr>
          <w:trHeight w:val="300"/>
        </w:trPr>
        <w:tc>
          <w:tcPr>
            <w:tcW w:w="3903" w:type="dxa"/>
          </w:tcPr>
          <w:p w14:paraId="05325E99" w14:textId="4C65FADF" w:rsidR="005F133F" w:rsidRDefault="005F133F" w:rsidP="005F133F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7863CFD2" w14:textId="48AD057D" w:rsidR="005F133F" w:rsidRDefault="005F133F" w:rsidP="005F133F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XXX</w:t>
            </w:r>
            <w:r>
              <w:rPr>
                <w:rFonts w:ascii="Calibri" w:eastAsia="Aptos" w:hAnsi="Calibri" w:cs="Calibri"/>
                <w:sz w:val="24"/>
                <w:szCs w:val="24"/>
              </w:rPr>
              <w:t>II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 -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>eventos subsequentes à data de encerramento do exercício que tenham ou possam vir a ter efeitos relevantes sobre a situação financeira ou econômica dos planos de benefícios e do Plano de Gestão Administrativa</w:t>
            </w:r>
            <w:r>
              <w:rPr>
                <w:rFonts w:ascii="Calibri" w:eastAsia="Aptos" w:hAnsi="Calibri" w:cs="Calibri"/>
                <w:sz w:val="24"/>
                <w:szCs w:val="24"/>
              </w:rPr>
              <w:t>.</w:t>
            </w:r>
          </w:p>
        </w:tc>
        <w:tc>
          <w:tcPr>
            <w:tcW w:w="4116" w:type="dxa"/>
          </w:tcPr>
          <w:p w14:paraId="30B86846" w14:textId="77777777" w:rsidR="005F133F" w:rsidRPr="00FB4FAB" w:rsidRDefault="005F133F" w:rsidP="005F133F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XV</w:t>
            </w:r>
            <w:r w:rsidRPr="00B33A3E">
              <w:rPr>
                <w:rFonts w:ascii="Calibri" w:eastAsia="Aptos" w:hAnsi="Calibri" w:cs="Calibri"/>
                <w:color w:val="3A7C22" w:themeColor="accent6" w:themeShade="BF"/>
                <w:sz w:val="24"/>
                <w:szCs w:val="24"/>
              </w:rPr>
              <w:t xml:space="preserve"> </w:t>
            </w:r>
            <w:r w:rsidRPr="007A11F1">
              <w:rPr>
                <w:rFonts w:ascii="Calibri" w:eastAsia="Aptos" w:hAnsi="Calibri" w:cs="Calibri"/>
                <w:color w:val="00B050"/>
                <w:sz w:val="24"/>
                <w:szCs w:val="24"/>
              </w:rPr>
              <w:t>do art. 208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 foi realocado para inciso XXX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I </w:t>
            </w:r>
            <w:r w:rsidRPr="007A11F1">
              <w:rPr>
                <w:rFonts w:ascii="Calibri" w:eastAsia="Aptos" w:hAnsi="Calibri" w:cs="Calibri"/>
                <w:color w:val="00B050"/>
                <w:sz w:val="24"/>
                <w:szCs w:val="24"/>
              </w:rPr>
              <w:t>do art. 208-A</w:t>
            </w:r>
            <w:r>
              <w:rPr>
                <w:rFonts w:ascii="Calibri" w:eastAsia="Aptos" w:hAnsi="Calibri" w:cs="Calibri"/>
                <w:color w:val="3A7C22" w:themeColor="accent6" w:themeShade="BF"/>
                <w:sz w:val="24"/>
                <w:szCs w:val="24"/>
              </w:rPr>
              <w:t>.</w:t>
            </w:r>
          </w:p>
          <w:p w14:paraId="2828ACFE" w14:textId="77777777" w:rsidR="005F133F" w:rsidRPr="00FB4FAB" w:rsidRDefault="005F133F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3B814FEF" w14:textId="616147E5" w:rsidR="005F133F" w:rsidRDefault="00032D09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B47F5">
              <w:rPr>
                <w:rFonts w:ascii="Calibri" w:hAnsi="Calibri" w:cs="Calibri"/>
                <w:color w:val="00B050"/>
                <w:sz w:val="24"/>
                <w:szCs w:val="24"/>
              </w:rPr>
              <w:t>Idem art. 208-A</w:t>
            </w:r>
          </w:p>
        </w:tc>
      </w:tr>
      <w:tr w:rsidR="005F133F" w:rsidRPr="00FB4FAB" w14:paraId="7ACCB38F" w14:textId="77777777" w:rsidTr="00EE3724">
        <w:trPr>
          <w:trHeight w:val="300"/>
        </w:trPr>
        <w:tc>
          <w:tcPr>
            <w:tcW w:w="3903" w:type="dxa"/>
          </w:tcPr>
          <w:p w14:paraId="5609B302" w14:textId="77777777" w:rsidR="005F133F" w:rsidRDefault="005F133F" w:rsidP="005F133F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2D85136E" w14:textId="77777777" w:rsidR="005F133F" w:rsidRPr="0024314A" w:rsidRDefault="005F133F" w:rsidP="005F133F">
            <w:pPr>
              <w:spacing w:after="160" w:line="240" w:lineRule="auto"/>
              <w:jc w:val="both"/>
              <w:rPr>
                <w:rFonts w:ascii="Calibri" w:hAnsi="Calibri" w:cs="Calibri"/>
                <w:b/>
                <w:bCs/>
                <w:color w:val="0070C0"/>
                <w:sz w:val="24"/>
                <w:szCs w:val="24"/>
                <w:u w:val="single"/>
              </w:rPr>
            </w:pPr>
            <w:r w:rsidRPr="0024314A">
              <w:rPr>
                <w:rFonts w:ascii="Calibri" w:eastAsia="Aptos" w:hAnsi="Calibri" w:cs="Calibri"/>
                <w:color w:val="0070C0"/>
                <w:sz w:val="24"/>
                <w:szCs w:val="24"/>
              </w:rPr>
              <w:t xml:space="preserve">Parágrafo único.  As EFPC podem complementar suas Notas Explicativas com informações adicionais às mínimas referidas no </w:t>
            </w:r>
            <w:r w:rsidRPr="0024314A">
              <w:rPr>
                <w:rFonts w:ascii="Calibri" w:eastAsia="Aptos" w:hAnsi="Calibri" w:cs="Calibri"/>
                <w:i/>
                <w:iCs/>
                <w:color w:val="0070C0"/>
                <w:sz w:val="24"/>
                <w:szCs w:val="24"/>
              </w:rPr>
              <w:t>caput</w:t>
            </w:r>
            <w:r w:rsidRPr="0024314A">
              <w:rPr>
                <w:rFonts w:ascii="Calibri" w:eastAsia="Aptos" w:hAnsi="Calibri" w:cs="Calibri"/>
                <w:color w:val="0070C0"/>
                <w:sz w:val="24"/>
                <w:szCs w:val="24"/>
              </w:rPr>
              <w:t>, nos próprios itens de que trata a matéria ou ao final dos itens mínimos.</w:t>
            </w:r>
          </w:p>
          <w:p w14:paraId="4D252639" w14:textId="77777777" w:rsidR="005F133F" w:rsidRDefault="005F133F" w:rsidP="005F133F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6547402B" w14:textId="77777777" w:rsidR="005F133F" w:rsidRPr="00042407" w:rsidRDefault="005F133F" w:rsidP="005F133F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BB5AA7">
              <w:rPr>
                <w:rFonts w:ascii="Calibri" w:eastAsia="Aptos" w:hAnsi="Calibri" w:cs="Calibri"/>
                <w:sz w:val="24"/>
                <w:szCs w:val="24"/>
              </w:rPr>
              <w:t>Inclusão de parágrafo pois, embora o caput estabeleça um rol mínimo de informações obrigatórias, a realidade das operações das EFPC pode demandar a divulgação de dados adicionais para refletir adequadamente a posição patrimonial e financeira da entidade. Assim, a inclusão de parágrafo único tem como finalidade possibilitar que informações complementares sejam incluídas nos próprios itens pertinentes ou ao final das divulgações mínimas, preserva</w:t>
            </w:r>
            <w:r>
              <w:rPr>
                <w:rFonts w:ascii="Calibri" w:eastAsia="Aptos" w:hAnsi="Calibri" w:cs="Calibri"/>
                <w:sz w:val="24"/>
                <w:szCs w:val="24"/>
              </w:rPr>
              <w:t>ndo</w:t>
            </w:r>
            <w:r w:rsidRPr="00BB5AA7">
              <w:rPr>
                <w:rFonts w:ascii="Calibri" w:eastAsia="Aptos" w:hAnsi="Calibri" w:cs="Calibri"/>
                <w:sz w:val="24"/>
                <w:szCs w:val="24"/>
              </w:rPr>
              <w:t>-se a organização e a compreensibilidade das notas explicativas, ao mesmo tempo em que se garante flexibilidade para que cada EFPC evidencie peculiaridades relevantes à sua situação.</w:t>
            </w:r>
          </w:p>
          <w:p w14:paraId="25383206" w14:textId="77777777" w:rsidR="005F133F" w:rsidRPr="00FB4FAB" w:rsidRDefault="005F133F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77E3D76F" w14:textId="6C100BAF" w:rsidR="005F133F" w:rsidRDefault="00032D09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B47F5">
              <w:rPr>
                <w:rFonts w:ascii="Calibri" w:hAnsi="Calibri" w:cs="Calibri"/>
                <w:color w:val="00B050"/>
                <w:sz w:val="24"/>
                <w:szCs w:val="24"/>
              </w:rPr>
              <w:lastRenderedPageBreak/>
              <w:t>Idem art. 208-A</w:t>
            </w:r>
          </w:p>
        </w:tc>
      </w:tr>
      <w:tr w:rsidR="005F133F" w:rsidRPr="00FB4FAB" w14:paraId="012B7749" w14:textId="072BE720" w:rsidTr="00EE3724">
        <w:trPr>
          <w:trHeight w:val="300"/>
        </w:trPr>
        <w:tc>
          <w:tcPr>
            <w:tcW w:w="3903" w:type="dxa"/>
          </w:tcPr>
          <w:p w14:paraId="365DD0D0" w14:textId="510EEC43" w:rsidR="005F133F" w:rsidRDefault="005F133F" w:rsidP="005F133F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...</w:t>
            </w:r>
          </w:p>
        </w:tc>
        <w:tc>
          <w:tcPr>
            <w:tcW w:w="3886" w:type="dxa"/>
          </w:tcPr>
          <w:p w14:paraId="48207D0D" w14:textId="064A198D" w:rsidR="005F133F" w:rsidRDefault="005F133F" w:rsidP="005F133F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>
              <w:rPr>
                <w:rFonts w:ascii="Calibri" w:eastAsia="Aptos" w:hAnsi="Calibri" w:cs="Calibri"/>
                <w:sz w:val="24"/>
                <w:szCs w:val="24"/>
              </w:rPr>
              <w:t>...</w:t>
            </w:r>
          </w:p>
        </w:tc>
        <w:tc>
          <w:tcPr>
            <w:tcW w:w="4116" w:type="dxa"/>
          </w:tcPr>
          <w:p w14:paraId="216A2C1F" w14:textId="2BE30E73" w:rsidR="005F133F" w:rsidRPr="00FB4FAB" w:rsidRDefault="005F133F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3A4E6B60" w14:textId="77777777" w:rsidR="005F133F" w:rsidRDefault="005F133F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5F133F" w:rsidRPr="00FB4FAB" w14:paraId="1FCEE532" w14:textId="77777777" w:rsidTr="00EE3724">
        <w:trPr>
          <w:trHeight w:val="300"/>
        </w:trPr>
        <w:tc>
          <w:tcPr>
            <w:tcW w:w="3903" w:type="dxa"/>
          </w:tcPr>
          <w:p w14:paraId="4BE7CE20" w14:textId="77777777" w:rsidR="005F133F" w:rsidRPr="00400447" w:rsidRDefault="005F133F" w:rsidP="005F133F">
            <w:pPr>
              <w:tabs>
                <w:tab w:val="left" w:pos="0"/>
              </w:tabs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00447">
              <w:rPr>
                <w:rFonts w:ascii="Calibri" w:hAnsi="Calibri" w:cs="Calibri"/>
                <w:sz w:val="24"/>
                <w:szCs w:val="24"/>
              </w:rPr>
              <w:t>CAPÍTULO XII</w:t>
            </w:r>
          </w:p>
          <w:p w14:paraId="0C3AE009" w14:textId="6BDCC861" w:rsidR="005F133F" w:rsidRDefault="005F133F" w:rsidP="005F133F">
            <w:pPr>
              <w:tabs>
                <w:tab w:val="left" w:pos="0"/>
              </w:tabs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00447">
              <w:rPr>
                <w:rFonts w:ascii="Calibri" w:hAnsi="Calibri" w:cs="Calibri"/>
                <w:sz w:val="24"/>
                <w:szCs w:val="24"/>
              </w:rPr>
              <w:t>DOS DADOS A SEREM ENVIADOS À PREVIC</w:t>
            </w:r>
          </w:p>
        </w:tc>
        <w:tc>
          <w:tcPr>
            <w:tcW w:w="3886" w:type="dxa"/>
          </w:tcPr>
          <w:p w14:paraId="5C4B65CB" w14:textId="77777777" w:rsidR="005F133F" w:rsidRPr="00400447" w:rsidRDefault="005F133F" w:rsidP="005F133F">
            <w:pPr>
              <w:spacing w:line="240" w:lineRule="auto"/>
              <w:jc w:val="center"/>
              <w:rPr>
                <w:rFonts w:ascii="Calibri" w:eastAsia="Aptos" w:hAnsi="Calibri" w:cs="Calibri"/>
                <w:sz w:val="24"/>
                <w:szCs w:val="24"/>
              </w:rPr>
            </w:pPr>
            <w:r w:rsidRPr="00400447">
              <w:rPr>
                <w:rFonts w:ascii="Calibri" w:eastAsia="Aptos" w:hAnsi="Calibri" w:cs="Calibri"/>
                <w:sz w:val="24"/>
                <w:szCs w:val="24"/>
              </w:rPr>
              <w:t>CAPÍTULO XII</w:t>
            </w:r>
          </w:p>
          <w:p w14:paraId="49B17942" w14:textId="2D90D586" w:rsidR="005F133F" w:rsidRPr="00461BB9" w:rsidRDefault="005F133F" w:rsidP="005F133F">
            <w:pPr>
              <w:spacing w:line="240" w:lineRule="auto"/>
              <w:jc w:val="center"/>
              <w:rPr>
                <w:rFonts w:ascii="Calibri" w:eastAsia="Aptos" w:hAnsi="Calibri" w:cs="Calibri"/>
                <w:color w:val="0070C0"/>
                <w:sz w:val="24"/>
                <w:szCs w:val="24"/>
              </w:rPr>
            </w:pPr>
            <w:r w:rsidRPr="00400447">
              <w:rPr>
                <w:rFonts w:ascii="Calibri" w:eastAsia="Aptos" w:hAnsi="Calibri" w:cs="Calibri"/>
                <w:sz w:val="24"/>
                <w:szCs w:val="24"/>
              </w:rPr>
              <w:t>DOS DADOS A SEREM ENVIADOS À PREVIC</w:t>
            </w:r>
          </w:p>
        </w:tc>
        <w:tc>
          <w:tcPr>
            <w:tcW w:w="4116" w:type="dxa"/>
          </w:tcPr>
          <w:p w14:paraId="3885B776" w14:textId="77777777" w:rsidR="005F133F" w:rsidRDefault="005F133F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7CDC0593" w14:textId="77777777" w:rsidR="005F133F" w:rsidRDefault="005F133F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5F133F" w:rsidRPr="00FB4FAB" w14:paraId="6D4115E5" w14:textId="77777777" w:rsidTr="00EE3724">
        <w:trPr>
          <w:trHeight w:val="300"/>
        </w:trPr>
        <w:tc>
          <w:tcPr>
            <w:tcW w:w="3903" w:type="dxa"/>
          </w:tcPr>
          <w:p w14:paraId="38E718D8" w14:textId="77777777" w:rsidR="005F133F" w:rsidRPr="00400447" w:rsidRDefault="005F133F" w:rsidP="005F133F">
            <w:pPr>
              <w:tabs>
                <w:tab w:val="left" w:pos="0"/>
              </w:tabs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00447">
              <w:rPr>
                <w:rFonts w:ascii="Calibri" w:hAnsi="Calibri" w:cs="Calibri"/>
                <w:b/>
                <w:bCs/>
                <w:sz w:val="24"/>
                <w:szCs w:val="24"/>
              </w:rPr>
              <w:t>Seção II</w:t>
            </w:r>
          </w:p>
          <w:p w14:paraId="55031027" w14:textId="7249F299" w:rsidR="005F133F" w:rsidRDefault="005F133F" w:rsidP="005F133F">
            <w:pPr>
              <w:tabs>
                <w:tab w:val="left" w:pos="0"/>
              </w:tabs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00447">
              <w:rPr>
                <w:rFonts w:ascii="Calibri" w:hAnsi="Calibri" w:cs="Calibri"/>
                <w:b/>
                <w:bCs/>
                <w:sz w:val="24"/>
                <w:szCs w:val="24"/>
              </w:rPr>
              <w:t>Informações Contábeis</w:t>
            </w:r>
          </w:p>
        </w:tc>
        <w:tc>
          <w:tcPr>
            <w:tcW w:w="3886" w:type="dxa"/>
          </w:tcPr>
          <w:p w14:paraId="2FE47377" w14:textId="77777777" w:rsidR="005F133F" w:rsidRPr="00400447" w:rsidRDefault="005F133F" w:rsidP="005F133F">
            <w:pPr>
              <w:tabs>
                <w:tab w:val="left" w:pos="0"/>
              </w:tabs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00447">
              <w:rPr>
                <w:rFonts w:ascii="Calibri" w:hAnsi="Calibri" w:cs="Calibri"/>
                <w:b/>
                <w:bCs/>
                <w:sz w:val="24"/>
                <w:szCs w:val="24"/>
              </w:rPr>
              <w:t>Seção II</w:t>
            </w:r>
          </w:p>
          <w:p w14:paraId="718F7C3C" w14:textId="6A2E75EB" w:rsidR="005F133F" w:rsidRPr="00461BB9" w:rsidRDefault="005F133F" w:rsidP="005F133F">
            <w:pPr>
              <w:spacing w:line="240" w:lineRule="auto"/>
              <w:jc w:val="center"/>
              <w:rPr>
                <w:rFonts w:ascii="Calibri" w:eastAsia="Aptos" w:hAnsi="Calibri" w:cs="Calibri"/>
                <w:color w:val="0070C0"/>
                <w:sz w:val="24"/>
                <w:szCs w:val="24"/>
              </w:rPr>
            </w:pPr>
            <w:r w:rsidRPr="00400447">
              <w:rPr>
                <w:rFonts w:ascii="Calibri" w:hAnsi="Calibri" w:cs="Calibri"/>
                <w:b/>
                <w:bCs/>
                <w:sz w:val="24"/>
                <w:szCs w:val="24"/>
              </w:rPr>
              <w:t>Informações Contábeis</w:t>
            </w:r>
          </w:p>
        </w:tc>
        <w:tc>
          <w:tcPr>
            <w:tcW w:w="4116" w:type="dxa"/>
          </w:tcPr>
          <w:p w14:paraId="289E025C" w14:textId="77777777" w:rsidR="005F133F" w:rsidRDefault="005F133F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50CD40F0" w14:textId="77777777" w:rsidR="005F133F" w:rsidRDefault="005F133F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87713F" w:rsidRPr="00FB4FAB" w14:paraId="762A4AEB" w14:textId="77777777" w:rsidTr="00EE3724">
        <w:trPr>
          <w:trHeight w:val="300"/>
        </w:trPr>
        <w:tc>
          <w:tcPr>
            <w:tcW w:w="3903" w:type="dxa"/>
          </w:tcPr>
          <w:p w14:paraId="7E0DF004" w14:textId="793BA555" w:rsidR="0087713F" w:rsidRPr="00992357" w:rsidRDefault="00B81932" w:rsidP="00EA6055">
            <w:pPr>
              <w:tabs>
                <w:tab w:val="left" w:pos="0"/>
              </w:tabs>
              <w:rPr>
                <w:rFonts w:ascii="Calibri" w:hAnsi="Calibri" w:cs="Calibri"/>
                <w:sz w:val="24"/>
                <w:szCs w:val="24"/>
              </w:rPr>
            </w:pPr>
            <w:r w:rsidRPr="00B81932">
              <w:rPr>
                <w:rFonts w:ascii="Calibri" w:hAnsi="Calibri" w:cs="Calibri"/>
                <w:sz w:val="24"/>
                <w:szCs w:val="24"/>
              </w:rPr>
              <w:t xml:space="preserve">Art. 362. </w:t>
            </w:r>
            <w:r>
              <w:rPr>
                <w:rFonts w:ascii="Calibri" w:hAnsi="Calibri" w:cs="Calibri"/>
                <w:sz w:val="24"/>
                <w:szCs w:val="24"/>
              </w:rPr>
              <w:t>...</w:t>
            </w:r>
          </w:p>
        </w:tc>
        <w:tc>
          <w:tcPr>
            <w:tcW w:w="3886" w:type="dxa"/>
          </w:tcPr>
          <w:p w14:paraId="77BDC36F" w14:textId="65240A82" w:rsidR="0087713F" w:rsidRPr="00992357" w:rsidRDefault="00880C13" w:rsidP="00EA6055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B81932">
              <w:rPr>
                <w:rFonts w:ascii="Calibri" w:hAnsi="Calibri" w:cs="Calibri"/>
                <w:sz w:val="24"/>
                <w:szCs w:val="24"/>
              </w:rPr>
              <w:t xml:space="preserve">Art. 362. </w:t>
            </w:r>
            <w:r>
              <w:rPr>
                <w:rFonts w:ascii="Calibri" w:hAnsi="Calibri" w:cs="Calibri"/>
                <w:sz w:val="24"/>
                <w:szCs w:val="24"/>
              </w:rPr>
              <w:t>...</w:t>
            </w:r>
          </w:p>
        </w:tc>
        <w:tc>
          <w:tcPr>
            <w:tcW w:w="4116" w:type="dxa"/>
          </w:tcPr>
          <w:p w14:paraId="45FF6E70" w14:textId="77777777" w:rsidR="0087713F" w:rsidRDefault="0087713F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733C94ED" w14:textId="77777777" w:rsidR="0087713F" w:rsidRDefault="0087713F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87713F" w:rsidRPr="00FB4FAB" w14:paraId="777894F4" w14:textId="77777777" w:rsidTr="00EE3724">
        <w:trPr>
          <w:trHeight w:val="300"/>
        </w:trPr>
        <w:tc>
          <w:tcPr>
            <w:tcW w:w="3903" w:type="dxa"/>
          </w:tcPr>
          <w:p w14:paraId="4F891F44" w14:textId="3D897ABF" w:rsidR="0087713F" w:rsidRPr="00992357" w:rsidRDefault="00F35AD2" w:rsidP="00EA6055">
            <w:pPr>
              <w:tabs>
                <w:tab w:val="left" w:pos="0"/>
              </w:tabs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...</w:t>
            </w:r>
          </w:p>
        </w:tc>
        <w:tc>
          <w:tcPr>
            <w:tcW w:w="3886" w:type="dxa"/>
          </w:tcPr>
          <w:p w14:paraId="5A816452" w14:textId="03558F2D" w:rsidR="0087713F" w:rsidRPr="00992357" w:rsidRDefault="00880C13" w:rsidP="00EA6055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...</w:t>
            </w:r>
          </w:p>
        </w:tc>
        <w:tc>
          <w:tcPr>
            <w:tcW w:w="4116" w:type="dxa"/>
          </w:tcPr>
          <w:p w14:paraId="30F277DB" w14:textId="77777777" w:rsidR="0087713F" w:rsidRDefault="0087713F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60ECCCC5" w14:textId="77777777" w:rsidR="0087713F" w:rsidRDefault="0087713F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87713F" w:rsidRPr="00FB4FAB" w14:paraId="71ECADA4" w14:textId="77777777" w:rsidTr="00EE3724">
        <w:trPr>
          <w:trHeight w:val="300"/>
        </w:trPr>
        <w:tc>
          <w:tcPr>
            <w:tcW w:w="3903" w:type="dxa"/>
          </w:tcPr>
          <w:p w14:paraId="13A268A8" w14:textId="5FB1B976" w:rsidR="0087713F" w:rsidRPr="00992357" w:rsidRDefault="00F35AD2" w:rsidP="000A30E9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35AD2">
              <w:rPr>
                <w:rFonts w:ascii="Calibri" w:hAnsi="Calibri" w:cs="Calibri"/>
                <w:sz w:val="24"/>
                <w:szCs w:val="24"/>
              </w:rPr>
              <w:t xml:space="preserve">X - manifestação do conselho deliberativo relativa à aprovação das demonstrações contábeis; </w:t>
            </w:r>
            <w:r w:rsidRPr="00CF2772">
              <w:rPr>
                <w:rFonts w:ascii="Calibri" w:hAnsi="Calibri" w:cs="Calibri"/>
                <w:strike/>
                <w:color w:val="EE0000"/>
                <w:sz w:val="24"/>
                <w:szCs w:val="24"/>
              </w:rPr>
              <w:t>e</w:t>
            </w:r>
          </w:p>
        </w:tc>
        <w:tc>
          <w:tcPr>
            <w:tcW w:w="3886" w:type="dxa"/>
          </w:tcPr>
          <w:p w14:paraId="5895AB47" w14:textId="12D586F7" w:rsidR="0087713F" w:rsidRPr="00992357" w:rsidRDefault="00880C13" w:rsidP="000A30E9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35AD2">
              <w:rPr>
                <w:rFonts w:ascii="Calibri" w:hAnsi="Calibri" w:cs="Calibri"/>
                <w:sz w:val="24"/>
                <w:szCs w:val="24"/>
              </w:rPr>
              <w:t>X - manifestação do conselho deliberativo relativa à aprovação das demonstrações contábeis;</w:t>
            </w:r>
          </w:p>
        </w:tc>
        <w:tc>
          <w:tcPr>
            <w:tcW w:w="4116" w:type="dxa"/>
          </w:tcPr>
          <w:p w14:paraId="00D8B01E" w14:textId="31B98E68" w:rsidR="0087713F" w:rsidRDefault="007E0612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>Exclusão da conjunção "e" ao final do inciso.</w:t>
            </w:r>
          </w:p>
        </w:tc>
        <w:tc>
          <w:tcPr>
            <w:tcW w:w="3222" w:type="dxa"/>
          </w:tcPr>
          <w:p w14:paraId="0EF19EB1" w14:textId="68BF97DA" w:rsidR="00C26931" w:rsidRDefault="00C26931" w:rsidP="007E0612">
            <w:pPr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Inciso III do art.</w:t>
            </w:r>
            <w:r w:rsidR="00CF3C55">
              <w:rPr>
                <w:rFonts w:ascii="Calibri" w:hAnsi="Calibri" w:cs="Calibri"/>
                <w:color w:val="000000"/>
              </w:rPr>
              <w:t xml:space="preserve"> 4º do Decreto nº 10.411/2020.</w:t>
            </w:r>
          </w:p>
          <w:p w14:paraId="37778107" w14:textId="77777777" w:rsidR="00C26931" w:rsidRDefault="00C26931" w:rsidP="007E0612">
            <w:pPr>
              <w:jc w:val="both"/>
              <w:rPr>
                <w:rFonts w:ascii="Calibri" w:hAnsi="Calibri" w:cs="Calibri"/>
                <w:color w:val="000000"/>
              </w:rPr>
            </w:pPr>
          </w:p>
          <w:p w14:paraId="13E922E7" w14:textId="57C3D5E5" w:rsidR="0087713F" w:rsidRDefault="007E0612" w:rsidP="007E0612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>A dispensa de AIR está baseada em ato normativo de baixo impacto, pois se trata de exclusão da conjunção "e".</w:t>
            </w:r>
          </w:p>
        </w:tc>
      </w:tr>
      <w:tr w:rsidR="0087713F" w:rsidRPr="00FB4FAB" w14:paraId="0CC01C8F" w14:textId="77777777" w:rsidTr="00EE3724">
        <w:trPr>
          <w:trHeight w:val="300"/>
        </w:trPr>
        <w:tc>
          <w:tcPr>
            <w:tcW w:w="3903" w:type="dxa"/>
          </w:tcPr>
          <w:p w14:paraId="0CD8ACC5" w14:textId="477F83B7" w:rsidR="0087713F" w:rsidRPr="00992357" w:rsidRDefault="009F7BBF" w:rsidP="00EA6055">
            <w:pPr>
              <w:tabs>
                <w:tab w:val="left" w:pos="0"/>
              </w:tabs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...</w:t>
            </w:r>
          </w:p>
        </w:tc>
        <w:tc>
          <w:tcPr>
            <w:tcW w:w="3886" w:type="dxa"/>
          </w:tcPr>
          <w:p w14:paraId="6F68B50A" w14:textId="5367B6F1" w:rsidR="0087713F" w:rsidRPr="00992357" w:rsidRDefault="001665AF" w:rsidP="00EA6055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...</w:t>
            </w:r>
          </w:p>
        </w:tc>
        <w:tc>
          <w:tcPr>
            <w:tcW w:w="4116" w:type="dxa"/>
          </w:tcPr>
          <w:p w14:paraId="1EF638AC" w14:textId="77777777" w:rsidR="0087713F" w:rsidRDefault="0087713F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66E8D1A9" w14:textId="77777777" w:rsidR="0087713F" w:rsidRDefault="0087713F" w:rsidP="005F133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3C468F" w:rsidRPr="00FB4FAB" w14:paraId="5C5C7FD4" w14:textId="77777777" w:rsidTr="00EE3724">
        <w:trPr>
          <w:trHeight w:val="300"/>
        </w:trPr>
        <w:tc>
          <w:tcPr>
            <w:tcW w:w="3903" w:type="dxa"/>
          </w:tcPr>
          <w:p w14:paraId="41CC0AAB" w14:textId="13135027" w:rsidR="003C468F" w:rsidRPr="00F35AD2" w:rsidRDefault="003C468F" w:rsidP="003C468F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5132C">
              <w:rPr>
                <w:rFonts w:ascii="Calibri" w:hAnsi="Calibri" w:cs="Calibri"/>
                <w:sz w:val="24"/>
                <w:szCs w:val="24"/>
              </w:rPr>
              <w:t>XII - informações extracontábeis conforme a Portaria da Diretoria de Normas mencionada no art. 178.</w:t>
            </w:r>
          </w:p>
        </w:tc>
        <w:tc>
          <w:tcPr>
            <w:tcW w:w="3886" w:type="dxa"/>
          </w:tcPr>
          <w:p w14:paraId="4BC20FD3" w14:textId="3ABD152C" w:rsidR="003C468F" w:rsidRPr="00992357" w:rsidRDefault="003C468F" w:rsidP="003C468F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5132C">
              <w:rPr>
                <w:rFonts w:ascii="Calibri" w:hAnsi="Calibri" w:cs="Calibri"/>
                <w:sz w:val="24"/>
                <w:szCs w:val="24"/>
              </w:rPr>
              <w:t>XII - informações extracontábeis conforme a Portaria da Diretoria de Normas mencionada no art. 178</w:t>
            </w:r>
            <w:r w:rsidRPr="001665AF">
              <w:rPr>
                <w:rFonts w:ascii="Calibri" w:hAnsi="Calibri" w:cs="Calibri"/>
                <w:color w:val="0070C0"/>
                <w:sz w:val="24"/>
                <w:szCs w:val="24"/>
              </w:rPr>
              <w:t>; e</w:t>
            </w:r>
          </w:p>
        </w:tc>
        <w:tc>
          <w:tcPr>
            <w:tcW w:w="4116" w:type="dxa"/>
          </w:tcPr>
          <w:p w14:paraId="6EE5DE74" w14:textId="1F4884CB" w:rsidR="003C468F" w:rsidRDefault="003C468F" w:rsidP="003C468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>Inclusão da conjunção "e" ao final do inciso.</w:t>
            </w:r>
          </w:p>
        </w:tc>
        <w:tc>
          <w:tcPr>
            <w:tcW w:w="3222" w:type="dxa"/>
          </w:tcPr>
          <w:p w14:paraId="151AE513" w14:textId="77777777" w:rsidR="00652D71" w:rsidRDefault="00652D71" w:rsidP="00652D71">
            <w:pPr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Inciso III do art. 4º do Decreto nº 10.411/2020.</w:t>
            </w:r>
          </w:p>
          <w:p w14:paraId="43D2D714" w14:textId="77777777" w:rsidR="00652D71" w:rsidRDefault="00652D71" w:rsidP="00652D71">
            <w:pPr>
              <w:jc w:val="both"/>
              <w:rPr>
                <w:rFonts w:ascii="Calibri" w:hAnsi="Calibri" w:cs="Calibri"/>
                <w:color w:val="000000"/>
              </w:rPr>
            </w:pPr>
          </w:p>
          <w:p w14:paraId="0393E8F4" w14:textId="4728D947" w:rsidR="003C468F" w:rsidRDefault="00652D71" w:rsidP="00652D71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>A dispensa de AIR está baseada em ato normativo de baixo impacto, pois se trata de inclusão da conjunção "e".</w:t>
            </w:r>
          </w:p>
        </w:tc>
      </w:tr>
      <w:tr w:rsidR="003C468F" w:rsidRPr="00FB4FAB" w14:paraId="163FF5EF" w14:textId="77777777" w:rsidTr="00EE3724">
        <w:trPr>
          <w:trHeight w:val="300"/>
        </w:trPr>
        <w:tc>
          <w:tcPr>
            <w:tcW w:w="3903" w:type="dxa"/>
          </w:tcPr>
          <w:p w14:paraId="7A365291" w14:textId="77777777" w:rsidR="003C468F" w:rsidRPr="00A5132C" w:rsidRDefault="003C468F" w:rsidP="003C468F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110A888E" w14:textId="45AE99C9" w:rsidR="003C468F" w:rsidRPr="00A5132C" w:rsidRDefault="003C468F" w:rsidP="003C468F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color w:val="0070C0"/>
              </w:rPr>
              <w:t xml:space="preserve">XIII - parecer do atuário, relativo a cada plano de benefícios </w:t>
            </w:r>
            <w:r w:rsidRPr="00363881">
              <w:rPr>
                <w:rFonts w:ascii="Calibri" w:hAnsi="Calibri" w:cs="Calibri"/>
                <w:color w:val="0070C0"/>
              </w:rPr>
              <w:t xml:space="preserve">previdencial, </w:t>
            </w:r>
            <w:r w:rsidRPr="00CD5048">
              <w:rPr>
                <w:rFonts w:ascii="Calibri" w:hAnsi="Calibri" w:cs="Calibri"/>
                <w:color w:val="00B050"/>
              </w:rPr>
              <w:t xml:space="preserve">inclusive para os planos de benefícios constituídos na modalidade de </w:t>
            </w:r>
            <w:r w:rsidRPr="00CD5048">
              <w:rPr>
                <w:rFonts w:ascii="Calibri" w:hAnsi="Calibri" w:cs="Calibri"/>
                <w:color w:val="00B050"/>
              </w:rPr>
              <w:lastRenderedPageBreak/>
              <w:t>contribuição definida cujos saldos contábeis sejam nulos nas contas Benefício Definido do grupo de contas das provisões matemáticas</w:t>
            </w:r>
            <w:r w:rsidRPr="00363881">
              <w:rPr>
                <w:rFonts w:ascii="Calibri" w:hAnsi="Calibri" w:cs="Calibri"/>
                <w:color w:val="0070C0"/>
              </w:rPr>
              <w:t>.</w:t>
            </w:r>
          </w:p>
        </w:tc>
        <w:tc>
          <w:tcPr>
            <w:tcW w:w="4116" w:type="dxa"/>
          </w:tcPr>
          <w:p w14:paraId="5C255712" w14:textId="782FFE30" w:rsidR="003C468F" w:rsidRDefault="003C468F" w:rsidP="003C468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 xml:space="preserve">Inclusão de inciso para reproduzir o disposto no art. 17 da Resolução CNPC nº 43, de 2021 e deixar claro na norma a sua exigência juntamente com as </w:t>
            </w:r>
            <w:r>
              <w:rPr>
                <w:rFonts w:ascii="Calibri" w:hAnsi="Calibri" w:cs="Calibri"/>
                <w:color w:val="000000"/>
              </w:rPr>
              <w:lastRenderedPageBreak/>
              <w:t>demonstrações contábeis, visto que o parecer do atuário é um dos itens das Demonstrações Atuariais.</w:t>
            </w:r>
          </w:p>
        </w:tc>
        <w:tc>
          <w:tcPr>
            <w:tcW w:w="3222" w:type="dxa"/>
          </w:tcPr>
          <w:p w14:paraId="1E73A606" w14:textId="1A2D526D" w:rsidR="00CF4956" w:rsidRDefault="00CF4956" w:rsidP="00CF4956">
            <w:pPr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Inciso II do art. 4º do Decreto nº 10.411/2020.</w:t>
            </w:r>
          </w:p>
          <w:p w14:paraId="14517547" w14:textId="77777777" w:rsidR="003C468F" w:rsidRDefault="003C468F" w:rsidP="003C468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  <w:p w14:paraId="1F8A432E" w14:textId="140CD6C6" w:rsidR="00CF4956" w:rsidRDefault="00CF4956" w:rsidP="003C468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A dispensa de AIR está baseada no inciso II por se tratar de ato normativo destinado a disciplinar direitos ou obrigações definidos em norma hierarquicamente superior, no caso a Resolução CNPC nº 43, de 2021.</w:t>
            </w:r>
          </w:p>
        </w:tc>
      </w:tr>
      <w:tr w:rsidR="003C468F" w:rsidRPr="00FB4FAB" w14:paraId="4CA183BC" w14:textId="77777777" w:rsidTr="00EE3724">
        <w:trPr>
          <w:trHeight w:val="300"/>
        </w:trPr>
        <w:tc>
          <w:tcPr>
            <w:tcW w:w="3903" w:type="dxa"/>
          </w:tcPr>
          <w:p w14:paraId="2EB7D192" w14:textId="12B80D0F" w:rsidR="003C468F" w:rsidRDefault="003C468F" w:rsidP="003C468F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§ 1º Os documentos elencados nos incisos II a X e na alínea “a” do inciso XI do caput devem ser elaborados e aprovados até 31 de março do exercício social subsequente ao de referência.</w:t>
            </w:r>
          </w:p>
        </w:tc>
        <w:tc>
          <w:tcPr>
            <w:tcW w:w="3886" w:type="dxa"/>
          </w:tcPr>
          <w:p w14:paraId="5CEF9957" w14:textId="39D9A495" w:rsidR="003C468F" w:rsidRPr="00461BB9" w:rsidRDefault="003C468F" w:rsidP="003C468F">
            <w:pPr>
              <w:spacing w:line="240" w:lineRule="auto"/>
              <w:jc w:val="both"/>
              <w:rPr>
                <w:rFonts w:ascii="Calibri" w:eastAsia="Aptos" w:hAnsi="Calibri" w:cs="Calibri"/>
                <w:color w:val="0070C0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 xml:space="preserve">§ 1º Os documentos elencados nos incisos II a X e </w:t>
            </w:r>
            <w:r w:rsidRPr="00363881">
              <w:rPr>
                <w:rFonts w:ascii="Calibri" w:hAnsi="Calibri" w:cs="Calibri"/>
                <w:color w:val="0070C0"/>
              </w:rPr>
              <w:t>XIII</w:t>
            </w:r>
            <w:r>
              <w:rPr>
                <w:rFonts w:ascii="Calibri" w:hAnsi="Calibri" w:cs="Calibri"/>
                <w:color w:val="000000"/>
              </w:rPr>
              <w:t xml:space="preserve"> e na alínea “a” do inciso XI do caput devem ser elaborados e aprovados até 31 de março do exercício social subsequente ao de referência.</w:t>
            </w:r>
          </w:p>
        </w:tc>
        <w:tc>
          <w:tcPr>
            <w:tcW w:w="4116" w:type="dxa"/>
          </w:tcPr>
          <w:p w14:paraId="6EDA8D7F" w14:textId="6D8BC171" w:rsidR="003C468F" w:rsidRDefault="003C468F" w:rsidP="003C468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>Alteração do § 1º para adequar e incluir o novo inciso XIII no texto do parágrafo.</w:t>
            </w:r>
          </w:p>
        </w:tc>
        <w:tc>
          <w:tcPr>
            <w:tcW w:w="3222" w:type="dxa"/>
          </w:tcPr>
          <w:p w14:paraId="5E21E925" w14:textId="77777777" w:rsidR="00614C3D" w:rsidRDefault="00614C3D" w:rsidP="00614C3D">
            <w:pPr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Inciso III do art. 4º do Decreto nº 10.411/2020.</w:t>
            </w:r>
          </w:p>
          <w:p w14:paraId="4CE5AC96" w14:textId="77777777" w:rsidR="00614C3D" w:rsidRDefault="00614C3D" w:rsidP="00614C3D">
            <w:pPr>
              <w:jc w:val="both"/>
              <w:rPr>
                <w:rFonts w:ascii="Calibri" w:hAnsi="Calibri" w:cs="Calibri"/>
                <w:color w:val="000000"/>
              </w:rPr>
            </w:pPr>
          </w:p>
          <w:p w14:paraId="51733ABF" w14:textId="7BDE7280" w:rsidR="003C468F" w:rsidRDefault="003C468F" w:rsidP="003C468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>A dispensa de AIR está baseada em ato normativo de baixo impacto, pois trata de adequação de texto, devido a necessidade de inclusão de novo inciso, e consequentemente atualização do</w:t>
            </w:r>
            <w:r w:rsidR="005279D9">
              <w:rPr>
                <w:rFonts w:ascii="Calibri" w:hAnsi="Calibri" w:cs="Calibri"/>
                <w:color w:val="000000"/>
              </w:rPr>
              <w:t xml:space="preserve"> inciso</w:t>
            </w:r>
            <w:r>
              <w:rPr>
                <w:rFonts w:ascii="Calibri" w:hAnsi="Calibri" w:cs="Calibri"/>
                <w:color w:val="000000"/>
              </w:rPr>
              <w:t>.</w:t>
            </w:r>
          </w:p>
        </w:tc>
      </w:tr>
      <w:tr w:rsidR="003C468F" w:rsidRPr="00FB4FAB" w14:paraId="14112959" w14:textId="77777777" w:rsidTr="00EE3724">
        <w:trPr>
          <w:trHeight w:val="300"/>
        </w:trPr>
        <w:tc>
          <w:tcPr>
            <w:tcW w:w="3903" w:type="dxa"/>
          </w:tcPr>
          <w:p w14:paraId="18D63E82" w14:textId="11C673E6" w:rsidR="003C468F" w:rsidRDefault="003C468F" w:rsidP="003C468F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>...</w:t>
            </w:r>
          </w:p>
        </w:tc>
        <w:tc>
          <w:tcPr>
            <w:tcW w:w="3886" w:type="dxa"/>
          </w:tcPr>
          <w:p w14:paraId="6E28B719" w14:textId="2485F28E" w:rsidR="003C468F" w:rsidRPr="00461BB9" w:rsidRDefault="003C468F" w:rsidP="003C468F">
            <w:pPr>
              <w:spacing w:line="240" w:lineRule="auto"/>
              <w:jc w:val="both"/>
              <w:rPr>
                <w:rFonts w:ascii="Calibri" w:eastAsia="Aptos" w:hAnsi="Calibri" w:cs="Calibri"/>
                <w:color w:val="0070C0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  <w:r w:rsidR="0055233D">
              <w:rPr>
                <w:rFonts w:ascii="Calibri" w:hAnsi="Calibri" w:cs="Calibri"/>
                <w:color w:val="000000"/>
              </w:rPr>
              <w:t>...</w:t>
            </w:r>
          </w:p>
        </w:tc>
        <w:tc>
          <w:tcPr>
            <w:tcW w:w="4116" w:type="dxa"/>
          </w:tcPr>
          <w:p w14:paraId="2B052AED" w14:textId="41412375" w:rsidR="003C468F" w:rsidRDefault="003C468F" w:rsidP="003C468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3222" w:type="dxa"/>
          </w:tcPr>
          <w:p w14:paraId="004C8EDB" w14:textId="7AFA0FC0" w:rsidR="003C468F" w:rsidRDefault="003C468F" w:rsidP="003C468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3C468F" w:rsidRPr="00FB4FAB" w14:paraId="47810504" w14:textId="77777777" w:rsidTr="00EE3724">
        <w:trPr>
          <w:trHeight w:val="300"/>
        </w:trPr>
        <w:tc>
          <w:tcPr>
            <w:tcW w:w="3903" w:type="dxa"/>
          </w:tcPr>
          <w:p w14:paraId="10B79AB7" w14:textId="663B2731" w:rsidR="003C468F" w:rsidRDefault="003C468F" w:rsidP="003C468F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>Art. 363. ...</w:t>
            </w:r>
          </w:p>
        </w:tc>
        <w:tc>
          <w:tcPr>
            <w:tcW w:w="3886" w:type="dxa"/>
          </w:tcPr>
          <w:p w14:paraId="6EB70EE2" w14:textId="065B791E" w:rsidR="003C468F" w:rsidRPr="00461BB9" w:rsidRDefault="003C468F" w:rsidP="003C468F">
            <w:pPr>
              <w:spacing w:line="240" w:lineRule="auto"/>
              <w:jc w:val="both"/>
              <w:rPr>
                <w:rFonts w:ascii="Calibri" w:eastAsia="Aptos" w:hAnsi="Calibri" w:cs="Calibri"/>
                <w:color w:val="0070C0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>Art. 363. ...</w:t>
            </w:r>
          </w:p>
        </w:tc>
        <w:tc>
          <w:tcPr>
            <w:tcW w:w="4116" w:type="dxa"/>
          </w:tcPr>
          <w:p w14:paraId="7FC2DAF9" w14:textId="7E42201A" w:rsidR="003C468F" w:rsidRDefault="003C468F" w:rsidP="003C468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3222" w:type="dxa"/>
          </w:tcPr>
          <w:p w14:paraId="715791CB" w14:textId="49D68C17" w:rsidR="003C468F" w:rsidRDefault="003C468F" w:rsidP="003C468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3C468F" w:rsidRPr="00FB4FAB" w14:paraId="7BEF8AF1" w14:textId="77777777" w:rsidTr="00EE3724">
        <w:trPr>
          <w:trHeight w:val="300"/>
        </w:trPr>
        <w:tc>
          <w:tcPr>
            <w:tcW w:w="3903" w:type="dxa"/>
          </w:tcPr>
          <w:p w14:paraId="52BBD439" w14:textId="46C937EE" w:rsidR="003C468F" w:rsidRDefault="003C468F" w:rsidP="003C468F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>...</w:t>
            </w:r>
          </w:p>
        </w:tc>
        <w:tc>
          <w:tcPr>
            <w:tcW w:w="3886" w:type="dxa"/>
          </w:tcPr>
          <w:p w14:paraId="0AC981E0" w14:textId="30737CAE" w:rsidR="003C468F" w:rsidRPr="00461BB9" w:rsidRDefault="003C468F" w:rsidP="003C468F">
            <w:pPr>
              <w:spacing w:line="240" w:lineRule="auto"/>
              <w:jc w:val="both"/>
              <w:rPr>
                <w:rFonts w:ascii="Calibri" w:eastAsia="Aptos" w:hAnsi="Calibri" w:cs="Calibri"/>
                <w:color w:val="0070C0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>...</w:t>
            </w:r>
          </w:p>
        </w:tc>
        <w:tc>
          <w:tcPr>
            <w:tcW w:w="4116" w:type="dxa"/>
          </w:tcPr>
          <w:p w14:paraId="6F8828D1" w14:textId="5982E32B" w:rsidR="003C468F" w:rsidRDefault="003C468F" w:rsidP="003C468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3222" w:type="dxa"/>
          </w:tcPr>
          <w:p w14:paraId="5592CDD7" w14:textId="0D51DF29" w:rsidR="003C468F" w:rsidRDefault="003C468F" w:rsidP="003C468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3C468F" w:rsidRPr="00FB4FAB" w14:paraId="00E38074" w14:textId="77777777" w:rsidTr="00EE3724">
        <w:trPr>
          <w:trHeight w:val="300"/>
        </w:trPr>
        <w:tc>
          <w:tcPr>
            <w:tcW w:w="3903" w:type="dxa"/>
          </w:tcPr>
          <w:p w14:paraId="6D3DEF72" w14:textId="18EAE903" w:rsidR="003C468F" w:rsidRDefault="003C468F" w:rsidP="003C468F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>§ 2º Os documentos listados nos incisos II, V, VIII, IX e</w:t>
            </w:r>
            <w:r>
              <w:rPr>
                <w:rFonts w:ascii="Calibri" w:hAnsi="Calibri" w:cs="Calibri"/>
                <w:strike/>
                <w:color w:val="EE0000"/>
              </w:rPr>
              <w:t> X e na alínea “a” do inciso XI</w:t>
            </w:r>
            <w:r>
              <w:rPr>
                <w:rFonts w:ascii="Calibri" w:hAnsi="Calibri" w:cs="Calibri"/>
                <w:color w:val="000000"/>
              </w:rPr>
              <w:t> do art. 362, enviados por meio eletrônico à Previc, devem conter:</w:t>
            </w:r>
          </w:p>
        </w:tc>
        <w:tc>
          <w:tcPr>
            <w:tcW w:w="3886" w:type="dxa"/>
          </w:tcPr>
          <w:p w14:paraId="7C17E89D" w14:textId="6BAC5FCE" w:rsidR="003C468F" w:rsidRPr="00461BB9" w:rsidRDefault="003C468F" w:rsidP="003C468F">
            <w:pPr>
              <w:spacing w:line="240" w:lineRule="auto"/>
              <w:jc w:val="both"/>
              <w:rPr>
                <w:rFonts w:ascii="Calibri" w:eastAsia="Aptos" w:hAnsi="Calibri" w:cs="Calibri"/>
                <w:color w:val="0070C0"/>
                <w:sz w:val="24"/>
                <w:szCs w:val="24"/>
              </w:rPr>
            </w:pPr>
            <w:r w:rsidRPr="006A1D72">
              <w:rPr>
                <w:rFonts w:ascii="Calibri" w:hAnsi="Calibri" w:cs="Calibri"/>
                <w:color w:val="0070C0"/>
              </w:rPr>
              <w:t xml:space="preserve">§ 2º </w:t>
            </w:r>
            <w:r w:rsidRPr="00873FE2">
              <w:rPr>
                <w:rFonts w:ascii="Calibri" w:hAnsi="Calibri" w:cs="Calibri"/>
                <w:color w:val="0070C0"/>
              </w:rPr>
              <w:t xml:space="preserve">Os documentos listados nos incisos </w:t>
            </w:r>
            <w:r w:rsidRPr="002710DC">
              <w:rPr>
                <w:rFonts w:ascii="Calibri" w:hAnsi="Calibri" w:cs="Calibri"/>
                <w:color w:val="00B050"/>
              </w:rPr>
              <w:t>II, V, VIII</w:t>
            </w:r>
            <w:r w:rsidR="00880803" w:rsidRPr="002710DC">
              <w:rPr>
                <w:rFonts w:ascii="Calibri" w:hAnsi="Calibri" w:cs="Calibri"/>
                <w:color w:val="00B050"/>
              </w:rPr>
              <w:t xml:space="preserve"> e</w:t>
            </w:r>
            <w:r w:rsidRPr="002710DC">
              <w:rPr>
                <w:rFonts w:ascii="Calibri" w:hAnsi="Calibri" w:cs="Calibri"/>
                <w:color w:val="00B050"/>
              </w:rPr>
              <w:t xml:space="preserve"> IX</w:t>
            </w:r>
            <w:r w:rsidRPr="00873FE2">
              <w:rPr>
                <w:rFonts w:ascii="Calibri" w:hAnsi="Calibri" w:cs="Calibri"/>
                <w:color w:val="0070C0"/>
              </w:rPr>
              <w:t xml:space="preserve"> do art. 362, enviados por meio eletrônico à Previc, devem conter:</w:t>
            </w:r>
          </w:p>
        </w:tc>
        <w:tc>
          <w:tcPr>
            <w:tcW w:w="4116" w:type="dxa"/>
          </w:tcPr>
          <w:p w14:paraId="37203591" w14:textId="1AC1289D" w:rsidR="003C468F" w:rsidRDefault="003C468F" w:rsidP="003C468F">
            <w:pPr>
              <w:pStyle w:val="textojustificado"/>
              <w:spacing w:before="120" w:beforeAutospacing="0" w:after="120" w:afterAutospacing="0"/>
              <w:ind w:right="12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Exclusão das referências </w:t>
            </w:r>
            <w:r w:rsidR="00385397">
              <w:rPr>
                <w:rFonts w:ascii="Calibri" w:hAnsi="Calibri" w:cs="Calibri"/>
                <w:color w:val="000000"/>
              </w:rPr>
              <w:t xml:space="preserve">do inciso </w:t>
            </w:r>
            <w:r>
              <w:rPr>
                <w:rFonts w:ascii="Calibri" w:hAnsi="Calibri" w:cs="Calibri"/>
                <w:color w:val="000000"/>
              </w:rPr>
              <w:t>“X" e na alínea “a” do inciso XI”, por est</w:t>
            </w:r>
            <w:r w:rsidR="003D752C">
              <w:rPr>
                <w:rFonts w:ascii="Calibri" w:hAnsi="Calibri" w:cs="Calibri"/>
                <w:color w:val="000000"/>
              </w:rPr>
              <w:t>arem</w:t>
            </w:r>
            <w:r>
              <w:rPr>
                <w:rFonts w:ascii="Calibri" w:hAnsi="Calibri" w:cs="Calibri"/>
                <w:color w:val="000000"/>
              </w:rPr>
              <w:t xml:space="preserve"> indevida</w:t>
            </w:r>
            <w:r w:rsidR="003D752C">
              <w:rPr>
                <w:rFonts w:ascii="Calibri" w:hAnsi="Calibri" w:cs="Calibri"/>
                <w:color w:val="000000"/>
              </w:rPr>
              <w:t>s</w:t>
            </w:r>
            <w:r>
              <w:rPr>
                <w:rFonts w:ascii="Calibri" w:hAnsi="Calibri" w:cs="Calibri"/>
                <w:color w:val="000000"/>
              </w:rPr>
              <w:t xml:space="preserve"> no contexto do parágrafo, haja vista que o inciso X do art. 362 se refere à manifestação do conselho deliberativo relativa à aprovação das demonstrações contábeis e a alínea “a” do inciso XI do art. 362 se remete </w:t>
            </w:r>
            <w:r>
              <w:rPr>
                <w:rFonts w:ascii="Calibri" w:hAnsi="Calibri" w:cs="Calibri"/>
                <w:color w:val="000000"/>
              </w:rPr>
              <w:lastRenderedPageBreak/>
              <w:t xml:space="preserve">ao relatório do auditor independente sobre as demonstrações contábeis. Assim, ambos os documentos não necessitam das informações dos incisos I e II do § 2º do art. 363, visto que </w:t>
            </w:r>
            <w:r w:rsidR="0017203E">
              <w:rPr>
                <w:rFonts w:ascii="Calibri" w:hAnsi="Calibri" w:cs="Calibri"/>
                <w:color w:val="000000"/>
              </w:rPr>
              <w:t xml:space="preserve">suas elaborações </w:t>
            </w:r>
            <w:r>
              <w:rPr>
                <w:rFonts w:ascii="Calibri" w:hAnsi="Calibri" w:cs="Calibri"/>
                <w:color w:val="000000"/>
              </w:rPr>
              <w:t>são de responsabilidade do conselho deliberativo e da auditoria independente, respectivamente.</w:t>
            </w:r>
          </w:p>
          <w:p w14:paraId="3C43C725" w14:textId="69B3C15B" w:rsidR="003C468F" w:rsidRDefault="003C468F" w:rsidP="003C468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3222" w:type="dxa"/>
          </w:tcPr>
          <w:p w14:paraId="300DBD6A" w14:textId="77777777" w:rsidR="003C468F" w:rsidRDefault="003C468F" w:rsidP="003C468F">
            <w:pPr>
              <w:pStyle w:val="textojustificado"/>
              <w:spacing w:before="120" w:beforeAutospacing="0" w:after="120" w:afterAutospacing="0"/>
              <w:ind w:right="12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Inciso III e IV do art. 4º do Decreto nº 10.411/2020.</w:t>
            </w:r>
          </w:p>
          <w:p w14:paraId="1A2860EE" w14:textId="77777777" w:rsidR="003C468F" w:rsidRDefault="003C468F" w:rsidP="003C468F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  <w:p w14:paraId="0F3BB6E1" w14:textId="57975967" w:rsidR="003C468F" w:rsidRDefault="003C468F" w:rsidP="003C468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 xml:space="preserve">A dispensa de AIR está baseada em ato normativo de baixo impacto, pois trata de exclusão de referências indevidas no corpo do </w:t>
            </w:r>
            <w:r>
              <w:rPr>
                <w:rFonts w:ascii="Calibri" w:hAnsi="Calibri" w:cs="Calibri"/>
                <w:color w:val="000000"/>
              </w:rPr>
              <w:lastRenderedPageBreak/>
              <w:t>parágrafo e consequentemente atualização do</w:t>
            </w:r>
            <w:r w:rsidR="00000030">
              <w:rPr>
                <w:rFonts w:ascii="Calibri" w:hAnsi="Calibri" w:cs="Calibri"/>
                <w:color w:val="000000"/>
              </w:rPr>
              <w:t xml:space="preserve"> parágrafo.</w:t>
            </w:r>
          </w:p>
        </w:tc>
      </w:tr>
      <w:tr w:rsidR="003C468F" w:rsidRPr="00FB4FAB" w14:paraId="251F1736" w14:textId="77777777" w:rsidTr="00EE3724">
        <w:trPr>
          <w:trHeight w:val="300"/>
        </w:trPr>
        <w:tc>
          <w:tcPr>
            <w:tcW w:w="3903" w:type="dxa"/>
          </w:tcPr>
          <w:p w14:paraId="61405C8F" w14:textId="176A1A3F" w:rsidR="003C468F" w:rsidRDefault="003C468F" w:rsidP="003C468F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...</w:t>
            </w:r>
          </w:p>
        </w:tc>
        <w:tc>
          <w:tcPr>
            <w:tcW w:w="3886" w:type="dxa"/>
          </w:tcPr>
          <w:p w14:paraId="7D2BB715" w14:textId="28046F39" w:rsidR="003C468F" w:rsidRPr="00461BB9" w:rsidRDefault="003C468F" w:rsidP="003C468F">
            <w:pPr>
              <w:spacing w:line="240" w:lineRule="auto"/>
              <w:jc w:val="both"/>
              <w:rPr>
                <w:rFonts w:ascii="Calibri" w:eastAsia="Aptos" w:hAnsi="Calibri" w:cs="Calibri"/>
                <w:color w:val="0070C0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> ...</w:t>
            </w:r>
          </w:p>
        </w:tc>
        <w:tc>
          <w:tcPr>
            <w:tcW w:w="4116" w:type="dxa"/>
          </w:tcPr>
          <w:p w14:paraId="111B985E" w14:textId="5AEF8915" w:rsidR="003C468F" w:rsidRDefault="003C468F" w:rsidP="003C468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3222" w:type="dxa"/>
          </w:tcPr>
          <w:p w14:paraId="6AB10BD0" w14:textId="326AD3FB" w:rsidR="003C468F" w:rsidRDefault="003C468F" w:rsidP="003C468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D20EBA" w:rsidRPr="00FB4FAB" w14:paraId="0DE8665C" w14:textId="77777777" w:rsidTr="00EE3724">
        <w:trPr>
          <w:trHeight w:val="300"/>
        </w:trPr>
        <w:tc>
          <w:tcPr>
            <w:tcW w:w="3903" w:type="dxa"/>
          </w:tcPr>
          <w:p w14:paraId="7B5D8981" w14:textId="77777777" w:rsidR="00D20EBA" w:rsidRDefault="00D20EBA" w:rsidP="003C468F">
            <w:pPr>
              <w:tabs>
                <w:tab w:val="left" w:pos="0"/>
              </w:tabs>
              <w:jc w:val="both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3886" w:type="dxa"/>
          </w:tcPr>
          <w:p w14:paraId="1DF89E00" w14:textId="65D22A1C" w:rsidR="00774B4E" w:rsidRDefault="00774B4E" w:rsidP="00774B4E">
            <w:pPr>
              <w:spacing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774B4E">
              <w:rPr>
                <w:rFonts w:ascii="Calibri" w:hAnsi="Calibri" w:cs="Calibri"/>
                <w:color w:val="000000"/>
              </w:rPr>
              <w:t>CAPÍTULO XV</w:t>
            </w:r>
          </w:p>
          <w:p w14:paraId="4E712022" w14:textId="2A5BC746" w:rsidR="00D20EBA" w:rsidRDefault="00774B4E" w:rsidP="00774B4E">
            <w:pPr>
              <w:spacing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774B4E">
              <w:rPr>
                <w:rFonts w:ascii="Calibri" w:hAnsi="Calibri" w:cs="Calibri"/>
                <w:color w:val="000000"/>
              </w:rPr>
              <w:t>DAS DISPOSIÇÕES FINAIS</w:t>
            </w:r>
          </w:p>
        </w:tc>
        <w:tc>
          <w:tcPr>
            <w:tcW w:w="4116" w:type="dxa"/>
          </w:tcPr>
          <w:p w14:paraId="64EAA55F" w14:textId="77777777" w:rsidR="00D20EBA" w:rsidRDefault="00D20EBA" w:rsidP="003C468F">
            <w:pPr>
              <w:jc w:val="both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3222" w:type="dxa"/>
          </w:tcPr>
          <w:p w14:paraId="18D7125E" w14:textId="77777777" w:rsidR="00D20EBA" w:rsidRDefault="00D20EBA" w:rsidP="003C468F">
            <w:pPr>
              <w:jc w:val="both"/>
              <w:rPr>
                <w:rFonts w:ascii="Calibri" w:hAnsi="Calibri" w:cs="Calibri"/>
                <w:color w:val="000000"/>
              </w:rPr>
            </w:pPr>
          </w:p>
        </w:tc>
      </w:tr>
      <w:tr w:rsidR="003C468F" w:rsidRPr="00FB4FAB" w14:paraId="2E5FCF08" w14:textId="77777777" w:rsidTr="00EE3724">
        <w:trPr>
          <w:trHeight w:val="300"/>
        </w:trPr>
        <w:tc>
          <w:tcPr>
            <w:tcW w:w="3903" w:type="dxa"/>
          </w:tcPr>
          <w:p w14:paraId="3B4806A5" w14:textId="77777777" w:rsidR="003C468F" w:rsidRDefault="003C468F" w:rsidP="003C468F">
            <w:pPr>
              <w:tabs>
                <w:tab w:val="left" w:pos="0"/>
              </w:tabs>
              <w:jc w:val="both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3886" w:type="dxa"/>
          </w:tcPr>
          <w:p w14:paraId="5533BFC2" w14:textId="42458EEB" w:rsidR="003C468F" w:rsidRDefault="003C468F" w:rsidP="003C468F">
            <w:pPr>
              <w:spacing w:line="240" w:lineRule="auto"/>
              <w:jc w:val="both"/>
              <w:rPr>
                <w:rFonts w:ascii="Calibri" w:hAnsi="Calibri" w:cs="Calibri"/>
                <w:color w:val="000000"/>
              </w:rPr>
            </w:pPr>
            <w:bookmarkStart w:id="3" w:name="_Hlk205978639"/>
            <w:r w:rsidRPr="0024314A">
              <w:rPr>
                <w:rFonts w:ascii="Calibri" w:eastAsia="Aptos" w:hAnsi="Calibri" w:cs="Calibri"/>
                <w:color w:val="0070C0"/>
                <w:sz w:val="24"/>
                <w:szCs w:val="24"/>
              </w:rPr>
              <w:t>Art. YYY.  Tornar sem efeito o Ofício Circular DINOR nº 03, de 25 de abril de 2025.</w:t>
            </w:r>
            <w:bookmarkEnd w:id="3"/>
          </w:p>
        </w:tc>
        <w:tc>
          <w:tcPr>
            <w:tcW w:w="4116" w:type="dxa"/>
          </w:tcPr>
          <w:p w14:paraId="3D504AD2" w14:textId="018893A8" w:rsidR="003C468F" w:rsidRDefault="003C468F" w:rsidP="003C468F">
            <w:pPr>
              <w:jc w:val="both"/>
              <w:rPr>
                <w:rFonts w:ascii="Calibri" w:hAnsi="Calibri" w:cs="Calibri"/>
                <w:color w:val="000000"/>
              </w:rPr>
            </w:pPr>
            <w:bookmarkStart w:id="4" w:name="_Hlk205978735"/>
            <w:r>
              <w:rPr>
                <w:rFonts w:ascii="Calibri" w:hAnsi="Calibri" w:cs="Calibri"/>
                <w:sz w:val="24"/>
                <w:szCs w:val="24"/>
              </w:rPr>
              <w:t xml:space="preserve">Inclusão de dispositivo para tornar sem efeito o disposto no </w:t>
            </w:r>
            <w:r w:rsidRPr="00371216">
              <w:rPr>
                <w:rFonts w:ascii="Calibri" w:eastAsia="Aptos" w:hAnsi="Calibri" w:cs="Calibri"/>
                <w:sz w:val="24"/>
                <w:szCs w:val="24"/>
              </w:rPr>
              <w:t>Ofício Circular DINOR nº 03, de 25 de abril de 2025</w:t>
            </w:r>
            <w:r>
              <w:rPr>
                <w:rFonts w:ascii="Calibri" w:eastAsia="Aptos" w:hAnsi="Calibri" w:cs="Calibri"/>
                <w:sz w:val="24"/>
                <w:szCs w:val="24"/>
              </w:rPr>
              <w:t>, visto que o seu conteúdo foi incorporado nas alterações de Resolução Previc nº 23/2023 realizadas em 2025.</w:t>
            </w:r>
            <w:bookmarkEnd w:id="4"/>
          </w:p>
        </w:tc>
        <w:tc>
          <w:tcPr>
            <w:tcW w:w="3222" w:type="dxa"/>
          </w:tcPr>
          <w:p w14:paraId="06488FD4" w14:textId="77777777" w:rsidR="0015365C" w:rsidRPr="00145C6A" w:rsidRDefault="0015365C" w:rsidP="0015365C">
            <w:pPr>
              <w:jc w:val="both"/>
              <w:rPr>
                <w:rFonts w:ascii="Calibri" w:hAnsi="Calibri" w:cs="Calibri"/>
                <w:color w:val="00B050"/>
              </w:rPr>
            </w:pPr>
            <w:r w:rsidRPr="00145C6A">
              <w:rPr>
                <w:rFonts w:ascii="Calibri" w:hAnsi="Calibri" w:cs="Calibri"/>
                <w:color w:val="00B050"/>
              </w:rPr>
              <w:t>Inciso III do art. 4º do Decreto nº 10.411/2020.</w:t>
            </w:r>
          </w:p>
          <w:p w14:paraId="28C27648" w14:textId="77777777" w:rsidR="0015365C" w:rsidRPr="00145C6A" w:rsidRDefault="0015365C" w:rsidP="0015365C">
            <w:pPr>
              <w:jc w:val="both"/>
              <w:rPr>
                <w:rFonts w:ascii="Calibri" w:hAnsi="Calibri" w:cs="Calibri"/>
                <w:color w:val="00B050"/>
              </w:rPr>
            </w:pPr>
          </w:p>
          <w:p w14:paraId="4C532FDB" w14:textId="15089B28" w:rsidR="003C468F" w:rsidRDefault="0015365C" w:rsidP="0015365C">
            <w:pPr>
              <w:jc w:val="both"/>
              <w:rPr>
                <w:rFonts w:ascii="Calibri" w:hAnsi="Calibri" w:cs="Calibri"/>
                <w:color w:val="000000"/>
              </w:rPr>
            </w:pPr>
            <w:r w:rsidRPr="00145C6A">
              <w:rPr>
                <w:rFonts w:ascii="Calibri" w:hAnsi="Calibri" w:cs="Calibri"/>
                <w:color w:val="00B050"/>
              </w:rPr>
              <w:t xml:space="preserve">A dispensa de AIR está baseada em ato normativo de baixo impacto, pois se trata de </w:t>
            </w:r>
            <w:r w:rsidR="000B166D" w:rsidRPr="00145C6A">
              <w:rPr>
                <w:rFonts w:ascii="Calibri" w:hAnsi="Calibri" w:cs="Calibri"/>
                <w:color w:val="00B050"/>
              </w:rPr>
              <w:t>desconsiderar os efeitos do</w:t>
            </w:r>
            <w:r w:rsidR="002710DC">
              <w:rPr>
                <w:rFonts w:ascii="Calibri" w:hAnsi="Calibri" w:cs="Calibri"/>
                <w:color w:val="00B050"/>
              </w:rPr>
              <w:t xml:space="preserve"> Ofício</w:t>
            </w:r>
            <w:r w:rsidR="000B166D" w:rsidRPr="00145C6A">
              <w:rPr>
                <w:rFonts w:ascii="Calibri" w:eastAsia="Aptos" w:hAnsi="Calibri" w:cs="Calibri"/>
                <w:color w:val="00B050"/>
                <w:sz w:val="24"/>
                <w:szCs w:val="24"/>
              </w:rPr>
              <w:t xml:space="preserve"> Circular DINOR nº 03, de 25 de abril de 2025</w:t>
            </w:r>
            <w:r w:rsidR="00956AC0" w:rsidRPr="00145C6A">
              <w:rPr>
                <w:rFonts w:ascii="Calibri" w:eastAsia="Aptos" w:hAnsi="Calibri" w:cs="Calibri"/>
                <w:color w:val="00B050"/>
                <w:sz w:val="24"/>
                <w:szCs w:val="24"/>
              </w:rPr>
              <w:t>, por ter sido contemplado na proposta de alteração da resolução Previc nº 23, de 2023</w:t>
            </w:r>
            <w:r w:rsidR="00145C6A" w:rsidRPr="00145C6A">
              <w:rPr>
                <w:rFonts w:ascii="Calibri" w:eastAsia="Aptos" w:hAnsi="Calibri" w:cs="Calibri"/>
                <w:color w:val="00B050"/>
                <w:sz w:val="24"/>
                <w:szCs w:val="24"/>
              </w:rPr>
              <w:t>.</w:t>
            </w:r>
          </w:p>
        </w:tc>
      </w:tr>
    </w:tbl>
    <w:p w14:paraId="782F95C1" w14:textId="77777777" w:rsidR="00265A4D" w:rsidRPr="0013191A" w:rsidRDefault="00265A4D" w:rsidP="00587FB4">
      <w:pPr>
        <w:jc w:val="center"/>
        <w:rPr>
          <w:rFonts w:ascii="Calibri" w:hAnsi="Calibri" w:cs="Calibri"/>
          <w:sz w:val="24"/>
          <w:szCs w:val="24"/>
        </w:rPr>
      </w:pPr>
    </w:p>
    <w:sectPr w:rsidR="00265A4D" w:rsidRPr="0013191A" w:rsidSect="00641AD6">
      <w:footerReference w:type="default" r:id="rId11"/>
      <w:pgSz w:w="16838" w:h="11906" w:orient="landscape"/>
      <w:pgMar w:top="1134" w:right="567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07F61D" w14:textId="77777777" w:rsidR="00D1476A" w:rsidRDefault="00D1476A" w:rsidP="00127DCC">
      <w:pPr>
        <w:spacing w:after="0" w:line="240" w:lineRule="auto"/>
      </w:pPr>
      <w:r>
        <w:separator/>
      </w:r>
    </w:p>
  </w:endnote>
  <w:endnote w:type="continuationSeparator" w:id="0">
    <w:p w14:paraId="1D1B0D49" w14:textId="77777777" w:rsidR="00D1476A" w:rsidRDefault="00D1476A" w:rsidP="00127D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85318829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2B7D676E" w14:textId="62B8CCBB" w:rsidR="00127DCC" w:rsidRDefault="00127DCC">
            <w:pPr>
              <w:pStyle w:val="Rodap"/>
              <w:jc w:val="center"/>
            </w:pPr>
            <w:r>
              <w:t xml:space="preserve">Página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de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8956E4D" w14:textId="77777777" w:rsidR="00127DCC" w:rsidRDefault="00127DCC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57BDAC" w14:textId="77777777" w:rsidR="00D1476A" w:rsidRDefault="00D1476A" w:rsidP="00127DCC">
      <w:pPr>
        <w:spacing w:after="0" w:line="240" w:lineRule="auto"/>
      </w:pPr>
      <w:r>
        <w:separator/>
      </w:r>
    </w:p>
  </w:footnote>
  <w:footnote w:type="continuationSeparator" w:id="0">
    <w:p w14:paraId="464A8FEF" w14:textId="77777777" w:rsidR="00D1476A" w:rsidRDefault="00D1476A" w:rsidP="00127DCC">
      <w:pPr>
        <w:spacing w:after="0" w:line="240" w:lineRule="auto"/>
      </w:pPr>
      <w:r>
        <w:continuationSeparator/>
      </w:r>
    </w:p>
  </w:footnote>
</w:footnotes>
</file>

<file path=word/intelligence2.xml><?xml version="1.0" encoding="utf-8"?>
<int2:intelligence xmlns:int2="http://schemas.microsoft.com/office/intelligence/2020/intelligence" xmlns:oel="http://schemas.microsoft.com/office/2019/extlst">
  <int2:observations>
    <int2:bookmark int2:bookmarkName="_Int_1D69QThR" int2:invalidationBookmarkName="" int2:hashCode="CcEgSC99bYIl/D" int2:id="kC37fQNd">
      <int2:state int2:value="Rejected" int2:type="gram"/>
    </int2:bookmark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20398D"/>
    <w:multiLevelType w:val="multilevel"/>
    <w:tmpl w:val="4FCE10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C7858DC"/>
    <w:multiLevelType w:val="multilevel"/>
    <w:tmpl w:val="8C4CBF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A09421F"/>
    <w:multiLevelType w:val="multilevel"/>
    <w:tmpl w:val="E06E7D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84F6655"/>
    <w:multiLevelType w:val="multilevel"/>
    <w:tmpl w:val="2974AB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CA42710"/>
    <w:multiLevelType w:val="multilevel"/>
    <w:tmpl w:val="A3B4D2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DB5EE2B"/>
    <w:multiLevelType w:val="hybridMultilevel"/>
    <w:tmpl w:val="004245C6"/>
    <w:lvl w:ilvl="0" w:tplc="373A0F34">
      <w:start w:val="1"/>
      <w:numFmt w:val="upperRoman"/>
      <w:lvlText w:val="%1."/>
      <w:lvlJc w:val="right"/>
      <w:pPr>
        <w:ind w:left="720" w:hanging="360"/>
      </w:pPr>
    </w:lvl>
    <w:lvl w:ilvl="1" w:tplc="793424AE">
      <w:start w:val="1"/>
      <w:numFmt w:val="lowerLetter"/>
      <w:lvlText w:val="%2."/>
      <w:lvlJc w:val="left"/>
      <w:pPr>
        <w:ind w:left="1440" w:hanging="360"/>
      </w:pPr>
    </w:lvl>
    <w:lvl w:ilvl="2" w:tplc="92E86CA6">
      <w:start w:val="1"/>
      <w:numFmt w:val="lowerRoman"/>
      <w:lvlText w:val="%3."/>
      <w:lvlJc w:val="right"/>
      <w:pPr>
        <w:ind w:left="2160" w:hanging="180"/>
      </w:pPr>
    </w:lvl>
    <w:lvl w:ilvl="3" w:tplc="A4107460">
      <w:start w:val="1"/>
      <w:numFmt w:val="decimal"/>
      <w:lvlText w:val="%4."/>
      <w:lvlJc w:val="left"/>
      <w:pPr>
        <w:ind w:left="2880" w:hanging="360"/>
      </w:pPr>
    </w:lvl>
    <w:lvl w:ilvl="4" w:tplc="FDC62B8E">
      <w:start w:val="1"/>
      <w:numFmt w:val="lowerLetter"/>
      <w:lvlText w:val="%5."/>
      <w:lvlJc w:val="left"/>
      <w:pPr>
        <w:ind w:left="3600" w:hanging="360"/>
      </w:pPr>
    </w:lvl>
    <w:lvl w:ilvl="5" w:tplc="4F6C4282">
      <w:start w:val="1"/>
      <w:numFmt w:val="lowerRoman"/>
      <w:lvlText w:val="%6."/>
      <w:lvlJc w:val="right"/>
      <w:pPr>
        <w:ind w:left="4320" w:hanging="180"/>
      </w:pPr>
    </w:lvl>
    <w:lvl w:ilvl="6" w:tplc="C262AFFA">
      <w:start w:val="1"/>
      <w:numFmt w:val="decimal"/>
      <w:lvlText w:val="%7."/>
      <w:lvlJc w:val="left"/>
      <w:pPr>
        <w:ind w:left="5040" w:hanging="360"/>
      </w:pPr>
    </w:lvl>
    <w:lvl w:ilvl="7" w:tplc="AAECB41C">
      <w:start w:val="1"/>
      <w:numFmt w:val="lowerLetter"/>
      <w:lvlText w:val="%8."/>
      <w:lvlJc w:val="left"/>
      <w:pPr>
        <w:ind w:left="5760" w:hanging="360"/>
      </w:pPr>
    </w:lvl>
    <w:lvl w:ilvl="8" w:tplc="19C62994">
      <w:start w:val="1"/>
      <w:numFmt w:val="lowerRoman"/>
      <w:lvlText w:val="%9."/>
      <w:lvlJc w:val="right"/>
      <w:pPr>
        <w:ind w:left="6480" w:hanging="180"/>
      </w:pPr>
    </w:lvl>
  </w:abstractNum>
  <w:num w:numId="1" w16cid:durableId="951782066">
    <w:abstractNumId w:val="5"/>
  </w:num>
  <w:num w:numId="2" w16cid:durableId="1513295868">
    <w:abstractNumId w:val="4"/>
  </w:num>
  <w:num w:numId="3" w16cid:durableId="906450626">
    <w:abstractNumId w:val="2"/>
  </w:num>
  <w:num w:numId="4" w16cid:durableId="1409108220">
    <w:abstractNumId w:val="0"/>
  </w:num>
  <w:num w:numId="5" w16cid:durableId="1235890859">
    <w:abstractNumId w:val="3"/>
  </w:num>
  <w:num w:numId="6" w16cid:durableId="93678645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1AD6"/>
    <w:rsid w:val="00000030"/>
    <w:rsid w:val="000077E6"/>
    <w:rsid w:val="00013345"/>
    <w:rsid w:val="000134B0"/>
    <w:rsid w:val="00013C21"/>
    <w:rsid w:val="000163BF"/>
    <w:rsid w:val="00020154"/>
    <w:rsid w:val="00021AEC"/>
    <w:rsid w:val="000317D6"/>
    <w:rsid w:val="00032D09"/>
    <w:rsid w:val="0003379A"/>
    <w:rsid w:val="00041F03"/>
    <w:rsid w:val="00042407"/>
    <w:rsid w:val="00046441"/>
    <w:rsid w:val="00057295"/>
    <w:rsid w:val="0006712C"/>
    <w:rsid w:val="00071F14"/>
    <w:rsid w:val="00074DD1"/>
    <w:rsid w:val="00083352"/>
    <w:rsid w:val="000864AC"/>
    <w:rsid w:val="00086F24"/>
    <w:rsid w:val="000A05DE"/>
    <w:rsid w:val="000A30E9"/>
    <w:rsid w:val="000A641B"/>
    <w:rsid w:val="000B166D"/>
    <w:rsid w:val="000B1682"/>
    <w:rsid w:val="000B695A"/>
    <w:rsid w:val="000C48AF"/>
    <w:rsid w:val="000C6096"/>
    <w:rsid w:val="000C6B64"/>
    <w:rsid w:val="000C7F7C"/>
    <w:rsid w:val="000D11CF"/>
    <w:rsid w:val="000D7FEA"/>
    <w:rsid w:val="000E4E21"/>
    <w:rsid w:val="000E6C51"/>
    <w:rsid w:val="00100643"/>
    <w:rsid w:val="00106C80"/>
    <w:rsid w:val="001154A2"/>
    <w:rsid w:val="00117326"/>
    <w:rsid w:val="001214AF"/>
    <w:rsid w:val="001246F0"/>
    <w:rsid w:val="0012711B"/>
    <w:rsid w:val="00127DCC"/>
    <w:rsid w:val="0013030D"/>
    <w:rsid w:val="0013191A"/>
    <w:rsid w:val="00137853"/>
    <w:rsid w:val="0014087A"/>
    <w:rsid w:val="00141354"/>
    <w:rsid w:val="00145C6A"/>
    <w:rsid w:val="0015365C"/>
    <w:rsid w:val="00156B75"/>
    <w:rsid w:val="0016223F"/>
    <w:rsid w:val="0016356F"/>
    <w:rsid w:val="001665AF"/>
    <w:rsid w:val="001671CB"/>
    <w:rsid w:val="0017203E"/>
    <w:rsid w:val="00172567"/>
    <w:rsid w:val="00176300"/>
    <w:rsid w:val="00177A03"/>
    <w:rsid w:val="001827C4"/>
    <w:rsid w:val="00185C69"/>
    <w:rsid w:val="00186DDE"/>
    <w:rsid w:val="001959BD"/>
    <w:rsid w:val="001A18D8"/>
    <w:rsid w:val="001A1F20"/>
    <w:rsid w:val="001A3084"/>
    <w:rsid w:val="001A4FA5"/>
    <w:rsid w:val="001B0109"/>
    <w:rsid w:val="001B404A"/>
    <w:rsid w:val="001C0572"/>
    <w:rsid w:val="001C23B2"/>
    <w:rsid w:val="001C2711"/>
    <w:rsid w:val="001C356F"/>
    <w:rsid w:val="001D06FE"/>
    <w:rsid w:val="001D08DD"/>
    <w:rsid w:val="001D538A"/>
    <w:rsid w:val="001E26CF"/>
    <w:rsid w:val="002022AC"/>
    <w:rsid w:val="00207B68"/>
    <w:rsid w:val="00212BAC"/>
    <w:rsid w:val="0021461E"/>
    <w:rsid w:val="0022161C"/>
    <w:rsid w:val="002237F9"/>
    <w:rsid w:val="00231CC7"/>
    <w:rsid w:val="00233ABA"/>
    <w:rsid w:val="002361F1"/>
    <w:rsid w:val="0024210E"/>
    <w:rsid w:val="0024314A"/>
    <w:rsid w:val="002503F0"/>
    <w:rsid w:val="002517FF"/>
    <w:rsid w:val="00265A4D"/>
    <w:rsid w:val="002710DC"/>
    <w:rsid w:val="00280690"/>
    <w:rsid w:val="00280F25"/>
    <w:rsid w:val="0029195D"/>
    <w:rsid w:val="00291CD3"/>
    <w:rsid w:val="00296556"/>
    <w:rsid w:val="002A29B8"/>
    <w:rsid w:val="002A6354"/>
    <w:rsid w:val="002A747A"/>
    <w:rsid w:val="002B2AE0"/>
    <w:rsid w:val="002B4924"/>
    <w:rsid w:val="002B5A6E"/>
    <w:rsid w:val="002C5A6E"/>
    <w:rsid w:val="002C7EE1"/>
    <w:rsid w:val="002D01EE"/>
    <w:rsid w:val="002D1D54"/>
    <w:rsid w:val="002D35C6"/>
    <w:rsid w:val="002E04B8"/>
    <w:rsid w:val="002E121E"/>
    <w:rsid w:val="002EE488"/>
    <w:rsid w:val="002F2EAD"/>
    <w:rsid w:val="0030237A"/>
    <w:rsid w:val="00322408"/>
    <w:rsid w:val="003268E2"/>
    <w:rsid w:val="0033108E"/>
    <w:rsid w:val="00332EED"/>
    <w:rsid w:val="00333B0D"/>
    <w:rsid w:val="00342C25"/>
    <w:rsid w:val="0034374E"/>
    <w:rsid w:val="00344848"/>
    <w:rsid w:val="00344B07"/>
    <w:rsid w:val="003450B6"/>
    <w:rsid w:val="0034613B"/>
    <w:rsid w:val="00354920"/>
    <w:rsid w:val="00354C1E"/>
    <w:rsid w:val="0035651A"/>
    <w:rsid w:val="0036301C"/>
    <w:rsid w:val="00363881"/>
    <w:rsid w:val="00363A52"/>
    <w:rsid w:val="003654EE"/>
    <w:rsid w:val="00371216"/>
    <w:rsid w:val="00372ECF"/>
    <w:rsid w:val="00377542"/>
    <w:rsid w:val="003803B9"/>
    <w:rsid w:val="00385397"/>
    <w:rsid w:val="003854A5"/>
    <w:rsid w:val="003904B1"/>
    <w:rsid w:val="0039656D"/>
    <w:rsid w:val="003A206B"/>
    <w:rsid w:val="003A4AAD"/>
    <w:rsid w:val="003C40C5"/>
    <w:rsid w:val="003C468F"/>
    <w:rsid w:val="003D114A"/>
    <w:rsid w:val="003D752C"/>
    <w:rsid w:val="003E12C0"/>
    <w:rsid w:val="003E2F5E"/>
    <w:rsid w:val="003F64D0"/>
    <w:rsid w:val="003F665B"/>
    <w:rsid w:val="00400447"/>
    <w:rsid w:val="00402116"/>
    <w:rsid w:val="004051C1"/>
    <w:rsid w:val="004067B4"/>
    <w:rsid w:val="00417FC4"/>
    <w:rsid w:val="00424809"/>
    <w:rsid w:val="00424EAA"/>
    <w:rsid w:val="0042550C"/>
    <w:rsid w:val="0042660C"/>
    <w:rsid w:val="00426933"/>
    <w:rsid w:val="004347C7"/>
    <w:rsid w:val="004369BE"/>
    <w:rsid w:val="00436F52"/>
    <w:rsid w:val="0044294E"/>
    <w:rsid w:val="00443D05"/>
    <w:rsid w:val="00450ECF"/>
    <w:rsid w:val="00454CE1"/>
    <w:rsid w:val="00455F06"/>
    <w:rsid w:val="0045FD20"/>
    <w:rsid w:val="00461BB9"/>
    <w:rsid w:val="0046219D"/>
    <w:rsid w:val="0047178A"/>
    <w:rsid w:val="00472B90"/>
    <w:rsid w:val="00474F60"/>
    <w:rsid w:val="00475B83"/>
    <w:rsid w:val="0048436B"/>
    <w:rsid w:val="00484470"/>
    <w:rsid w:val="00485D1F"/>
    <w:rsid w:val="00490420"/>
    <w:rsid w:val="00490A10"/>
    <w:rsid w:val="004929F1"/>
    <w:rsid w:val="00495EA7"/>
    <w:rsid w:val="004A3036"/>
    <w:rsid w:val="004A4D70"/>
    <w:rsid w:val="004A4DD5"/>
    <w:rsid w:val="004A5B62"/>
    <w:rsid w:val="004B73CF"/>
    <w:rsid w:val="004C1EC0"/>
    <w:rsid w:val="004C377B"/>
    <w:rsid w:val="004D27DA"/>
    <w:rsid w:val="004D3074"/>
    <w:rsid w:val="004E068F"/>
    <w:rsid w:val="004F4431"/>
    <w:rsid w:val="004F6B36"/>
    <w:rsid w:val="004F6B5F"/>
    <w:rsid w:val="00502116"/>
    <w:rsid w:val="005058C7"/>
    <w:rsid w:val="00506D17"/>
    <w:rsid w:val="00511000"/>
    <w:rsid w:val="00512DA9"/>
    <w:rsid w:val="00522F06"/>
    <w:rsid w:val="00523FEA"/>
    <w:rsid w:val="005250F2"/>
    <w:rsid w:val="005279D9"/>
    <w:rsid w:val="0053726A"/>
    <w:rsid w:val="00547386"/>
    <w:rsid w:val="00550FE5"/>
    <w:rsid w:val="0055233D"/>
    <w:rsid w:val="00561205"/>
    <w:rsid w:val="00567120"/>
    <w:rsid w:val="00584B32"/>
    <w:rsid w:val="00587FB4"/>
    <w:rsid w:val="00590E55"/>
    <w:rsid w:val="00597264"/>
    <w:rsid w:val="005A4057"/>
    <w:rsid w:val="005A48EE"/>
    <w:rsid w:val="005B1F39"/>
    <w:rsid w:val="005B62F5"/>
    <w:rsid w:val="005C6B0A"/>
    <w:rsid w:val="005D3A09"/>
    <w:rsid w:val="005D3B59"/>
    <w:rsid w:val="005D6466"/>
    <w:rsid w:val="005D6D49"/>
    <w:rsid w:val="005D74E1"/>
    <w:rsid w:val="005F133F"/>
    <w:rsid w:val="005F1716"/>
    <w:rsid w:val="005F1EDE"/>
    <w:rsid w:val="005F32FB"/>
    <w:rsid w:val="00603334"/>
    <w:rsid w:val="00605BB7"/>
    <w:rsid w:val="00607046"/>
    <w:rsid w:val="0061076A"/>
    <w:rsid w:val="00611198"/>
    <w:rsid w:val="006112BF"/>
    <w:rsid w:val="00613EE5"/>
    <w:rsid w:val="00614C3D"/>
    <w:rsid w:val="00616987"/>
    <w:rsid w:val="006202AD"/>
    <w:rsid w:val="00641AD6"/>
    <w:rsid w:val="00645F6E"/>
    <w:rsid w:val="00650515"/>
    <w:rsid w:val="00652D71"/>
    <w:rsid w:val="00663A67"/>
    <w:rsid w:val="006760A0"/>
    <w:rsid w:val="00685A9E"/>
    <w:rsid w:val="006871AB"/>
    <w:rsid w:val="006902C9"/>
    <w:rsid w:val="006937E6"/>
    <w:rsid w:val="00695517"/>
    <w:rsid w:val="00697C26"/>
    <w:rsid w:val="006A1D72"/>
    <w:rsid w:val="006A22BC"/>
    <w:rsid w:val="006A4308"/>
    <w:rsid w:val="006B221E"/>
    <w:rsid w:val="006B72EB"/>
    <w:rsid w:val="006B7913"/>
    <w:rsid w:val="006B7E52"/>
    <w:rsid w:val="006D570D"/>
    <w:rsid w:val="006E0A6C"/>
    <w:rsid w:val="006E139C"/>
    <w:rsid w:val="006E23F0"/>
    <w:rsid w:val="006E5C01"/>
    <w:rsid w:val="006E7016"/>
    <w:rsid w:val="006F08B2"/>
    <w:rsid w:val="006F66B2"/>
    <w:rsid w:val="00700EA2"/>
    <w:rsid w:val="00704F5A"/>
    <w:rsid w:val="00705E3E"/>
    <w:rsid w:val="00716457"/>
    <w:rsid w:val="0072163B"/>
    <w:rsid w:val="0072324F"/>
    <w:rsid w:val="00730B9D"/>
    <w:rsid w:val="007341FF"/>
    <w:rsid w:val="007502A3"/>
    <w:rsid w:val="00754321"/>
    <w:rsid w:val="00755A06"/>
    <w:rsid w:val="00762E4D"/>
    <w:rsid w:val="00765901"/>
    <w:rsid w:val="007677F9"/>
    <w:rsid w:val="00774B4E"/>
    <w:rsid w:val="007754B6"/>
    <w:rsid w:val="00776DB8"/>
    <w:rsid w:val="00781825"/>
    <w:rsid w:val="0078541F"/>
    <w:rsid w:val="0079073C"/>
    <w:rsid w:val="007A11F1"/>
    <w:rsid w:val="007A3477"/>
    <w:rsid w:val="007A65A1"/>
    <w:rsid w:val="007B093E"/>
    <w:rsid w:val="007B2D3C"/>
    <w:rsid w:val="007B53D3"/>
    <w:rsid w:val="007B658C"/>
    <w:rsid w:val="007D52D0"/>
    <w:rsid w:val="007E0612"/>
    <w:rsid w:val="007F1A32"/>
    <w:rsid w:val="007F23B5"/>
    <w:rsid w:val="007F47E8"/>
    <w:rsid w:val="007F5DC7"/>
    <w:rsid w:val="007F6108"/>
    <w:rsid w:val="00800C60"/>
    <w:rsid w:val="00801605"/>
    <w:rsid w:val="00802B81"/>
    <w:rsid w:val="00805748"/>
    <w:rsid w:val="00805A4D"/>
    <w:rsid w:val="008140F4"/>
    <w:rsid w:val="00815879"/>
    <w:rsid w:val="00820E23"/>
    <w:rsid w:val="008217F5"/>
    <w:rsid w:val="0082333B"/>
    <w:rsid w:val="00831552"/>
    <w:rsid w:val="00833051"/>
    <w:rsid w:val="00835230"/>
    <w:rsid w:val="00837FA2"/>
    <w:rsid w:val="0084078E"/>
    <w:rsid w:val="00847169"/>
    <w:rsid w:val="0085320A"/>
    <w:rsid w:val="00856B6A"/>
    <w:rsid w:val="00860B6C"/>
    <w:rsid w:val="00863845"/>
    <w:rsid w:val="008639E2"/>
    <w:rsid w:val="00863FE0"/>
    <w:rsid w:val="00864BF6"/>
    <w:rsid w:val="00864E75"/>
    <w:rsid w:val="00866C64"/>
    <w:rsid w:val="00872CB2"/>
    <w:rsid w:val="00873FE2"/>
    <w:rsid w:val="00874395"/>
    <w:rsid w:val="008754AC"/>
    <w:rsid w:val="0087713F"/>
    <w:rsid w:val="00880803"/>
    <w:rsid w:val="00880C13"/>
    <w:rsid w:val="0088113E"/>
    <w:rsid w:val="00881BEF"/>
    <w:rsid w:val="00882D8E"/>
    <w:rsid w:val="0088634C"/>
    <w:rsid w:val="00891951"/>
    <w:rsid w:val="00891BDF"/>
    <w:rsid w:val="00892173"/>
    <w:rsid w:val="00895603"/>
    <w:rsid w:val="00895E88"/>
    <w:rsid w:val="0089687B"/>
    <w:rsid w:val="008A3588"/>
    <w:rsid w:val="008B1076"/>
    <w:rsid w:val="008D24AA"/>
    <w:rsid w:val="008D6FFB"/>
    <w:rsid w:val="008E0369"/>
    <w:rsid w:val="008E3925"/>
    <w:rsid w:val="008E6469"/>
    <w:rsid w:val="008E7669"/>
    <w:rsid w:val="008F07AC"/>
    <w:rsid w:val="008F50CF"/>
    <w:rsid w:val="008F6847"/>
    <w:rsid w:val="009003D3"/>
    <w:rsid w:val="009006FB"/>
    <w:rsid w:val="00906E75"/>
    <w:rsid w:val="0091101A"/>
    <w:rsid w:val="009134D6"/>
    <w:rsid w:val="00914FE4"/>
    <w:rsid w:val="00924927"/>
    <w:rsid w:val="009279EC"/>
    <w:rsid w:val="00927C9B"/>
    <w:rsid w:val="009308D2"/>
    <w:rsid w:val="00934FE7"/>
    <w:rsid w:val="00956AC0"/>
    <w:rsid w:val="00967760"/>
    <w:rsid w:val="00967A90"/>
    <w:rsid w:val="009721CC"/>
    <w:rsid w:val="009766BC"/>
    <w:rsid w:val="00976A69"/>
    <w:rsid w:val="0098193B"/>
    <w:rsid w:val="009823AF"/>
    <w:rsid w:val="0098288C"/>
    <w:rsid w:val="00992357"/>
    <w:rsid w:val="00993BC5"/>
    <w:rsid w:val="009948AC"/>
    <w:rsid w:val="00997EF5"/>
    <w:rsid w:val="009A125C"/>
    <w:rsid w:val="009A1BB6"/>
    <w:rsid w:val="009A2B7D"/>
    <w:rsid w:val="009A47BB"/>
    <w:rsid w:val="009A544D"/>
    <w:rsid w:val="009A5AFC"/>
    <w:rsid w:val="009B56F6"/>
    <w:rsid w:val="009B6CBA"/>
    <w:rsid w:val="009C000E"/>
    <w:rsid w:val="009D37BB"/>
    <w:rsid w:val="009D5B30"/>
    <w:rsid w:val="009D743D"/>
    <w:rsid w:val="009E19C5"/>
    <w:rsid w:val="009F6D83"/>
    <w:rsid w:val="009F7BBF"/>
    <w:rsid w:val="00A02B01"/>
    <w:rsid w:val="00A05F3A"/>
    <w:rsid w:val="00A2762A"/>
    <w:rsid w:val="00A277A8"/>
    <w:rsid w:val="00A303F8"/>
    <w:rsid w:val="00A34B6E"/>
    <w:rsid w:val="00A40B88"/>
    <w:rsid w:val="00A41A0F"/>
    <w:rsid w:val="00A42BA3"/>
    <w:rsid w:val="00A43DEF"/>
    <w:rsid w:val="00A45DC2"/>
    <w:rsid w:val="00A47437"/>
    <w:rsid w:val="00A47C07"/>
    <w:rsid w:val="00A50BD0"/>
    <w:rsid w:val="00A5132C"/>
    <w:rsid w:val="00A5224B"/>
    <w:rsid w:val="00A55FA6"/>
    <w:rsid w:val="00A57A6A"/>
    <w:rsid w:val="00A61372"/>
    <w:rsid w:val="00A66043"/>
    <w:rsid w:val="00A765AA"/>
    <w:rsid w:val="00A766D2"/>
    <w:rsid w:val="00A858C0"/>
    <w:rsid w:val="00A85935"/>
    <w:rsid w:val="00A8731E"/>
    <w:rsid w:val="00A90D31"/>
    <w:rsid w:val="00A9145F"/>
    <w:rsid w:val="00A9372D"/>
    <w:rsid w:val="00AA1BF5"/>
    <w:rsid w:val="00AA2554"/>
    <w:rsid w:val="00AA2FC4"/>
    <w:rsid w:val="00AA47E5"/>
    <w:rsid w:val="00AA7287"/>
    <w:rsid w:val="00AA7D70"/>
    <w:rsid w:val="00AB0CF7"/>
    <w:rsid w:val="00AB102D"/>
    <w:rsid w:val="00AB24D3"/>
    <w:rsid w:val="00AB3EA2"/>
    <w:rsid w:val="00AB6356"/>
    <w:rsid w:val="00AC169E"/>
    <w:rsid w:val="00AC3E29"/>
    <w:rsid w:val="00AD71D3"/>
    <w:rsid w:val="00AD75CE"/>
    <w:rsid w:val="00AE5592"/>
    <w:rsid w:val="00AF16CA"/>
    <w:rsid w:val="00B019AE"/>
    <w:rsid w:val="00B04C30"/>
    <w:rsid w:val="00B121AD"/>
    <w:rsid w:val="00B12227"/>
    <w:rsid w:val="00B12E73"/>
    <w:rsid w:val="00B24DA5"/>
    <w:rsid w:val="00B2547B"/>
    <w:rsid w:val="00B2657E"/>
    <w:rsid w:val="00B30F12"/>
    <w:rsid w:val="00B33A3E"/>
    <w:rsid w:val="00B41681"/>
    <w:rsid w:val="00B616E6"/>
    <w:rsid w:val="00B66CEC"/>
    <w:rsid w:val="00B70F87"/>
    <w:rsid w:val="00B728EA"/>
    <w:rsid w:val="00B81932"/>
    <w:rsid w:val="00B8555A"/>
    <w:rsid w:val="00B877AB"/>
    <w:rsid w:val="00B878AC"/>
    <w:rsid w:val="00B95E91"/>
    <w:rsid w:val="00B974C7"/>
    <w:rsid w:val="00BB161C"/>
    <w:rsid w:val="00BB2A08"/>
    <w:rsid w:val="00BB2F9A"/>
    <w:rsid w:val="00BB524E"/>
    <w:rsid w:val="00BB5AA7"/>
    <w:rsid w:val="00BB5C32"/>
    <w:rsid w:val="00BC2549"/>
    <w:rsid w:val="00BC4E05"/>
    <w:rsid w:val="00BC4F2C"/>
    <w:rsid w:val="00BD14CF"/>
    <w:rsid w:val="00BD3940"/>
    <w:rsid w:val="00BD3BF6"/>
    <w:rsid w:val="00BE306D"/>
    <w:rsid w:val="00BE3F60"/>
    <w:rsid w:val="00BF5528"/>
    <w:rsid w:val="00C008D2"/>
    <w:rsid w:val="00C01D5C"/>
    <w:rsid w:val="00C10EC8"/>
    <w:rsid w:val="00C238EF"/>
    <w:rsid w:val="00C26931"/>
    <w:rsid w:val="00C33A8E"/>
    <w:rsid w:val="00C40BE4"/>
    <w:rsid w:val="00C417D2"/>
    <w:rsid w:val="00C45C5B"/>
    <w:rsid w:val="00C46DDF"/>
    <w:rsid w:val="00C51BB7"/>
    <w:rsid w:val="00C54685"/>
    <w:rsid w:val="00C567F1"/>
    <w:rsid w:val="00C72018"/>
    <w:rsid w:val="00C7717D"/>
    <w:rsid w:val="00C863F3"/>
    <w:rsid w:val="00C8B034"/>
    <w:rsid w:val="00CA4462"/>
    <w:rsid w:val="00CA7A06"/>
    <w:rsid w:val="00CB12FF"/>
    <w:rsid w:val="00CB19DF"/>
    <w:rsid w:val="00CB7C94"/>
    <w:rsid w:val="00CB7CD3"/>
    <w:rsid w:val="00CC0ECA"/>
    <w:rsid w:val="00CC1867"/>
    <w:rsid w:val="00CC4718"/>
    <w:rsid w:val="00CC67E5"/>
    <w:rsid w:val="00CD3F97"/>
    <w:rsid w:val="00CD4191"/>
    <w:rsid w:val="00CD5048"/>
    <w:rsid w:val="00CD63B7"/>
    <w:rsid w:val="00CD6585"/>
    <w:rsid w:val="00CD7FEE"/>
    <w:rsid w:val="00CE784E"/>
    <w:rsid w:val="00CF2772"/>
    <w:rsid w:val="00CF3C55"/>
    <w:rsid w:val="00CF44D9"/>
    <w:rsid w:val="00CF4956"/>
    <w:rsid w:val="00CF4F90"/>
    <w:rsid w:val="00CF6023"/>
    <w:rsid w:val="00CF723F"/>
    <w:rsid w:val="00D00B3D"/>
    <w:rsid w:val="00D0435D"/>
    <w:rsid w:val="00D05396"/>
    <w:rsid w:val="00D06508"/>
    <w:rsid w:val="00D06EE1"/>
    <w:rsid w:val="00D10D1D"/>
    <w:rsid w:val="00D1476A"/>
    <w:rsid w:val="00D14F7E"/>
    <w:rsid w:val="00D20EBA"/>
    <w:rsid w:val="00D2145F"/>
    <w:rsid w:val="00D24477"/>
    <w:rsid w:val="00D34880"/>
    <w:rsid w:val="00D41425"/>
    <w:rsid w:val="00D550A8"/>
    <w:rsid w:val="00D64D64"/>
    <w:rsid w:val="00D656BB"/>
    <w:rsid w:val="00D667E9"/>
    <w:rsid w:val="00D67D22"/>
    <w:rsid w:val="00D73864"/>
    <w:rsid w:val="00D7662C"/>
    <w:rsid w:val="00D83AF1"/>
    <w:rsid w:val="00D85A16"/>
    <w:rsid w:val="00D9076C"/>
    <w:rsid w:val="00DA0AFB"/>
    <w:rsid w:val="00DA0B3C"/>
    <w:rsid w:val="00DA32FE"/>
    <w:rsid w:val="00DB095C"/>
    <w:rsid w:val="00DB1EF3"/>
    <w:rsid w:val="00DB4013"/>
    <w:rsid w:val="00DB6602"/>
    <w:rsid w:val="00DC41CA"/>
    <w:rsid w:val="00DD0861"/>
    <w:rsid w:val="00DD131A"/>
    <w:rsid w:val="00DD1A79"/>
    <w:rsid w:val="00DD25EE"/>
    <w:rsid w:val="00DDBAB6"/>
    <w:rsid w:val="00DE0FB9"/>
    <w:rsid w:val="00DE73E9"/>
    <w:rsid w:val="00DF2EB5"/>
    <w:rsid w:val="00DF421B"/>
    <w:rsid w:val="00E03F38"/>
    <w:rsid w:val="00E10493"/>
    <w:rsid w:val="00E1658B"/>
    <w:rsid w:val="00E174BB"/>
    <w:rsid w:val="00E3244D"/>
    <w:rsid w:val="00E43E4B"/>
    <w:rsid w:val="00E44E0B"/>
    <w:rsid w:val="00E554CA"/>
    <w:rsid w:val="00E65B98"/>
    <w:rsid w:val="00E7292F"/>
    <w:rsid w:val="00E74D8E"/>
    <w:rsid w:val="00E75FD1"/>
    <w:rsid w:val="00E809EA"/>
    <w:rsid w:val="00E812B8"/>
    <w:rsid w:val="00E87F84"/>
    <w:rsid w:val="00E90DA1"/>
    <w:rsid w:val="00E92056"/>
    <w:rsid w:val="00EA0871"/>
    <w:rsid w:val="00EA22DE"/>
    <w:rsid w:val="00EA6055"/>
    <w:rsid w:val="00EA6885"/>
    <w:rsid w:val="00EB3176"/>
    <w:rsid w:val="00EB47F5"/>
    <w:rsid w:val="00EB74DC"/>
    <w:rsid w:val="00EC1330"/>
    <w:rsid w:val="00EC23B3"/>
    <w:rsid w:val="00EC2A8B"/>
    <w:rsid w:val="00EC32EB"/>
    <w:rsid w:val="00ED15A9"/>
    <w:rsid w:val="00ED37A2"/>
    <w:rsid w:val="00ED641D"/>
    <w:rsid w:val="00ED7025"/>
    <w:rsid w:val="00EE0AFF"/>
    <w:rsid w:val="00EE1363"/>
    <w:rsid w:val="00EE3724"/>
    <w:rsid w:val="00EE7024"/>
    <w:rsid w:val="00EE73C0"/>
    <w:rsid w:val="00EF7009"/>
    <w:rsid w:val="00F06702"/>
    <w:rsid w:val="00F06D3D"/>
    <w:rsid w:val="00F07A14"/>
    <w:rsid w:val="00F20784"/>
    <w:rsid w:val="00F23323"/>
    <w:rsid w:val="00F27C61"/>
    <w:rsid w:val="00F3397A"/>
    <w:rsid w:val="00F35023"/>
    <w:rsid w:val="00F35AD2"/>
    <w:rsid w:val="00F36F43"/>
    <w:rsid w:val="00F41281"/>
    <w:rsid w:val="00F413D1"/>
    <w:rsid w:val="00F4154A"/>
    <w:rsid w:val="00F44FD7"/>
    <w:rsid w:val="00F53020"/>
    <w:rsid w:val="00F557F9"/>
    <w:rsid w:val="00F559A9"/>
    <w:rsid w:val="00F607D5"/>
    <w:rsid w:val="00F732DB"/>
    <w:rsid w:val="00F7623D"/>
    <w:rsid w:val="00F764DB"/>
    <w:rsid w:val="00F80367"/>
    <w:rsid w:val="00F83EAA"/>
    <w:rsid w:val="00F943A3"/>
    <w:rsid w:val="00F94C8D"/>
    <w:rsid w:val="00F94E73"/>
    <w:rsid w:val="00FA4F8E"/>
    <w:rsid w:val="00FA6281"/>
    <w:rsid w:val="00FB4FAB"/>
    <w:rsid w:val="00FC24DF"/>
    <w:rsid w:val="00FC2588"/>
    <w:rsid w:val="00FC4E2B"/>
    <w:rsid w:val="00FC6B66"/>
    <w:rsid w:val="00FD11CD"/>
    <w:rsid w:val="00FD4D29"/>
    <w:rsid w:val="00FD7260"/>
    <w:rsid w:val="00FE0D90"/>
    <w:rsid w:val="00FE1E8E"/>
    <w:rsid w:val="00FE42CB"/>
    <w:rsid w:val="00FF1C15"/>
    <w:rsid w:val="00FF62F0"/>
    <w:rsid w:val="0106B333"/>
    <w:rsid w:val="013AD2DC"/>
    <w:rsid w:val="01C7398C"/>
    <w:rsid w:val="01F13E81"/>
    <w:rsid w:val="02875BFE"/>
    <w:rsid w:val="02D92D36"/>
    <w:rsid w:val="03BE0A89"/>
    <w:rsid w:val="03C52930"/>
    <w:rsid w:val="03E726DE"/>
    <w:rsid w:val="04CC6BFB"/>
    <w:rsid w:val="04DC3D98"/>
    <w:rsid w:val="0518BE7D"/>
    <w:rsid w:val="053458C7"/>
    <w:rsid w:val="05834F9B"/>
    <w:rsid w:val="05961B1D"/>
    <w:rsid w:val="05AD160A"/>
    <w:rsid w:val="05D77E5F"/>
    <w:rsid w:val="06562224"/>
    <w:rsid w:val="06809DFE"/>
    <w:rsid w:val="06976B65"/>
    <w:rsid w:val="06CFD3D9"/>
    <w:rsid w:val="06E4C6D3"/>
    <w:rsid w:val="072D53E3"/>
    <w:rsid w:val="0759F5EF"/>
    <w:rsid w:val="07D82805"/>
    <w:rsid w:val="080D0CAF"/>
    <w:rsid w:val="082E583B"/>
    <w:rsid w:val="0847E77F"/>
    <w:rsid w:val="0965B7CF"/>
    <w:rsid w:val="09C569BD"/>
    <w:rsid w:val="0A37949B"/>
    <w:rsid w:val="0A3EF69A"/>
    <w:rsid w:val="0AFFED8A"/>
    <w:rsid w:val="0B2908C5"/>
    <w:rsid w:val="0B6FDD3E"/>
    <w:rsid w:val="0BB52DE2"/>
    <w:rsid w:val="0C01C866"/>
    <w:rsid w:val="0C2A2284"/>
    <w:rsid w:val="0C49983B"/>
    <w:rsid w:val="0C56B26D"/>
    <w:rsid w:val="0CC5BE61"/>
    <w:rsid w:val="0D0A08A1"/>
    <w:rsid w:val="0D1145F8"/>
    <w:rsid w:val="0D27A476"/>
    <w:rsid w:val="0D73EC63"/>
    <w:rsid w:val="0E2D6DBC"/>
    <w:rsid w:val="0E44514B"/>
    <w:rsid w:val="0E502D96"/>
    <w:rsid w:val="0EA3580A"/>
    <w:rsid w:val="0EAF0A84"/>
    <w:rsid w:val="0F288C38"/>
    <w:rsid w:val="0F46CC9A"/>
    <w:rsid w:val="0F478A3B"/>
    <w:rsid w:val="0FC64B41"/>
    <w:rsid w:val="0FDB7994"/>
    <w:rsid w:val="0FEF187A"/>
    <w:rsid w:val="102E80F4"/>
    <w:rsid w:val="1032216D"/>
    <w:rsid w:val="10CAEEE7"/>
    <w:rsid w:val="117081E4"/>
    <w:rsid w:val="1193D92E"/>
    <w:rsid w:val="11B30F82"/>
    <w:rsid w:val="11CEFAF8"/>
    <w:rsid w:val="12095028"/>
    <w:rsid w:val="12503A8D"/>
    <w:rsid w:val="12877BB0"/>
    <w:rsid w:val="138CB030"/>
    <w:rsid w:val="13C34F81"/>
    <w:rsid w:val="13ED519C"/>
    <w:rsid w:val="14723F89"/>
    <w:rsid w:val="152C14BB"/>
    <w:rsid w:val="155A9D90"/>
    <w:rsid w:val="15DA1A01"/>
    <w:rsid w:val="15E99E48"/>
    <w:rsid w:val="16CC5A59"/>
    <w:rsid w:val="179C39F2"/>
    <w:rsid w:val="17A15C7E"/>
    <w:rsid w:val="17B22DB3"/>
    <w:rsid w:val="1899B8E1"/>
    <w:rsid w:val="190DB529"/>
    <w:rsid w:val="19635C39"/>
    <w:rsid w:val="197201B9"/>
    <w:rsid w:val="197F22F2"/>
    <w:rsid w:val="19A32025"/>
    <w:rsid w:val="19ED409F"/>
    <w:rsid w:val="1A229705"/>
    <w:rsid w:val="1AD52F99"/>
    <w:rsid w:val="1C974A59"/>
    <w:rsid w:val="1CA38A94"/>
    <w:rsid w:val="1CA8A581"/>
    <w:rsid w:val="1CBFF466"/>
    <w:rsid w:val="1D98CC14"/>
    <w:rsid w:val="1DA28DF0"/>
    <w:rsid w:val="1DA9AE7A"/>
    <w:rsid w:val="1DC48EE5"/>
    <w:rsid w:val="1DD86F3A"/>
    <w:rsid w:val="1DF71AA4"/>
    <w:rsid w:val="1E202F25"/>
    <w:rsid w:val="1E448FB3"/>
    <w:rsid w:val="1E486575"/>
    <w:rsid w:val="1EBACC4A"/>
    <w:rsid w:val="1F24694D"/>
    <w:rsid w:val="1F3A30BA"/>
    <w:rsid w:val="1F435B89"/>
    <w:rsid w:val="1F670B6E"/>
    <w:rsid w:val="1F9CEC25"/>
    <w:rsid w:val="20BE485B"/>
    <w:rsid w:val="20C7BB0E"/>
    <w:rsid w:val="20EEF319"/>
    <w:rsid w:val="20FB42E4"/>
    <w:rsid w:val="212DE8FF"/>
    <w:rsid w:val="225F20E8"/>
    <w:rsid w:val="22F5B164"/>
    <w:rsid w:val="231813EF"/>
    <w:rsid w:val="23428DE1"/>
    <w:rsid w:val="2353A0C8"/>
    <w:rsid w:val="23A2EC77"/>
    <w:rsid w:val="23B88905"/>
    <w:rsid w:val="23D1AC88"/>
    <w:rsid w:val="23D21B1F"/>
    <w:rsid w:val="24BDDD44"/>
    <w:rsid w:val="24E3ED01"/>
    <w:rsid w:val="24EC579A"/>
    <w:rsid w:val="2539408B"/>
    <w:rsid w:val="25F76222"/>
    <w:rsid w:val="26B15168"/>
    <w:rsid w:val="27519B98"/>
    <w:rsid w:val="27798C05"/>
    <w:rsid w:val="2888A042"/>
    <w:rsid w:val="289FDF31"/>
    <w:rsid w:val="2974B8C1"/>
    <w:rsid w:val="29BC83B8"/>
    <w:rsid w:val="29E0459F"/>
    <w:rsid w:val="29F7B44B"/>
    <w:rsid w:val="2A191BB8"/>
    <w:rsid w:val="2A1C8CAE"/>
    <w:rsid w:val="2A596535"/>
    <w:rsid w:val="2AF8210C"/>
    <w:rsid w:val="2B483E8E"/>
    <w:rsid w:val="2B4B5F41"/>
    <w:rsid w:val="2B9B74BE"/>
    <w:rsid w:val="2C30C91F"/>
    <w:rsid w:val="2C56EE52"/>
    <w:rsid w:val="2C5D75BA"/>
    <w:rsid w:val="2C8C7902"/>
    <w:rsid w:val="2CA324A3"/>
    <w:rsid w:val="2D335132"/>
    <w:rsid w:val="2D4BFCCF"/>
    <w:rsid w:val="2D7B191B"/>
    <w:rsid w:val="2DC830FC"/>
    <w:rsid w:val="2DD88B1D"/>
    <w:rsid w:val="2E6299A6"/>
    <w:rsid w:val="2EB231B2"/>
    <w:rsid w:val="2F104204"/>
    <w:rsid w:val="2F7CECAB"/>
    <w:rsid w:val="2FE9E564"/>
    <w:rsid w:val="30411D4F"/>
    <w:rsid w:val="305669AC"/>
    <w:rsid w:val="3069C384"/>
    <w:rsid w:val="307D8E6F"/>
    <w:rsid w:val="3093899A"/>
    <w:rsid w:val="309C4347"/>
    <w:rsid w:val="30EBE381"/>
    <w:rsid w:val="31F00B08"/>
    <w:rsid w:val="32197F4C"/>
    <w:rsid w:val="32A9F3F8"/>
    <w:rsid w:val="330DC1BA"/>
    <w:rsid w:val="332FB0DD"/>
    <w:rsid w:val="333B8704"/>
    <w:rsid w:val="3368A38B"/>
    <w:rsid w:val="33C50F65"/>
    <w:rsid w:val="33D82AB7"/>
    <w:rsid w:val="3425FB2B"/>
    <w:rsid w:val="34959618"/>
    <w:rsid w:val="350F501F"/>
    <w:rsid w:val="3556441C"/>
    <w:rsid w:val="357B9253"/>
    <w:rsid w:val="36992675"/>
    <w:rsid w:val="36FC06BF"/>
    <w:rsid w:val="37572DF4"/>
    <w:rsid w:val="37903951"/>
    <w:rsid w:val="380C66AD"/>
    <w:rsid w:val="382134CF"/>
    <w:rsid w:val="385C5B18"/>
    <w:rsid w:val="38788C96"/>
    <w:rsid w:val="38B4187F"/>
    <w:rsid w:val="38B89F12"/>
    <w:rsid w:val="390C0C9E"/>
    <w:rsid w:val="3A480C88"/>
    <w:rsid w:val="3AB988F8"/>
    <w:rsid w:val="3ACB5812"/>
    <w:rsid w:val="3ADDDF95"/>
    <w:rsid w:val="3AE354F1"/>
    <w:rsid w:val="3B23AD31"/>
    <w:rsid w:val="3B452225"/>
    <w:rsid w:val="3B633497"/>
    <w:rsid w:val="3C02FF90"/>
    <w:rsid w:val="3C03B27E"/>
    <w:rsid w:val="3C212099"/>
    <w:rsid w:val="3C40965E"/>
    <w:rsid w:val="3C433C53"/>
    <w:rsid w:val="3C5D2AD9"/>
    <w:rsid w:val="3CB7B0F5"/>
    <w:rsid w:val="3CF8234B"/>
    <w:rsid w:val="3D1F3EF0"/>
    <w:rsid w:val="3D483F53"/>
    <w:rsid w:val="3DBE34FD"/>
    <w:rsid w:val="3DE8E57F"/>
    <w:rsid w:val="3E50F627"/>
    <w:rsid w:val="3E754CE8"/>
    <w:rsid w:val="3F10B85F"/>
    <w:rsid w:val="403912DE"/>
    <w:rsid w:val="40469E3F"/>
    <w:rsid w:val="405871EB"/>
    <w:rsid w:val="40C289A6"/>
    <w:rsid w:val="4234833B"/>
    <w:rsid w:val="42DA0CAE"/>
    <w:rsid w:val="432AB7AE"/>
    <w:rsid w:val="43495227"/>
    <w:rsid w:val="435A9A65"/>
    <w:rsid w:val="43B7C8FF"/>
    <w:rsid w:val="44198481"/>
    <w:rsid w:val="452FBD5D"/>
    <w:rsid w:val="45AA90BB"/>
    <w:rsid w:val="45F25647"/>
    <w:rsid w:val="45FE85BB"/>
    <w:rsid w:val="4685954B"/>
    <w:rsid w:val="4704F06C"/>
    <w:rsid w:val="47A4337E"/>
    <w:rsid w:val="47DDFF75"/>
    <w:rsid w:val="47E5692D"/>
    <w:rsid w:val="481E3964"/>
    <w:rsid w:val="489AEC22"/>
    <w:rsid w:val="48DEF710"/>
    <w:rsid w:val="493DD816"/>
    <w:rsid w:val="49AAE6C2"/>
    <w:rsid w:val="4A3175B1"/>
    <w:rsid w:val="4A8F5835"/>
    <w:rsid w:val="4B19B960"/>
    <w:rsid w:val="4B2122B6"/>
    <w:rsid w:val="4B21287D"/>
    <w:rsid w:val="4B41BC0E"/>
    <w:rsid w:val="4B442825"/>
    <w:rsid w:val="4C2CDC42"/>
    <w:rsid w:val="4C40151D"/>
    <w:rsid w:val="4C4E2AFE"/>
    <w:rsid w:val="4C55F481"/>
    <w:rsid w:val="4C999E15"/>
    <w:rsid w:val="4CF3714C"/>
    <w:rsid w:val="4DB28934"/>
    <w:rsid w:val="4E98EF00"/>
    <w:rsid w:val="4E9DC376"/>
    <w:rsid w:val="4EEB52C7"/>
    <w:rsid w:val="4F72F010"/>
    <w:rsid w:val="4FEA9754"/>
    <w:rsid w:val="5020A671"/>
    <w:rsid w:val="50981EBB"/>
    <w:rsid w:val="509AFE64"/>
    <w:rsid w:val="50C66085"/>
    <w:rsid w:val="50DBBB3B"/>
    <w:rsid w:val="50FF338A"/>
    <w:rsid w:val="519F9C78"/>
    <w:rsid w:val="51A69DA0"/>
    <w:rsid w:val="52573178"/>
    <w:rsid w:val="52606F7B"/>
    <w:rsid w:val="52C68F0D"/>
    <w:rsid w:val="53456A34"/>
    <w:rsid w:val="537B5BB8"/>
    <w:rsid w:val="53973A28"/>
    <w:rsid w:val="53F5C86E"/>
    <w:rsid w:val="5449F7AE"/>
    <w:rsid w:val="545A9FED"/>
    <w:rsid w:val="54684F79"/>
    <w:rsid w:val="547B9BA9"/>
    <w:rsid w:val="55B71123"/>
    <w:rsid w:val="55C77FD6"/>
    <w:rsid w:val="55FDFF18"/>
    <w:rsid w:val="56339B97"/>
    <w:rsid w:val="565C3996"/>
    <w:rsid w:val="566470DE"/>
    <w:rsid w:val="5668CB26"/>
    <w:rsid w:val="56690759"/>
    <w:rsid w:val="566CEB0D"/>
    <w:rsid w:val="56C5696A"/>
    <w:rsid w:val="56CDB9E2"/>
    <w:rsid w:val="57249F49"/>
    <w:rsid w:val="582D179D"/>
    <w:rsid w:val="5858CBA4"/>
    <w:rsid w:val="585A448F"/>
    <w:rsid w:val="58712A8E"/>
    <w:rsid w:val="587D348B"/>
    <w:rsid w:val="5892E3F3"/>
    <w:rsid w:val="593B0779"/>
    <w:rsid w:val="5963A233"/>
    <w:rsid w:val="599BE325"/>
    <w:rsid w:val="59B3AC6A"/>
    <w:rsid w:val="59F793AC"/>
    <w:rsid w:val="5A2FB5DA"/>
    <w:rsid w:val="5A3ABBFC"/>
    <w:rsid w:val="5A7E4D44"/>
    <w:rsid w:val="5ADB3432"/>
    <w:rsid w:val="5AFC6AF1"/>
    <w:rsid w:val="5B714C5D"/>
    <w:rsid w:val="5BCFE5D2"/>
    <w:rsid w:val="5C3B61B1"/>
    <w:rsid w:val="5C4D05F4"/>
    <w:rsid w:val="5C4EEBE5"/>
    <w:rsid w:val="5CCC54EA"/>
    <w:rsid w:val="5CCDC3CB"/>
    <w:rsid w:val="5D5D000F"/>
    <w:rsid w:val="5D78CD2E"/>
    <w:rsid w:val="5D7FCE4B"/>
    <w:rsid w:val="5DA63FA3"/>
    <w:rsid w:val="5DA85197"/>
    <w:rsid w:val="5DADC59F"/>
    <w:rsid w:val="5DAE7297"/>
    <w:rsid w:val="5DE0EC1E"/>
    <w:rsid w:val="5DEF8E92"/>
    <w:rsid w:val="5E55FE0A"/>
    <w:rsid w:val="5E8A11D0"/>
    <w:rsid w:val="5EA92DC9"/>
    <w:rsid w:val="5EE51C0D"/>
    <w:rsid w:val="5F3119F4"/>
    <w:rsid w:val="5F37E5A7"/>
    <w:rsid w:val="5F436158"/>
    <w:rsid w:val="5F64572F"/>
    <w:rsid w:val="5FEF5C81"/>
    <w:rsid w:val="6031656C"/>
    <w:rsid w:val="60D96E3B"/>
    <w:rsid w:val="60EB3C3A"/>
    <w:rsid w:val="611E4970"/>
    <w:rsid w:val="616E11B8"/>
    <w:rsid w:val="617F4516"/>
    <w:rsid w:val="624C0BB4"/>
    <w:rsid w:val="624C9EF5"/>
    <w:rsid w:val="62C251B7"/>
    <w:rsid w:val="62CAFFF9"/>
    <w:rsid w:val="62DB7BB3"/>
    <w:rsid w:val="6398A751"/>
    <w:rsid w:val="63BAA0B6"/>
    <w:rsid w:val="63C595AE"/>
    <w:rsid w:val="6410B327"/>
    <w:rsid w:val="642D2543"/>
    <w:rsid w:val="646E797F"/>
    <w:rsid w:val="646FE0D6"/>
    <w:rsid w:val="64932114"/>
    <w:rsid w:val="64ADC3F1"/>
    <w:rsid w:val="64E5472E"/>
    <w:rsid w:val="64F72BB9"/>
    <w:rsid w:val="6549C2F1"/>
    <w:rsid w:val="65990A1B"/>
    <w:rsid w:val="65C3066F"/>
    <w:rsid w:val="6649CEFF"/>
    <w:rsid w:val="6675FB37"/>
    <w:rsid w:val="668174D8"/>
    <w:rsid w:val="66D64C44"/>
    <w:rsid w:val="66F14B9F"/>
    <w:rsid w:val="675390AC"/>
    <w:rsid w:val="67784935"/>
    <w:rsid w:val="680BB934"/>
    <w:rsid w:val="680D916E"/>
    <w:rsid w:val="687BAD53"/>
    <w:rsid w:val="6911600E"/>
    <w:rsid w:val="69402D57"/>
    <w:rsid w:val="69DD47FE"/>
    <w:rsid w:val="6A7F54A8"/>
    <w:rsid w:val="6A9BE5B4"/>
    <w:rsid w:val="6AD80134"/>
    <w:rsid w:val="6B5EA78E"/>
    <w:rsid w:val="6BD411D0"/>
    <w:rsid w:val="6BEB6EFB"/>
    <w:rsid w:val="6C04D6B7"/>
    <w:rsid w:val="6CFE0292"/>
    <w:rsid w:val="6D210B8C"/>
    <w:rsid w:val="6D4095E8"/>
    <w:rsid w:val="6D66BA63"/>
    <w:rsid w:val="6D808D18"/>
    <w:rsid w:val="6D934E1B"/>
    <w:rsid w:val="6DD80016"/>
    <w:rsid w:val="6DDA9BC0"/>
    <w:rsid w:val="6E88CB89"/>
    <w:rsid w:val="6EA05528"/>
    <w:rsid w:val="6F09D57B"/>
    <w:rsid w:val="6FCC2473"/>
    <w:rsid w:val="70B03011"/>
    <w:rsid w:val="714FF0E7"/>
    <w:rsid w:val="7265BE4A"/>
    <w:rsid w:val="7291D7DF"/>
    <w:rsid w:val="72B9E4D1"/>
    <w:rsid w:val="72CC5591"/>
    <w:rsid w:val="733FF9D6"/>
    <w:rsid w:val="7369BF3B"/>
    <w:rsid w:val="737FEA5D"/>
    <w:rsid w:val="73EDCE15"/>
    <w:rsid w:val="740AF735"/>
    <w:rsid w:val="75012A31"/>
    <w:rsid w:val="75E58C97"/>
    <w:rsid w:val="75E7B0A9"/>
    <w:rsid w:val="760CCBFF"/>
    <w:rsid w:val="76DC3B65"/>
    <w:rsid w:val="77541CC0"/>
    <w:rsid w:val="77A2A877"/>
    <w:rsid w:val="77F53A36"/>
    <w:rsid w:val="78016439"/>
    <w:rsid w:val="78218857"/>
    <w:rsid w:val="783BE14A"/>
    <w:rsid w:val="784A54D1"/>
    <w:rsid w:val="785F2016"/>
    <w:rsid w:val="7893CA6A"/>
    <w:rsid w:val="78FEB0D4"/>
    <w:rsid w:val="79C8997F"/>
    <w:rsid w:val="7A4878E8"/>
    <w:rsid w:val="7A6E8C17"/>
    <w:rsid w:val="7AAC7B81"/>
    <w:rsid w:val="7B463D05"/>
    <w:rsid w:val="7B8E0EDA"/>
    <w:rsid w:val="7BB46FA5"/>
    <w:rsid w:val="7BCCBF62"/>
    <w:rsid w:val="7BD6085E"/>
    <w:rsid w:val="7C495146"/>
    <w:rsid w:val="7C5DC402"/>
    <w:rsid w:val="7C6A43C6"/>
    <w:rsid w:val="7C84344F"/>
    <w:rsid w:val="7CF8D8D9"/>
    <w:rsid w:val="7D4C5A54"/>
    <w:rsid w:val="7DDC98F2"/>
    <w:rsid w:val="7DEA29B2"/>
    <w:rsid w:val="7E6C8DA9"/>
    <w:rsid w:val="7E9AB17A"/>
    <w:rsid w:val="7EAD2C00"/>
    <w:rsid w:val="7ED42C45"/>
    <w:rsid w:val="7ED5D1FF"/>
    <w:rsid w:val="7F17F58A"/>
    <w:rsid w:val="7F76B980"/>
    <w:rsid w:val="7F861F09"/>
    <w:rsid w:val="7FA065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BFA612"/>
  <w15:chartTrackingRefBased/>
  <w15:docId w15:val="{F732F7F4-2355-4747-98E4-6C1C16C77C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t-B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1AD6"/>
    <w:pPr>
      <w:spacing w:line="259" w:lineRule="auto"/>
    </w:pPr>
    <w:rPr>
      <w:kern w:val="0"/>
      <w:sz w:val="22"/>
      <w:szCs w:val="22"/>
      <w14:ligatures w14:val="none"/>
    </w:rPr>
  </w:style>
  <w:style w:type="paragraph" w:styleId="Ttulo1">
    <w:name w:val="heading 1"/>
    <w:basedOn w:val="Normal"/>
    <w:next w:val="Normal"/>
    <w:link w:val="Ttulo1Char"/>
    <w:uiPriority w:val="9"/>
    <w:qFormat/>
    <w:rsid w:val="00641AD6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641AD6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641AD6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641AD6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641AD6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641AD6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641AD6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641AD6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641AD6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641AD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641AD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641AD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641AD6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641AD6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641AD6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641AD6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641AD6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641AD6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641AD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tuloChar">
    <w:name w:val="Título Char"/>
    <w:basedOn w:val="Fontepargpadro"/>
    <w:link w:val="Ttulo"/>
    <w:uiPriority w:val="10"/>
    <w:rsid w:val="00641AD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1AD6"/>
    <w:pPr>
      <w:numPr>
        <w:ilvl w:val="1"/>
      </w:numPr>
      <w:spacing w:line="278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tuloChar">
    <w:name w:val="Subtítulo Char"/>
    <w:basedOn w:val="Fontepargpadro"/>
    <w:link w:val="Subttulo"/>
    <w:uiPriority w:val="11"/>
    <w:rsid w:val="00641AD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641AD6"/>
    <w:pPr>
      <w:spacing w:before="160" w:line="278" w:lineRule="auto"/>
      <w:jc w:val="center"/>
    </w:pPr>
    <w:rPr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CitaoChar">
    <w:name w:val="Citação Char"/>
    <w:basedOn w:val="Fontepargpadro"/>
    <w:link w:val="Citao"/>
    <w:uiPriority w:val="29"/>
    <w:rsid w:val="00641AD6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641AD6"/>
    <w:pPr>
      <w:spacing w:line="278" w:lineRule="auto"/>
      <w:ind w:left="720"/>
      <w:contextualSpacing/>
    </w:pPr>
    <w:rPr>
      <w:kern w:val="2"/>
      <w:sz w:val="24"/>
      <w:szCs w:val="24"/>
      <w14:ligatures w14:val="standardContextual"/>
    </w:rPr>
  </w:style>
  <w:style w:type="character" w:styleId="nfaseIntensa">
    <w:name w:val="Intense Emphasis"/>
    <w:basedOn w:val="Fontepargpadro"/>
    <w:uiPriority w:val="21"/>
    <w:qFormat/>
    <w:rsid w:val="00641AD6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641AD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641AD6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641AD6"/>
    <w:rPr>
      <w:b/>
      <w:bCs/>
      <w:smallCaps/>
      <w:color w:val="0F4761" w:themeColor="accent1" w:themeShade="BF"/>
      <w:spacing w:val="5"/>
    </w:rPr>
  </w:style>
  <w:style w:type="table" w:styleId="Tabelacomgrade">
    <w:name w:val="Table Grid"/>
    <w:basedOn w:val="Tabelanormal"/>
    <w:uiPriority w:val="39"/>
    <w:rsid w:val="00641AD6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texto">
    <w:name w:val="Body Text"/>
    <w:basedOn w:val="Normal"/>
    <w:link w:val="CorpodetextoChar"/>
    <w:uiPriority w:val="1"/>
    <w:qFormat/>
    <w:rsid w:val="00641AD6"/>
    <w:pPr>
      <w:widowControl w:val="0"/>
      <w:autoSpaceDE w:val="0"/>
      <w:autoSpaceDN w:val="0"/>
      <w:spacing w:after="0" w:line="240" w:lineRule="auto"/>
      <w:ind w:left="220" w:firstLine="1417"/>
    </w:pPr>
    <w:rPr>
      <w:rFonts w:ascii="Calibri" w:eastAsia="Calibri" w:hAnsi="Calibri" w:cs="Calibri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641AD6"/>
    <w:rPr>
      <w:rFonts w:ascii="Calibri" w:eastAsia="Calibri" w:hAnsi="Calibri" w:cs="Calibri"/>
      <w:kern w:val="0"/>
      <w:lang w:val="pt-PT"/>
      <w14:ligatures w14:val="none"/>
    </w:rPr>
  </w:style>
  <w:style w:type="paragraph" w:styleId="Cabealho">
    <w:name w:val="header"/>
    <w:basedOn w:val="Normal"/>
    <w:link w:val="CabealhoChar"/>
    <w:uiPriority w:val="99"/>
    <w:unhideWhenUsed/>
    <w:rsid w:val="00127DC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27DCC"/>
    <w:rPr>
      <w:kern w:val="0"/>
      <w:sz w:val="22"/>
      <w:szCs w:val="22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127DC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27DCC"/>
    <w:rPr>
      <w:kern w:val="0"/>
      <w:sz w:val="22"/>
      <w:szCs w:val="22"/>
      <w14:ligatures w14:val="none"/>
    </w:rPr>
  </w:style>
  <w:style w:type="paragraph" w:customStyle="1" w:styleId="textojustificado">
    <w:name w:val="texto_justificado"/>
    <w:basedOn w:val="Normal"/>
    <w:rsid w:val="0099235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396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19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6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8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26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20/10/relationships/intelligence" Target="intelligence2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1F396758AD8B14180D5DC88C0F4E17A" ma:contentTypeVersion="15" ma:contentTypeDescription="Crie um novo documento." ma:contentTypeScope="" ma:versionID="4203ab2bba964bc9a06286aef7b1f7fb">
  <xsd:schema xmlns:xsd="http://www.w3.org/2001/XMLSchema" xmlns:xs="http://www.w3.org/2001/XMLSchema" xmlns:p="http://schemas.microsoft.com/office/2006/metadata/properties" xmlns:ns3="36514204-60b6-49bf-93dd-e2c25e0a8d37" xmlns:ns4="5c67f874-4d47-421e-9f1b-d78efa6db140" targetNamespace="http://schemas.microsoft.com/office/2006/metadata/properties" ma:root="true" ma:fieldsID="e6cfae4207f0c8780c6bdcb5247d56d0" ns3:_="" ns4:_="">
    <xsd:import namespace="36514204-60b6-49bf-93dd-e2c25e0a8d37"/>
    <xsd:import namespace="5c67f874-4d47-421e-9f1b-d78efa6db14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DateTaken" minOccurs="0"/>
                <xsd:element ref="ns3:MediaServiceSearchProperties" minOccurs="0"/>
                <xsd:element ref="ns3:_activity" minOccurs="0"/>
                <xsd:element ref="ns3:MediaServiceSystem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514204-60b6-49bf-93dd-e2c25e0a8d3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8" nillable="true" ma:displayName="_activity" ma:hidden="true" ma:internalName="_activity">
      <xsd:simpleType>
        <xsd:restriction base="dms:Note"/>
      </xsd:simpleType>
    </xsd:element>
    <xsd:element name="MediaServiceSystemTags" ma:index="19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67f874-4d47-421e-9f1b-d78efa6db14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Hash de Dica de Compartilhamento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36514204-60b6-49bf-93dd-e2c25e0a8d37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5979C9-2017-47AB-AB72-E5F566BFFB5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514204-60b6-49bf-93dd-e2c25e0a8d37"/>
    <ds:schemaRef ds:uri="5c67f874-4d47-421e-9f1b-d78efa6db14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BF19877-686D-4021-8222-5A8C9050CFC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EFEE2A7-8B4F-4633-9A7B-4FFF267E81E6}">
  <ds:schemaRefs>
    <ds:schemaRef ds:uri="http://schemas.microsoft.com/office/2006/metadata/properties"/>
    <ds:schemaRef ds:uri="http://schemas.microsoft.com/office/infopath/2007/PartnerControls"/>
    <ds:schemaRef ds:uri="36514204-60b6-49bf-93dd-e2c25e0a8d37"/>
  </ds:schemaRefs>
</ds:datastoreItem>
</file>

<file path=customXml/itemProps4.xml><?xml version="1.0" encoding="utf-8"?>
<ds:datastoreItem xmlns:ds="http://schemas.openxmlformats.org/officeDocument/2006/customXml" ds:itemID="{BF46A444-9FED-45CB-9A61-BFC57D69EC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31</Pages>
  <Words>5972</Words>
  <Characters>32251</Characters>
  <Application>Microsoft Office Word</Application>
  <DocSecurity>0</DocSecurity>
  <Lines>268</Lines>
  <Paragraphs>76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Elizabeth Ashton de Araujo - PREVICDF</dc:creator>
  <cp:keywords/>
  <dc:description/>
  <cp:lastModifiedBy>Claudia Elizabeth Ashton de Araujo - PREVICDF</cp:lastModifiedBy>
  <cp:revision>4</cp:revision>
  <dcterms:created xsi:type="dcterms:W3CDTF">2025-08-29T15:13:00Z</dcterms:created>
  <dcterms:modified xsi:type="dcterms:W3CDTF">2025-08-29T18:31:00Z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0x010100F1F396758AD8B14180D5DC88C0F4E17A</vt:lpwstr>
  </property>
</Properties>
</file>