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comgrade"/>
        <w:tblW w:w="5000" w:type="pct"/>
        <w:tblLayout w:type="fixed"/>
        <w:tblLook w:val="04A0" w:firstRow="1" w:lastRow="0" w:firstColumn="1" w:lastColumn="0" w:noHBand="0" w:noVBand="1"/>
      </w:tblPr>
      <w:tblGrid>
        <w:gridCol w:w="3597"/>
        <w:gridCol w:w="3597"/>
        <w:gridCol w:w="3598"/>
        <w:gridCol w:w="3598"/>
      </w:tblGrid>
      <w:tr w:rsidR="009139A5" w:rsidRPr="002C1A2C" w14:paraId="0245B74C" w14:textId="18AF02C5" w:rsidTr="7DE461B5">
        <w:trPr>
          <w:trHeight w:val="300"/>
        </w:trPr>
        <w:tc>
          <w:tcPr>
            <w:tcW w:w="1250" w:type="pct"/>
            <w:vAlign w:val="center"/>
          </w:tcPr>
          <w:p w14:paraId="1AF4BE7A" w14:textId="4B684B61"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REDAÇÃO ORIGINAL</w:t>
            </w:r>
          </w:p>
        </w:tc>
        <w:tc>
          <w:tcPr>
            <w:tcW w:w="1250" w:type="pct"/>
            <w:vAlign w:val="center"/>
          </w:tcPr>
          <w:p w14:paraId="3A3BFE33" w14:textId="7B209BDB"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REDAÇÃO PROPOSTA</w:t>
            </w:r>
          </w:p>
        </w:tc>
        <w:tc>
          <w:tcPr>
            <w:tcW w:w="1250" w:type="pct"/>
            <w:vAlign w:val="center"/>
          </w:tcPr>
          <w:p w14:paraId="2A93C6FE" w14:textId="727DFE03"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JUSTIFICATIVA</w:t>
            </w:r>
          </w:p>
        </w:tc>
        <w:tc>
          <w:tcPr>
            <w:tcW w:w="1250" w:type="pct"/>
          </w:tcPr>
          <w:p w14:paraId="6E490FE0" w14:textId="77777777" w:rsidR="009139A5" w:rsidRPr="002C1A2C" w:rsidRDefault="009139A5" w:rsidP="009139A5">
            <w:pPr>
              <w:spacing w:line="257" w:lineRule="auto"/>
              <w:jc w:val="center"/>
              <w:rPr>
                <w:rFonts w:asciiTheme="majorHAnsi" w:eastAsia="Calibri" w:hAnsiTheme="majorHAnsi" w:cstheme="majorHAnsi"/>
                <w:b/>
                <w:bCs/>
                <w:sz w:val="24"/>
                <w:szCs w:val="24"/>
              </w:rPr>
            </w:pPr>
            <w:r w:rsidRPr="002C1A2C">
              <w:rPr>
                <w:rFonts w:asciiTheme="majorHAnsi" w:eastAsia="Calibri" w:hAnsiTheme="majorHAnsi" w:cstheme="majorHAnsi"/>
                <w:b/>
                <w:bCs/>
                <w:sz w:val="24"/>
                <w:szCs w:val="24"/>
              </w:rPr>
              <w:t>FUNDAMENTAÇÃO DE AIR</w:t>
            </w:r>
          </w:p>
          <w:p w14:paraId="3488602B" w14:textId="03F2F67F" w:rsidR="009139A5" w:rsidRPr="002C1A2C" w:rsidRDefault="009139A5" w:rsidP="009139A5">
            <w:pPr>
              <w:spacing w:line="257" w:lineRule="auto"/>
              <w:jc w:val="center"/>
              <w:rPr>
                <w:rFonts w:asciiTheme="majorHAnsi" w:eastAsia="Calibri" w:hAnsiTheme="majorHAnsi" w:cstheme="majorHAnsi"/>
                <w:b/>
                <w:bCs/>
                <w:sz w:val="24"/>
                <w:szCs w:val="24"/>
              </w:rPr>
            </w:pPr>
            <w:r w:rsidRPr="002C1A2C">
              <w:rPr>
                <w:rFonts w:asciiTheme="majorHAnsi" w:eastAsia="Calibri" w:hAnsiTheme="majorHAnsi" w:cstheme="majorHAnsi"/>
                <w:b/>
                <w:bCs/>
                <w:sz w:val="24"/>
                <w:szCs w:val="24"/>
              </w:rPr>
              <w:t>DECRETO Nº 10411, DE 2020</w:t>
            </w:r>
          </w:p>
        </w:tc>
      </w:tr>
      <w:tr w:rsidR="009139A5" w:rsidRPr="002C1A2C" w14:paraId="1E67FBC3" w14:textId="7B3F3F5D" w:rsidTr="7DE461B5">
        <w:trPr>
          <w:trHeight w:val="300"/>
        </w:trPr>
        <w:tc>
          <w:tcPr>
            <w:tcW w:w="1250" w:type="pct"/>
          </w:tcPr>
          <w:p w14:paraId="2DF3393E" w14:textId="55E3CF9C" w:rsidR="009139A5" w:rsidRPr="002C1A2C" w:rsidRDefault="009139A5" w:rsidP="009139A5">
            <w:pPr>
              <w:spacing w:line="360" w:lineRule="auto"/>
              <w:jc w:val="center"/>
              <w:rPr>
                <w:rFonts w:asciiTheme="majorHAnsi" w:hAnsiTheme="majorHAnsi" w:cstheme="majorHAnsi"/>
                <w:sz w:val="24"/>
                <w:szCs w:val="24"/>
              </w:rPr>
            </w:pPr>
            <w:r w:rsidRPr="002C1A2C">
              <w:rPr>
                <w:rFonts w:asciiTheme="majorHAnsi" w:hAnsiTheme="majorHAnsi" w:cstheme="majorHAnsi"/>
                <w:sz w:val="24"/>
                <w:szCs w:val="24"/>
              </w:rPr>
              <w:t>CAPÍTULO VI</w:t>
            </w:r>
          </w:p>
          <w:p w14:paraId="6523D1CC" w14:textId="7EC385DC" w:rsidR="009139A5" w:rsidRPr="002C1A2C" w:rsidRDefault="009139A5" w:rsidP="009139A5">
            <w:pPr>
              <w:spacing w:line="360" w:lineRule="auto"/>
              <w:jc w:val="center"/>
              <w:rPr>
                <w:rFonts w:asciiTheme="majorHAnsi" w:hAnsiTheme="majorHAnsi" w:cstheme="majorHAnsi"/>
                <w:sz w:val="24"/>
                <w:szCs w:val="24"/>
              </w:rPr>
            </w:pPr>
            <w:r w:rsidRPr="002C1A2C">
              <w:rPr>
                <w:rFonts w:asciiTheme="majorHAnsi" w:hAnsiTheme="majorHAnsi" w:cstheme="majorHAnsi"/>
                <w:sz w:val="24"/>
                <w:szCs w:val="24"/>
              </w:rPr>
              <w:t>DAS REGRAS DE INVESTIMENTOS</w:t>
            </w:r>
          </w:p>
        </w:tc>
        <w:tc>
          <w:tcPr>
            <w:tcW w:w="1250" w:type="pct"/>
          </w:tcPr>
          <w:p w14:paraId="18303DC0" w14:textId="1FA081AB" w:rsidR="009139A5" w:rsidRPr="002C1A2C" w:rsidRDefault="009139A5" w:rsidP="009139A5">
            <w:pPr>
              <w:spacing w:line="360" w:lineRule="auto"/>
              <w:jc w:val="center"/>
              <w:rPr>
                <w:rFonts w:asciiTheme="majorHAnsi" w:hAnsiTheme="majorHAnsi" w:cstheme="majorHAnsi"/>
                <w:sz w:val="24"/>
                <w:szCs w:val="24"/>
              </w:rPr>
            </w:pPr>
            <w:r w:rsidRPr="002C1A2C">
              <w:rPr>
                <w:rFonts w:asciiTheme="majorHAnsi" w:hAnsiTheme="majorHAnsi" w:cstheme="majorHAnsi"/>
                <w:sz w:val="24"/>
                <w:szCs w:val="24"/>
              </w:rPr>
              <w:t>CAPÍTULO VI</w:t>
            </w:r>
          </w:p>
          <w:p w14:paraId="0D68D741" w14:textId="14ABA6F2" w:rsidR="009139A5" w:rsidRPr="002C1A2C" w:rsidRDefault="009139A5" w:rsidP="009139A5">
            <w:pPr>
              <w:spacing w:line="360" w:lineRule="auto"/>
              <w:jc w:val="center"/>
              <w:rPr>
                <w:rFonts w:asciiTheme="majorHAnsi" w:hAnsiTheme="majorHAnsi" w:cstheme="majorHAnsi"/>
                <w:sz w:val="24"/>
                <w:szCs w:val="24"/>
              </w:rPr>
            </w:pPr>
            <w:r w:rsidRPr="002C1A2C">
              <w:rPr>
                <w:rFonts w:asciiTheme="majorHAnsi" w:hAnsiTheme="majorHAnsi" w:cstheme="majorHAnsi"/>
                <w:sz w:val="24"/>
                <w:szCs w:val="24"/>
              </w:rPr>
              <w:t>DAS REGRAS DE INVESTIMENTOS</w:t>
            </w:r>
          </w:p>
        </w:tc>
        <w:tc>
          <w:tcPr>
            <w:tcW w:w="1250" w:type="pct"/>
          </w:tcPr>
          <w:p w14:paraId="0A168E91" w14:textId="799F11F6"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C3F93C3"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0035B1A8" w14:textId="26C3DA8C" w:rsidTr="7DE461B5">
        <w:trPr>
          <w:trHeight w:val="300"/>
        </w:trPr>
        <w:tc>
          <w:tcPr>
            <w:tcW w:w="1250" w:type="pct"/>
          </w:tcPr>
          <w:p w14:paraId="3A83978E" w14:textId="04E9F0F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211.  As EFPC devem observar o disposto neste Capítulo para a operacionalização de procedimentos previstos na Resolução do Conselho Monetário Nacional sobre aplicação dos recursos dos planos administrados pelas entidades fechadas de previdência complementar.</w:t>
            </w:r>
          </w:p>
        </w:tc>
        <w:tc>
          <w:tcPr>
            <w:tcW w:w="1250" w:type="pct"/>
          </w:tcPr>
          <w:p w14:paraId="16322C54" w14:textId="691172D4" w:rsidR="009139A5" w:rsidRPr="00F43C57" w:rsidRDefault="009139A5" w:rsidP="009139A5">
            <w:pPr>
              <w:spacing w:line="360" w:lineRule="auto"/>
              <w:jc w:val="both"/>
              <w:rPr>
                <w:rFonts w:asciiTheme="majorHAnsi" w:hAnsiTheme="majorHAnsi" w:cstheme="majorHAnsi"/>
                <w:color w:val="0070C0"/>
                <w:sz w:val="24"/>
                <w:szCs w:val="24"/>
              </w:rPr>
            </w:pPr>
            <w:r w:rsidRPr="002C1A2C">
              <w:rPr>
                <w:rFonts w:asciiTheme="majorHAnsi" w:hAnsiTheme="majorHAnsi" w:cstheme="majorHAnsi"/>
                <w:sz w:val="24"/>
                <w:szCs w:val="24"/>
              </w:rPr>
              <w:t xml:space="preserve">Art. 211.  As EFPC devem observar o disposto neste Capítulo para a operacionalização de procedimentos previstos na Resolução do Conselho Monetário Nacional sobre aplicação dos recursos dos planos </w:t>
            </w:r>
            <w:r w:rsidRPr="002C1A2C">
              <w:rPr>
                <w:rFonts w:asciiTheme="majorHAnsi" w:hAnsiTheme="majorHAnsi" w:cstheme="majorHAnsi"/>
                <w:color w:val="0070C0"/>
                <w:sz w:val="24"/>
                <w:szCs w:val="24"/>
              </w:rPr>
              <w:t xml:space="preserve">de benefícios por elas </w:t>
            </w:r>
            <w:r w:rsidRPr="002C1A2C">
              <w:rPr>
                <w:rFonts w:asciiTheme="majorHAnsi" w:hAnsiTheme="majorHAnsi" w:cstheme="majorHAnsi"/>
                <w:sz w:val="24"/>
                <w:szCs w:val="24"/>
              </w:rPr>
              <w:t>administrados</w:t>
            </w:r>
            <w:r w:rsidRPr="002C1A2C">
              <w:rPr>
                <w:rFonts w:asciiTheme="majorHAnsi" w:hAnsiTheme="majorHAnsi" w:cstheme="majorHAnsi"/>
                <w:color w:val="0070C0"/>
                <w:sz w:val="24"/>
                <w:szCs w:val="24"/>
              </w:rPr>
              <w:t>,</w:t>
            </w:r>
            <w:r w:rsidRPr="002C1A2C">
              <w:rPr>
                <w:rFonts w:asciiTheme="majorHAnsi" w:hAnsiTheme="majorHAnsi" w:cstheme="majorHAnsi"/>
                <w:sz w:val="24"/>
                <w:szCs w:val="24"/>
              </w:rPr>
              <w:t xml:space="preserve"> </w:t>
            </w:r>
            <w:r w:rsidRPr="002C1A2C">
              <w:rPr>
                <w:rFonts w:asciiTheme="majorHAnsi" w:hAnsiTheme="majorHAnsi" w:cstheme="majorHAnsi"/>
                <w:strike/>
                <w:color w:val="EE0000"/>
                <w:sz w:val="24"/>
                <w:szCs w:val="24"/>
              </w:rPr>
              <w:t>pelas entidades fechadas de previdência complementar</w:t>
            </w:r>
            <w:r w:rsidRPr="002C1A2C">
              <w:rPr>
                <w:rFonts w:asciiTheme="majorHAnsi" w:hAnsiTheme="majorHAnsi" w:cstheme="majorHAnsi"/>
                <w:color w:val="0070C0"/>
                <w:sz w:val="24"/>
                <w:szCs w:val="24"/>
              </w:rPr>
              <w:t xml:space="preserve"> bem como dos recursos do PGA.</w:t>
            </w:r>
          </w:p>
        </w:tc>
        <w:tc>
          <w:tcPr>
            <w:tcW w:w="1250" w:type="pct"/>
          </w:tcPr>
          <w:p w14:paraId="28E6186D"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Incluir referência ao Plano de Gestão de Administrativa – PGA em alinhamento à Resolução CMN nº 5.202, de 2025.</w:t>
            </w:r>
          </w:p>
          <w:p w14:paraId="74BBB43B" w14:textId="77777777" w:rsidR="009139A5" w:rsidRPr="002C1A2C" w:rsidRDefault="009139A5" w:rsidP="009139A5">
            <w:pPr>
              <w:spacing w:line="360" w:lineRule="auto"/>
              <w:jc w:val="both"/>
              <w:rPr>
                <w:rFonts w:asciiTheme="majorHAnsi" w:hAnsiTheme="majorHAnsi" w:cstheme="majorHAnsi"/>
                <w:sz w:val="24"/>
                <w:szCs w:val="24"/>
              </w:rPr>
            </w:pPr>
          </w:p>
          <w:p w14:paraId="1DDB46BE" w14:textId="22FE7403"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7DB77642" w14:textId="31EB7DD1" w:rsidR="009139A5" w:rsidRPr="002C1A2C" w:rsidRDefault="009139A5" w:rsidP="009139A5">
            <w:pPr>
              <w:spacing w:after="160"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r w:rsidRPr="002C1A2C">
              <w:rPr>
                <w:rFonts w:asciiTheme="majorHAnsi" w:eastAsia="Calibri" w:hAnsiTheme="majorHAnsi" w:cstheme="majorHAnsi"/>
                <w:sz w:val="24"/>
                <w:szCs w:val="24"/>
              </w:rPr>
              <w:t>A dispensa de AIR se baseia na necessidade de disciplinar direitos ou obrigações definidos em norma hierarquicamente superior, no caso a Resolução CMN nº 4.994, de 2022, que dispõe sobre as diretrizes de aplicação dos recursos garantidores das EFPC. A alteração do Art. 2º da Resolução do CMN inseriu expressamente o PGA na esfera de aplicabilidade da norma.</w:t>
            </w:r>
          </w:p>
          <w:p w14:paraId="73AB0A60" w14:textId="77777777" w:rsidR="009139A5" w:rsidRPr="002C1A2C" w:rsidRDefault="009139A5" w:rsidP="009139A5">
            <w:pPr>
              <w:spacing w:after="160" w:line="360" w:lineRule="auto"/>
              <w:jc w:val="both"/>
              <w:rPr>
                <w:rFonts w:asciiTheme="majorHAnsi" w:eastAsia="Calibri" w:hAnsiTheme="majorHAnsi" w:cstheme="majorHAnsi"/>
                <w:sz w:val="24"/>
                <w:szCs w:val="24"/>
              </w:rPr>
            </w:pPr>
          </w:p>
        </w:tc>
      </w:tr>
      <w:tr w:rsidR="009139A5" w:rsidRPr="002C1A2C" w14:paraId="17A1999C" w14:textId="381E9D98" w:rsidTr="7DE461B5">
        <w:trPr>
          <w:trHeight w:val="300"/>
        </w:trPr>
        <w:tc>
          <w:tcPr>
            <w:tcW w:w="1250" w:type="pct"/>
            <w:vAlign w:val="center"/>
          </w:tcPr>
          <w:p w14:paraId="0E8BD517" w14:textId="18DE55A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tcPr>
          <w:p w14:paraId="257A96F1" w14:textId="02ED2A9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 xml:space="preserve">§1º.  As pessoas responsáveis pelo cumprimento das diretrizes de aplicação dos recursos garantidores dos planos de benefícios administrados pelas </w:t>
            </w:r>
            <w:r w:rsidRPr="002C1A2C">
              <w:rPr>
                <w:rFonts w:asciiTheme="majorHAnsi" w:eastAsia="Times New Roman" w:hAnsiTheme="majorHAnsi" w:cstheme="majorHAnsi"/>
                <w:color w:val="0070C0"/>
                <w:sz w:val="24"/>
                <w:szCs w:val="24"/>
                <w:lang w:eastAsia="pt-BR"/>
              </w:rPr>
              <w:lastRenderedPageBreak/>
              <w:t>EFPC, devem empregar, no exercício de suas funções, o cuidado, a diligência e os padrões éticos que todo homem prudente, ativo e probo costuma empregar na administração do seu próprio plano previdenciário, observa</w:t>
            </w:r>
            <w:r>
              <w:rPr>
                <w:rFonts w:asciiTheme="majorHAnsi" w:eastAsia="Times New Roman" w:hAnsiTheme="majorHAnsi" w:cstheme="majorHAnsi"/>
                <w:color w:val="0070C0"/>
                <w:sz w:val="24"/>
                <w:szCs w:val="24"/>
                <w:lang w:eastAsia="pt-BR"/>
              </w:rPr>
              <w:t>n</w:t>
            </w:r>
            <w:r w:rsidRPr="002C1A2C">
              <w:rPr>
                <w:rFonts w:asciiTheme="majorHAnsi" w:eastAsia="Times New Roman" w:hAnsiTheme="majorHAnsi" w:cstheme="majorHAnsi"/>
                <w:color w:val="0070C0"/>
                <w:sz w:val="24"/>
                <w:szCs w:val="24"/>
                <w:lang w:eastAsia="pt-BR"/>
              </w:rPr>
              <w:t>do os seguintes princípios:</w:t>
            </w:r>
          </w:p>
        </w:tc>
        <w:tc>
          <w:tcPr>
            <w:tcW w:w="1250" w:type="pct"/>
          </w:tcPr>
          <w:p w14:paraId="1A34EE7D" w14:textId="46288F2C" w:rsidR="009139A5" w:rsidRPr="002C1A2C" w:rsidRDefault="009139A5" w:rsidP="009139A5">
            <w:pPr>
              <w:spacing w:line="360" w:lineRule="auto"/>
              <w:jc w:val="both"/>
              <w:rPr>
                <w:rFonts w:asciiTheme="majorHAnsi" w:hAnsiTheme="majorHAnsi" w:cstheme="majorBidi"/>
                <w:sz w:val="24"/>
                <w:szCs w:val="24"/>
              </w:rPr>
            </w:pPr>
            <w:r w:rsidRPr="217C2035">
              <w:rPr>
                <w:rFonts w:asciiTheme="majorHAnsi" w:hAnsiTheme="majorHAnsi" w:cstheme="majorBidi"/>
                <w:sz w:val="24"/>
                <w:szCs w:val="24"/>
              </w:rPr>
              <w:lastRenderedPageBreak/>
              <w:t xml:space="preserve">Inclusão das definições dos princípios elencados no art. 4º do Capítulo I da Resolução CMN nº 4.994, de 2022. </w:t>
            </w:r>
          </w:p>
          <w:p w14:paraId="6AFD6F3E" w14:textId="7BADF8BD"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Redação utilizada no inciso I do art. 106 da Resolução CVM nº 175, de 2022. </w:t>
            </w:r>
          </w:p>
        </w:tc>
        <w:tc>
          <w:tcPr>
            <w:tcW w:w="1250" w:type="pct"/>
          </w:tcPr>
          <w:p w14:paraId="0240BE5D" w14:textId="77777777" w:rsidR="009139A5" w:rsidRPr="002C1A2C" w:rsidRDefault="009139A5" w:rsidP="009139A5">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Alínea “a” do Inciso V do art. 4º do Decreto nº 10.411, de 2020.</w:t>
            </w:r>
          </w:p>
          <w:p w14:paraId="08D396FB" w14:textId="77777777" w:rsidR="009139A5" w:rsidRPr="002C1A2C" w:rsidRDefault="009139A5" w:rsidP="009139A5">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 xml:space="preserve"> </w:t>
            </w:r>
          </w:p>
          <w:p w14:paraId="3853E092" w14:textId="77777777" w:rsidR="009139A5" w:rsidRPr="002C1A2C" w:rsidRDefault="009139A5" w:rsidP="009139A5">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 xml:space="preserve">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CMN nº 4.994, de 2022, por meio do detalhamento de práticas e condutas que os materializam em contextos concretos de aplicação. Ao se reforçar as regras regulatórias aplicáveis à alocação dos recursos, </w:t>
            </w:r>
            <w:r w:rsidRPr="002C1A2C">
              <w:rPr>
                <w:rFonts w:asciiTheme="majorHAnsi" w:eastAsia="Calibri" w:hAnsiTheme="majorHAnsi" w:cstheme="majorHAnsi"/>
                <w:sz w:val="24"/>
                <w:szCs w:val="24"/>
              </w:rPr>
              <w:lastRenderedPageBreak/>
              <w:t>a proposta busca garantir a qualidade e integridade das decisões de alocação e, por conseguinte, a higidez do mercado de previdência complementar fechada.</w:t>
            </w:r>
          </w:p>
          <w:p w14:paraId="1DF3DD30" w14:textId="77777777" w:rsidR="009139A5" w:rsidRPr="217C2035" w:rsidRDefault="009139A5" w:rsidP="009139A5">
            <w:pPr>
              <w:spacing w:line="360" w:lineRule="auto"/>
              <w:jc w:val="both"/>
              <w:rPr>
                <w:rFonts w:asciiTheme="majorHAnsi" w:hAnsiTheme="majorHAnsi" w:cstheme="majorBidi"/>
                <w:sz w:val="24"/>
                <w:szCs w:val="24"/>
              </w:rPr>
            </w:pPr>
          </w:p>
        </w:tc>
      </w:tr>
      <w:tr w:rsidR="009139A5" w:rsidRPr="002C1A2C" w14:paraId="2AD4E52A" w14:textId="1AB1F8F0" w:rsidTr="7DE461B5">
        <w:trPr>
          <w:trHeight w:val="300"/>
        </w:trPr>
        <w:tc>
          <w:tcPr>
            <w:tcW w:w="1250" w:type="pct"/>
          </w:tcPr>
          <w:p w14:paraId="10E165FD" w14:textId="380C395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lastRenderedPageBreak/>
              <w:t>Sem referência anterior.</w:t>
            </w:r>
          </w:p>
        </w:tc>
        <w:tc>
          <w:tcPr>
            <w:tcW w:w="1250" w:type="pct"/>
          </w:tcPr>
          <w:p w14:paraId="32124519" w14:textId="12989628" w:rsidR="009139A5" w:rsidRPr="002C1A2C" w:rsidRDefault="009139A5" w:rsidP="009139A5">
            <w:pPr>
              <w:spacing w:line="360" w:lineRule="auto"/>
              <w:jc w:val="both"/>
              <w:rPr>
                <w:rFonts w:asciiTheme="majorHAnsi" w:hAnsiTheme="majorHAnsi" w:cstheme="majorBidi"/>
                <w:sz w:val="24"/>
                <w:szCs w:val="24"/>
              </w:rPr>
            </w:pPr>
            <w:r w:rsidRPr="5AFDFDC4">
              <w:rPr>
                <w:rFonts w:asciiTheme="majorHAnsi" w:eastAsia="Times New Roman" w:hAnsiTheme="majorHAnsi" w:cstheme="majorBidi"/>
                <w:color w:val="0070C0"/>
                <w:sz w:val="24"/>
                <w:szCs w:val="24"/>
                <w:lang w:eastAsia="pt-BR"/>
              </w:rPr>
              <w:t xml:space="preserve">I - segurança: assunção de risco adequado por ativo financeiro, por carteira de investimentos, por segmento de aplicação, observados as </w:t>
            </w:r>
            <w:r>
              <w:rPr>
                <w:rFonts w:asciiTheme="majorHAnsi" w:eastAsia="Times New Roman" w:hAnsiTheme="majorHAnsi" w:cstheme="majorBidi"/>
                <w:color w:val="0070C0"/>
                <w:sz w:val="24"/>
                <w:szCs w:val="24"/>
                <w:lang w:eastAsia="pt-BR"/>
              </w:rPr>
              <w:t>p</w:t>
            </w:r>
            <w:r w:rsidRPr="5AFDFDC4">
              <w:rPr>
                <w:rFonts w:asciiTheme="majorHAnsi" w:eastAsia="Times New Roman" w:hAnsiTheme="majorHAnsi" w:cstheme="majorBidi"/>
                <w:color w:val="0070C0"/>
                <w:sz w:val="24"/>
                <w:szCs w:val="24"/>
                <w:lang w:eastAsia="pt-BR"/>
              </w:rPr>
              <w:t xml:space="preserve">olíticas de </w:t>
            </w:r>
            <w:r>
              <w:rPr>
                <w:rFonts w:asciiTheme="majorHAnsi" w:eastAsia="Times New Roman" w:hAnsiTheme="majorHAnsi" w:cstheme="majorBidi"/>
                <w:color w:val="0070C0"/>
                <w:sz w:val="24"/>
                <w:szCs w:val="24"/>
                <w:lang w:eastAsia="pt-BR"/>
              </w:rPr>
              <w:t>i</w:t>
            </w:r>
            <w:r w:rsidRPr="5AFDFDC4">
              <w:rPr>
                <w:rFonts w:asciiTheme="majorHAnsi" w:eastAsia="Times New Roman" w:hAnsiTheme="majorHAnsi" w:cstheme="majorBidi"/>
                <w:color w:val="0070C0"/>
                <w:sz w:val="24"/>
                <w:szCs w:val="24"/>
                <w:lang w:eastAsia="pt-BR"/>
              </w:rPr>
              <w:t>nvestimentos e</w:t>
            </w:r>
            <w:r>
              <w:rPr>
                <w:rFonts w:asciiTheme="majorHAnsi" w:eastAsia="Times New Roman" w:hAnsiTheme="majorHAnsi" w:cstheme="majorBidi"/>
                <w:color w:val="0070C0"/>
                <w:sz w:val="24"/>
                <w:szCs w:val="24"/>
                <w:lang w:eastAsia="pt-BR"/>
              </w:rPr>
              <w:t xml:space="preserve"> </w:t>
            </w:r>
            <w:r w:rsidRPr="5AFDFDC4">
              <w:rPr>
                <w:rFonts w:asciiTheme="majorHAnsi" w:eastAsia="Times New Roman" w:hAnsiTheme="majorHAnsi" w:cstheme="majorBidi"/>
                <w:color w:val="0070C0"/>
                <w:sz w:val="24"/>
                <w:szCs w:val="24"/>
                <w:lang w:eastAsia="pt-BR"/>
              </w:rPr>
              <w:t>os estudos técnicos necessários que fundamentam a decisão negocial;</w:t>
            </w:r>
          </w:p>
        </w:tc>
        <w:tc>
          <w:tcPr>
            <w:tcW w:w="1250" w:type="pct"/>
          </w:tcPr>
          <w:p w14:paraId="01F18DAD" w14:textId="507EF1A3"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Busca alinhar a gestão dos riscos à estratégia da EFPC, assegurando coerência com os objetivos de longo prazo e a prudência esperada dos responsáveis pelos investimentos.</w:t>
            </w:r>
          </w:p>
        </w:tc>
        <w:tc>
          <w:tcPr>
            <w:tcW w:w="1250" w:type="pct"/>
          </w:tcPr>
          <w:p w14:paraId="4901A91D" w14:textId="7662D79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tc>
      </w:tr>
      <w:tr w:rsidR="009139A5" w:rsidRPr="002C1A2C" w14:paraId="02280641" w14:textId="1BB3E37C" w:rsidTr="7DE461B5">
        <w:trPr>
          <w:trHeight w:val="300"/>
        </w:trPr>
        <w:tc>
          <w:tcPr>
            <w:tcW w:w="1250" w:type="pct"/>
          </w:tcPr>
          <w:p w14:paraId="6FC35348" w14:textId="74AFAA83"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tcPr>
          <w:p w14:paraId="335EE0BA" w14:textId="02C53DCC" w:rsidR="009139A5" w:rsidRPr="002C1A2C" w:rsidRDefault="009139A5" w:rsidP="009139A5">
            <w:pPr>
              <w:spacing w:line="360" w:lineRule="auto"/>
              <w:jc w:val="both"/>
              <w:rPr>
                <w:rFonts w:asciiTheme="majorHAnsi" w:hAnsiTheme="majorHAnsi" w:cstheme="majorBidi"/>
                <w:sz w:val="24"/>
                <w:szCs w:val="24"/>
              </w:rPr>
            </w:pPr>
            <w:r w:rsidRPr="0E2B8188">
              <w:rPr>
                <w:rFonts w:asciiTheme="majorHAnsi" w:eastAsia="Times New Roman" w:hAnsiTheme="majorHAnsi" w:cstheme="majorBidi"/>
                <w:color w:val="0070C0"/>
                <w:sz w:val="24"/>
                <w:szCs w:val="24"/>
              </w:rPr>
              <w:t xml:space="preserve">II – rentabilidade: expectativa de retorno compatível com os objetivos fiduciários dos planos de benefícios, considerada a partir das projeções de retorno por ativo financeiro e segmento de aplicação definidos nas políticas de investimento, mediante decisões devidamente fundamentadas e </w:t>
            </w:r>
            <w:r w:rsidRPr="0E2B8188">
              <w:rPr>
                <w:rFonts w:asciiTheme="majorHAnsi" w:eastAsia="Times New Roman" w:hAnsiTheme="majorHAnsi" w:cstheme="majorBidi"/>
                <w:color w:val="0070C0"/>
                <w:sz w:val="24"/>
                <w:szCs w:val="24"/>
              </w:rPr>
              <w:lastRenderedPageBreak/>
              <w:t>registradas, com o reconhecimento de que a variabilidade dos resultados constitui característica inerente à aplicação dos recursos garantidores.</w:t>
            </w:r>
          </w:p>
        </w:tc>
        <w:tc>
          <w:tcPr>
            <w:tcW w:w="1250" w:type="pct"/>
          </w:tcPr>
          <w:p w14:paraId="59E004E1" w14:textId="799569D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Normatização do princípio da rentabilidade, conforme previsto na Resolução CMN nº 4.994, de 2022, com o objetivo de disciplinar que a expectativa de retorno deve ser considerada no processo de alocação dos recursos garantidores de forma motivada, fundamentada e registrada. Busca-</w:t>
            </w:r>
            <w:r w:rsidRPr="002C1A2C">
              <w:rPr>
                <w:rFonts w:asciiTheme="majorHAnsi" w:hAnsiTheme="majorHAnsi" w:cstheme="majorHAnsi"/>
                <w:sz w:val="24"/>
                <w:szCs w:val="24"/>
              </w:rPr>
              <w:lastRenderedPageBreak/>
              <w:t>se, assim, evidenciar que esse princípio deve ser observado em conjunto com os demais princípios aplicáveis, como segurança, solvência e liquidez.</w:t>
            </w:r>
          </w:p>
        </w:tc>
        <w:tc>
          <w:tcPr>
            <w:tcW w:w="1250" w:type="pct"/>
          </w:tcPr>
          <w:p w14:paraId="561C3974" w14:textId="041FCB1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r>
              <w:rPr>
                <w:rFonts w:asciiTheme="majorHAnsi" w:eastAsia="Calibri" w:hAnsiTheme="majorHAnsi" w:cstheme="majorHAnsi"/>
                <w:sz w:val="24"/>
                <w:szCs w:val="24"/>
              </w:rPr>
              <w:t xml:space="preserve"> </w:t>
            </w:r>
          </w:p>
        </w:tc>
      </w:tr>
      <w:tr w:rsidR="009139A5" w:rsidRPr="002C1A2C" w14:paraId="49E29958" w14:textId="3CCB1847" w:rsidTr="7DE461B5">
        <w:trPr>
          <w:trHeight w:val="300"/>
        </w:trPr>
        <w:tc>
          <w:tcPr>
            <w:tcW w:w="1250" w:type="pct"/>
          </w:tcPr>
          <w:p w14:paraId="2344DB8F" w14:textId="122D578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tcPr>
          <w:p w14:paraId="23A7C7CE" w14:textId="50D974B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III - solvência: capacidade financeira de honrar integralmente com os pagamentos futuros dos compromissos assumidos pelo</w:t>
            </w:r>
            <w:r>
              <w:rPr>
                <w:rFonts w:asciiTheme="majorHAnsi" w:eastAsia="Times New Roman" w:hAnsiTheme="majorHAnsi" w:cstheme="majorHAnsi"/>
                <w:color w:val="0070C0"/>
                <w:sz w:val="24"/>
                <w:szCs w:val="24"/>
                <w:lang w:eastAsia="pt-BR"/>
              </w:rPr>
              <w:t>s</w:t>
            </w:r>
            <w:r w:rsidRPr="002C1A2C">
              <w:rPr>
                <w:rFonts w:asciiTheme="majorHAnsi" w:eastAsia="Times New Roman" w:hAnsiTheme="majorHAnsi" w:cstheme="majorHAnsi"/>
                <w:color w:val="0070C0"/>
                <w:sz w:val="24"/>
                <w:szCs w:val="24"/>
                <w:lang w:eastAsia="pt-BR"/>
              </w:rPr>
              <w:t xml:space="preserve"> plano</w:t>
            </w:r>
            <w:r>
              <w:rPr>
                <w:rFonts w:asciiTheme="majorHAnsi" w:eastAsia="Times New Roman" w:hAnsiTheme="majorHAnsi" w:cstheme="majorHAnsi"/>
                <w:color w:val="0070C0"/>
                <w:sz w:val="24"/>
                <w:szCs w:val="24"/>
                <w:lang w:eastAsia="pt-BR"/>
              </w:rPr>
              <w:t>s</w:t>
            </w:r>
            <w:r w:rsidRPr="002C1A2C">
              <w:rPr>
                <w:rFonts w:asciiTheme="majorHAnsi" w:eastAsia="Times New Roman" w:hAnsiTheme="majorHAnsi" w:cstheme="majorHAnsi"/>
                <w:color w:val="0070C0"/>
                <w:sz w:val="24"/>
                <w:szCs w:val="24"/>
                <w:lang w:eastAsia="pt-BR"/>
              </w:rPr>
              <w:t xml:space="preserve"> de benefícios;</w:t>
            </w:r>
          </w:p>
        </w:tc>
        <w:tc>
          <w:tcPr>
            <w:tcW w:w="1250" w:type="pct"/>
          </w:tcPr>
          <w:p w14:paraId="76A8EEEB" w14:textId="19FDB201"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Introdução necessária para reforçar o compromisso com a solvência financeira e atuarial dos planos de benefícios, alinhada às boas práticas de gestão previdenciária.</w:t>
            </w:r>
          </w:p>
        </w:tc>
        <w:tc>
          <w:tcPr>
            <w:tcW w:w="1250" w:type="pct"/>
          </w:tcPr>
          <w:p w14:paraId="26DE6776" w14:textId="1E5695E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66BD07AC"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6F50E863" w14:textId="4297507C" w:rsidTr="7DE461B5">
        <w:trPr>
          <w:trHeight w:val="300"/>
        </w:trPr>
        <w:tc>
          <w:tcPr>
            <w:tcW w:w="1250" w:type="pct"/>
          </w:tcPr>
          <w:p w14:paraId="6EB970CC" w14:textId="7082C9B3"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tcPr>
          <w:p w14:paraId="5B292D2E" w14:textId="63E0769A" w:rsidR="009139A5" w:rsidRPr="002C1A2C" w:rsidRDefault="009139A5" w:rsidP="009139A5">
            <w:pPr>
              <w:spacing w:line="360" w:lineRule="auto"/>
              <w:jc w:val="both"/>
              <w:rPr>
                <w:rFonts w:asciiTheme="majorHAnsi" w:hAnsiTheme="majorHAnsi" w:cstheme="majorBidi"/>
                <w:sz w:val="24"/>
                <w:szCs w:val="24"/>
              </w:rPr>
            </w:pPr>
            <w:r w:rsidRPr="18B953AA">
              <w:rPr>
                <w:rFonts w:asciiTheme="majorHAnsi" w:eastAsia="Times New Roman" w:hAnsiTheme="majorHAnsi" w:cstheme="majorBidi"/>
                <w:color w:val="0070C0"/>
                <w:sz w:val="24"/>
                <w:szCs w:val="24"/>
                <w:lang w:eastAsia="pt-BR"/>
              </w:rPr>
              <w:t>IV – liquidez: suficiência e disponibilidade dos ativos financeiros dos planos de benefícios para o cumprimento tempestivo das obrigações assumidas, expressas nas políticas de investimento;</w:t>
            </w:r>
          </w:p>
        </w:tc>
        <w:tc>
          <w:tcPr>
            <w:tcW w:w="1250" w:type="pct"/>
          </w:tcPr>
          <w:p w14:paraId="55B72D47" w14:textId="13240F1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Elemento fundamental de controle financeiro para garantir o cumprimento das obrigações com participantes e assistidos nos prazos corretos.</w:t>
            </w:r>
          </w:p>
        </w:tc>
        <w:tc>
          <w:tcPr>
            <w:tcW w:w="1250" w:type="pct"/>
          </w:tcPr>
          <w:p w14:paraId="0C58AC98" w14:textId="5C1C13A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0B333641"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4C5F12A2" w14:textId="0953E6AA" w:rsidTr="7DE461B5">
        <w:trPr>
          <w:trHeight w:val="300"/>
        </w:trPr>
        <w:tc>
          <w:tcPr>
            <w:tcW w:w="1250" w:type="pct"/>
          </w:tcPr>
          <w:p w14:paraId="38C22E6E" w14:textId="6480D01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tcPr>
          <w:p w14:paraId="0C7BF553" w14:textId="3532D454" w:rsidR="009139A5" w:rsidRPr="002C1A2C" w:rsidRDefault="009139A5" w:rsidP="009139A5">
            <w:pPr>
              <w:spacing w:line="360" w:lineRule="auto"/>
              <w:jc w:val="both"/>
              <w:rPr>
                <w:rFonts w:asciiTheme="majorHAnsi" w:hAnsiTheme="majorHAnsi" w:cstheme="majorBidi"/>
                <w:sz w:val="24"/>
                <w:szCs w:val="24"/>
              </w:rPr>
            </w:pPr>
            <w:r w:rsidRPr="5AFDFDC4">
              <w:rPr>
                <w:rFonts w:asciiTheme="majorHAnsi" w:eastAsia="Times New Roman" w:hAnsiTheme="majorHAnsi" w:cstheme="majorBidi"/>
                <w:color w:val="0070C0"/>
                <w:sz w:val="24"/>
                <w:szCs w:val="24"/>
                <w:lang w:eastAsia="pt-BR"/>
              </w:rPr>
              <w:t>V – motivação: fundamentação clara, objetiva e consistente das decisões, capaz de assegurar a regularidade dos atos praticados, evidenciar a observância da boa-</w:t>
            </w:r>
            <w:r w:rsidRPr="5AFDFDC4">
              <w:rPr>
                <w:rFonts w:asciiTheme="majorHAnsi" w:eastAsia="Times New Roman" w:hAnsiTheme="majorHAnsi" w:cstheme="majorBidi"/>
                <w:color w:val="0070C0"/>
                <w:sz w:val="24"/>
                <w:szCs w:val="24"/>
                <w:lang w:eastAsia="pt-BR"/>
              </w:rPr>
              <w:lastRenderedPageBreak/>
              <w:t xml:space="preserve">fé, diligência e lealdade, e refletir a busca pelo melhor interesse </w:t>
            </w:r>
            <w:r>
              <w:rPr>
                <w:rFonts w:asciiTheme="majorHAnsi" w:eastAsia="Times New Roman" w:hAnsiTheme="majorHAnsi" w:cstheme="majorBidi"/>
                <w:color w:val="0070C0"/>
                <w:sz w:val="24"/>
                <w:szCs w:val="24"/>
                <w:lang w:eastAsia="pt-BR"/>
              </w:rPr>
              <w:t>do plano de benefícios</w:t>
            </w:r>
            <w:r w:rsidRPr="5AFDFDC4">
              <w:rPr>
                <w:rFonts w:asciiTheme="majorHAnsi" w:eastAsia="Times New Roman" w:hAnsiTheme="majorHAnsi" w:cstheme="majorBidi"/>
                <w:color w:val="0070C0"/>
                <w:sz w:val="24"/>
                <w:szCs w:val="24"/>
                <w:lang w:eastAsia="pt-BR"/>
              </w:rPr>
              <w:t xml:space="preserve"> e o cumprimento do dever fiduciário em relação aos participantes e assistidos,</w:t>
            </w:r>
            <w:r w:rsidRPr="002C1A2C">
              <w:rPr>
                <w:rFonts w:asciiTheme="majorHAnsi" w:eastAsia="Times New Roman" w:hAnsiTheme="majorHAnsi" w:cstheme="majorHAnsi"/>
                <w:color w:val="0070C0"/>
                <w:sz w:val="24"/>
                <w:szCs w:val="24"/>
                <w:lang w:eastAsia="pt-BR"/>
              </w:rPr>
              <w:t xml:space="preserve"> com manutenção de registros que evidenciem as decisões e os fundamentos técnicos que as justificam</w:t>
            </w:r>
            <w:r>
              <w:rPr>
                <w:rFonts w:asciiTheme="majorHAnsi" w:eastAsia="Times New Roman" w:hAnsiTheme="majorHAnsi" w:cstheme="majorHAnsi"/>
                <w:color w:val="0070C0"/>
                <w:sz w:val="24"/>
                <w:szCs w:val="24"/>
                <w:lang w:eastAsia="pt-BR"/>
              </w:rPr>
              <w:t>;</w:t>
            </w:r>
          </w:p>
        </w:tc>
        <w:tc>
          <w:tcPr>
            <w:tcW w:w="1250" w:type="pct"/>
          </w:tcPr>
          <w:p w14:paraId="0A7F2FF2" w14:textId="73AB464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A redação busca reforçar a importância da transparência e da motivação das decisões que envolvem recursos de terceiros, alinhando-se ao conceito de ato de </w:t>
            </w:r>
            <w:r w:rsidRPr="002C1A2C">
              <w:rPr>
                <w:rFonts w:asciiTheme="majorHAnsi" w:hAnsiTheme="majorHAnsi" w:cstheme="majorHAnsi"/>
                <w:sz w:val="24"/>
                <w:szCs w:val="24"/>
              </w:rPr>
              <w:lastRenderedPageBreak/>
              <w:t xml:space="preserve">gestão regular previsto no art. 230 da Resolução Previc nº 23/2023. Inspira-se na teoria da </w:t>
            </w:r>
            <w:r w:rsidRPr="002C1A2C">
              <w:rPr>
                <w:rFonts w:asciiTheme="majorHAnsi" w:hAnsiTheme="majorHAnsi" w:cstheme="majorHAnsi"/>
                <w:i/>
                <w:iCs/>
                <w:sz w:val="24"/>
                <w:szCs w:val="24"/>
              </w:rPr>
              <w:t xml:space="preserve">business </w:t>
            </w:r>
            <w:proofErr w:type="spellStart"/>
            <w:r w:rsidRPr="002C1A2C">
              <w:rPr>
                <w:rFonts w:asciiTheme="majorHAnsi" w:hAnsiTheme="majorHAnsi" w:cstheme="majorHAnsi"/>
                <w:i/>
                <w:iCs/>
                <w:sz w:val="24"/>
                <w:szCs w:val="24"/>
              </w:rPr>
              <w:t>judgement</w:t>
            </w:r>
            <w:proofErr w:type="spellEnd"/>
            <w:r w:rsidRPr="002C1A2C">
              <w:rPr>
                <w:rFonts w:asciiTheme="majorHAnsi" w:hAnsiTheme="majorHAnsi" w:cstheme="majorHAnsi"/>
                <w:i/>
                <w:iCs/>
                <w:sz w:val="24"/>
                <w:szCs w:val="24"/>
              </w:rPr>
              <w:t xml:space="preserve"> </w:t>
            </w:r>
            <w:proofErr w:type="spellStart"/>
            <w:r w:rsidRPr="002C1A2C">
              <w:rPr>
                <w:rFonts w:asciiTheme="majorHAnsi" w:hAnsiTheme="majorHAnsi" w:cstheme="majorHAnsi"/>
                <w:i/>
                <w:iCs/>
                <w:sz w:val="24"/>
                <w:szCs w:val="24"/>
              </w:rPr>
              <w:t>rule</w:t>
            </w:r>
            <w:proofErr w:type="spellEnd"/>
            <w:r w:rsidRPr="002C1A2C">
              <w:rPr>
                <w:rFonts w:asciiTheme="majorHAnsi" w:hAnsiTheme="majorHAnsi" w:cstheme="majorHAnsi"/>
                <w:sz w:val="24"/>
                <w:szCs w:val="24"/>
              </w:rPr>
              <w:t>, segundo a qual decisões tomadas de forma informada, refletida e desinteressada são presumidamente legítimas, mesmo que os resultados não sejam os esperados.</w:t>
            </w:r>
          </w:p>
        </w:tc>
        <w:tc>
          <w:tcPr>
            <w:tcW w:w="1250" w:type="pct"/>
          </w:tcPr>
          <w:p w14:paraId="3B0656B4" w14:textId="440AEC8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r>
              <w:rPr>
                <w:rFonts w:asciiTheme="majorHAnsi" w:eastAsia="Calibri" w:hAnsiTheme="majorHAnsi" w:cstheme="majorHAnsi"/>
                <w:sz w:val="24"/>
                <w:szCs w:val="24"/>
              </w:rPr>
              <w:t xml:space="preserve"> </w:t>
            </w:r>
          </w:p>
          <w:p w14:paraId="1FC35E9C"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BD5F18F" w14:textId="4A7679DB" w:rsidTr="7DE461B5">
        <w:trPr>
          <w:trHeight w:val="300"/>
        </w:trPr>
        <w:tc>
          <w:tcPr>
            <w:tcW w:w="1250" w:type="pct"/>
          </w:tcPr>
          <w:p w14:paraId="61350B1A" w14:textId="3CBACF5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4AF7D297" w14:textId="7A0877F3" w:rsidR="009139A5" w:rsidRPr="002C1A2C" w:rsidRDefault="009139A5" w:rsidP="009139A5">
            <w:pPr>
              <w:spacing w:line="360" w:lineRule="auto"/>
              <w:jc w:val="both"/>
              <w:rPr>
                <w:rFonts w:asciiTheme="majorHAnsi" w:hAnsiTheme="majorHAnsi" w:cstheme="majorBidi"/>
                <w:sz w:val="24"/>
                <w:szCs w:val="24"/>
              </w:rPr>
            </w:pPr>
            <w:r w:rsidRPr="18B953AA">
              <w:rPr>
                <w:rFonts w:asciiTheme="majorHAnsi" w:eastAsia="Times New Roman" w:hAnsiTheme="majorHAnsi" w:cstheme="majorBidi"/>
                <w:color w:val="0070C0"/>
                <w:sz w:val="24"/>
                <w:szCs w:val="24"/>
                <w:lang w:eastAsia="pt-BR"/>
              </w:rPr>
              <w:t>VI – adequação às obrigações: compatibilidade entre as políticas de investimento, as características previdenciárias de cada plano de benefícios e a estrutura das demais obrigações assumidas;</w:t>
            </w:r>
          </w:p>
        </w:tc>
        <w:tc>
          <w:tcPr>
            <w:tcW w:w="1250" w:type="pct"/>
          </w:tcPr>
          <w:p w14:paraId="2056C525" w14:textId="7662AC1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Estabelece vínculo entre o passivo atuarial e a política de investimentos, assegurando aderência entre o fluxo de ativos e as obrigações previdenciárias.</w:t>
            </w:r>
          </w:p>
        </w:tc>
        <w:tc>
          <w:tcPr>
            <w:tcW w:w="1250" w:type="pct"/>
          </w:tcPr>
          <w:p w14:paraId="0FC74816" w14:textId="55C15B4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57266F98"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667C5900" w14:textId="3857FE34" w:rsidTr="7DE461B5">
        <w:trPr>
          <w:trHeight w:val="300"/>
        </w:trPr>
        <w:tc>
          <w:tcPr>
            <w:tcW w:w="1250" w:type="pct"/>
          </w:tcPr>
          <w:p w14:paraId="1C42AD0B" w14:textId="65B18BD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44F52E47" w14:textId="31EE9286" w:rsidR="009139A5" w:rsidRPr="002C1A2C" w:rsidRDefault="009139A5" w:rsidP="009139A5">
            <w:pPr>
              <w:spacing w:line="360" w:lineRule="auto"/>
              <w:jc w:val="both"/>
              <w:rPr>
                <w:rFonts w:asciiTheme="majorHAnsi" w:hAnsiTheme="majorHAnsi" w:cstheme="majorBidi"/>
                <w:sz w:val="24"/>
                <w:szCs w:val="24"/>
              </w:rPr>
            </w:pPr>
            <w:r w:rsidRPr="18B953AA">
              <w:rPr>
                <w:rFonts w:asciiTheme="majorHAnsi" w:eastAsia="Times New Roman" w:hAnsiTheme="majorHAnsi" w:cstheme="majorBidi"/>
                <w:color w:val="0070C0"/>
                <w:sz w:val="24"/>
                <w:szCs w:val="24"/>
                <w:lang w:eastAsia="pt-BR"/>
              </w:rPr>
              <w:t xml:space="preserve">VII – transparência: disponibilização, em linguagem clara, simples e acessível, das informações relativas à política de investimento e à carteira de ativos financeiros para os participantes, assistidos, patrocinadores, instituidores e para o órgão </w:t>
            </w:r>
            <w:r w:rsidRPr="18B953AA">
              <w:rPr>
                <w:rFonts w:asciiTheme="majorHAnsi" w:eastAsia="Times New Roman" w:hAnsiTheme="majorHAnsi" w:cstheme="majorBidi"/>
                <w:color w:val="0070C0"/>
                <w:sz w:val="24"/>
                <w:szCs w:val="24"/>
                <w:lang w:eastAsia="pt-BR"/>
              </w:rPr>
              <w:lastRenderedPageBreak/>
              <w:t>fiscalizador das operações da EFPC;</w:t>
            </w:r>
          </w:p>
        </w:tc>
        <w:tc>
          <w:tcPr>
            <w:tcW w:w="1250" w:type="pct"/>
          </w:tcPr>
          <w:p w14:paraId="0CFD24E0" w14:textId="6A3FA8E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Visa assegurar clareza e acessibilidade das informações aos stakeholders, em consonância com princípios de governança e prestação de contas.</w:t>
            </w:r>
          </w:p>
        </w:tc>
        <w:tc>
          <w:tcPr>
            <w:tcW w:w="1250" w:type="pct"/>
          </w:tcPr>
          <w:p w14:paraId="0AF4FD71" w14:textId="7C3911D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745C33A7"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DA689E8" w14:textId="725CD68A" w:rsidTr="7DE461B5">
        <w:trPr>
          <w:trHeight w:val="300"/>
        </w:trPr>
        <w:tc>
          <w:tcPr>
            <w:tcW w:w="1250" w:type="pct"/>
          </w:tcPr>
          <w:p w14:paraId="0EBC708B" w14:textId="5ED258A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6E3636EC" w14:textId="356FD23B" w:rsidR="009139A5" w:rsidRPr="002C1A2C" w:rsidRDefault="009139A5" w:rsidP="009139A5">
            <w:pPr>
              <w:spacing w:line="360" w:lineRule="auto"/>
              <w:jc w:val="both"/>
              <w:rPr>
                <w:rFonts w:asciiTheme="majorHAnsi" w:eastAsia="Times New Roman" w:hAnsiTheme="majorHAnsi" w:cstheme="majorHAnsi"/>
                <w:color w:val="0070C0"/>
                <w:sz w:val="24"/>
                <w:szCs w:val="24"/>
                <w:lang w:eastAsia="pt-BR"/>
              </w:rPr>
            </w:pPr>
            <w:r w:rsidRPr="002C1A2C">
              <w:rPr>
                <w:rFonts w:asciiTheme="majorHAnsi" w:eastAsia="Times New Roman" w:hAnsiTheme="majorHAnsi" w:cstheme="majorHAnsi"/>
                <w:color w:val="0070C0"/>
                <w:sz w:val="24"/>
                <w:szCs w:val="24"/>
                <w:lang w:eastAsia="pt-BR"/>
              </w:rPr>
              <w:t>§ 2º  Além do disposto no § 1º, a EFPC deve empregar, no exercício de suas atividades, conduta pautada em:</w:t>
            </w:r>
          </w:p>
        </w:tc>
        <w:tc>
          <w:tcPr>
            <w:tcW w:w="1250" w:type="pct"/>
          </w:tcPr>
          <w:p w14:paraId="30E5DEF1"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18BDF894" w14:textId="69C502BE" w:rsidR="009139A5" w:rsidRPr="002C1A2C" w:rsidRDefault="00C65F5D"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1E16B495"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25556C64" w14:textId="23089BC6" w:rsidTr="7DE461B5">
        <w:trPr>
          <w:trHeight w:val="300"/>
        </w:trPr>
        <w:tc>
          <w:tcPr>
            <w:tcW w:w="1250" w:type="pct"/>
          </w:tcPr>
          <w:p w14:paraId="421E120D" w14:textId="3440A99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16A75225" w14:textId="0B246B1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I - boa-fé: dever de agir com lealdade, ética, honestidade e probidade, adotando um padrão de conduta compatível com as responsabilidades que foram conferidas;</w:t>
            </w:r>
          </w:p>
        </w:tc>
        <w:tc>
          <w:tcPr>
            <w:tcW w:w="1250" w:type="pct"/>
          </w:tcPr>
          <w:p w14:paraId="3CAEF994"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Mantém o conceito de boa-fé em sentido amplo, conforme a Resolução CMN nº 5.202, de 2025. A inclusão da expressão “objetiva” pode restringir indevidamente o escopo da norma superior, causando conflito jurídico.</w:t>
            </w:r>
          </w:p>
          <w:p w14:paraId="2C070B9E"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9F18AFD" w14:textId="295DAD6F" w:rsidR="009139A5" w:rsidRPr="002C1A2C" w:rsidRDefault="00C65F5D"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7823A588"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59BBAF35" w14:textId="696ECA94" w:rsidTr="7DE461B5">
        <w:trPr>
          <w:trHeight w:val="300"/>
        </w:trPr>
        <w:tc>
          <w:tcPr>
            <w:tcW w:w="1250" w:type="pct"/>
          </w:tcPr>
          <w:p w14:paraId="16543F85" w14:textId="61990B6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39159547" w14:textId="0F2D87B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II – lealdade: agir no interesse exclusivo dos participantes e assistidos, evitando situações de potencial conflito de interesses;</w:t>
            </w:r>
          </w:p>
        </w:tc>
        <w:tc>
          <w:tcPr>
            <w:tcW w:w="1250" w:type="pct"/>
          </w:tcPr>
          <w:p w14:paraId="0C0C94F8" w14:textId="76A6A7A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Reflete compromisso com os interesses dos participantes e assistidos, buscando evitar conflitos e privilegiar decisões imparciais.</w:t>
            </w:r>
          </w:p>
        </w:tc>
        <w:tc>
          <w:tcPr>
            <w:tcW w:w="1250" w:type="pct"/>
          </w:tcPr>
          <w:p w14:paraId="6C1C938B" w14:textId="3750A3E4" w:rsidR="009139A5" w:rsidRPr="002C1A2C" w:rsidRDefault="00C65F5D"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77C001E6" w14:textId="77777777" w:rsidR="009139A5" w:rsidRPr="002C1A2C" w:rsidRDefault="009139A5" w:rsidP="009139A5">
            <w:pPr>
              <w:spacing w:line="360" w:lineRule="auto"/>
              <w:jc w:val="both"/>
              <w:rPr>
                <w:rFonts w:asciiTheme="majorHAnsi" w:eastAsia="Times New Roman" w:hAnsiTheme="majorHAnsi" w:cstheme="majorHAnsi"/>
                <w:color w:val="000000"/>
                <w:sz w:val="24"/>
                <w:szCs w:val="24"/>
                <w:lang w:eastAsia="pt-BR"/>
              </w:rPr>
            </w:pPr>
          </w:p>
        </w:tc>
      </w:tr>
      <w:tr w:rsidR="009139A5" w:rsidRPr="002C1A2C" w14:paraId="329132E9" w14:textId="27A4A21A" w:rsidTr="7DE461B5">
        <w:trPr>
          <w:trHeight w:val="300"/>
        </w:trPr>
        <w:tc>
          <w:tcPr>
            <w:tcW w:w="1250" w:type="pct"/>
          </w:tcPr>
          <w:p w14:paraId="33786AC2" w14:textId="27B8974F"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2DA451EB" w14:textId="0E90E94E" w:rsidR="009139A5" w:rsidRPr="00357E4B" w:rsidRDefault="009139A5" w:rsidP="009139A5">
            <w:pPr>
              <w:spacing w:line="360" w:lineRule="auto"/>
              <w:jc w:val="both"/>
              <w:rPr>
                <w:rFonts w:asciiTheme="majorHAnsi" w:hAnsiTheme="majorHAnsi" w:cstheme="majorBidi"/>
                <w:sz w:val="24"/>
                <w:szCs w:val="24"/>
              </w:rPr>
            </w:pPr>
            <w:r w:rsidRPr="5AFDFDC4">
              <w:rPr>
                <w:rFonts w:asciiTheme="majorHAnsi" w:eastAsia="Times New Roman" w:hAnsiTheme="majorHAnsi" w:cstheme="majorBidi"/>
                <w:color w:val="0070C0"/>
                <w:sz w:val="24"/>
                <w:szCs w:val="24"/>
                <w:lang w:eastAsia="pt-BR"/>
              </w:rPr>
              <w:t xml:space="preserve">III – diligência: busca de informações relevantes para fundamentar as decisões e adoção de conduta pautada em cuidado técnico, avaliando os riscos </w:t>
            </w:r>
            <w:r w:rsidRPr="5AFDFDC4">
              <w:rPr>
                <w:rFonts w:asciiTheme="majorHAnsi" w:eastAsia="Times New Roman" w:hAnsiTheme="majorHAnsi" w:cstheme="majorBidi"/>
                <w:color w:val="0070C0"/>
                <w:sz w:val="24"/>
                <w:szCs w:val="24"/>
                <w:lang w:eastAsia="pt-BR"/>
              </w:rPr>
              <w:lastRenderedPageBreak/>
              <w:t xml:space="preserve">envolvidos e observando as melhores práticas, para garantir o cumprimento do dever fiduciário em relação aos participantes e assistidos dos planos de benefícios; </w:t>
            </w:r>
          </w:p>
        </w:tc>
        <w:tc>
          <w:tcPr>
            <w:tcW w:w="1250" w:type="pct"/>
          </w:tcPr>
          <w:p w14:paraId="13E77C1D" w14:textId="12A3013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lastRenderedPageBreak/>
              <w:t xml:space="preserve">Incentiva atuação informada, prudente e com embasamento técnico na gestão dos recursos previdenciários em estrita observância ao dever fiduciário </w:t>
            </w:r>
            <w:r w:rsidRPr="002C1A2C">
              <w:rPr>
                <w:rFonts w:asciiTheme="majorHAnsi" w:eastAsia="Times New Roman" w:hAnsiTheme="majorHAnsi" w:cstheme="majorHAnsi"/>
                <w:color w:val="000000"/>
                <w:sz w:val="24"/>
                <w:szCs w:val="24"/>
                <w:lang w:eastAsia="pt-BR"/>
              </w:rPr>
              <w:lastRenderedPageBreak/>
              <w:t>que o gestor deve ter em relação ao plano de benefícios, seus participantes e assistidos.</w:t>
            </w:r>
          </w:p>
        </w:tc>
        <w:tc>
          <w:tcPr>
            <w:tcW w:w="1250" w:type="pct"/>
          </w:tcPr>
          <w:p w14:paraId="7BD28F87" w14:textId="20A53603" w:rsidR="009139A5" w:rsidRPr="002C1A2C" w:rsidRDefault="00C65F5D" w:rsidP="009139A5">
            <w:pPr>
              <w:spacing w:line="360" w:lineRule="auto"/>
              <w:jc w:val="both"/>
              <w:rPr>
                <w:rFonts w:asciiTheme="majorHAnsi" w:eastAsia="Times New Roman" w:hAnsiTheme="majorHAnsi" w:cstheme="majorHAnsi"/>
                <w:color w:val="000000"/>
                <w:sz w:val="24"/>
                <w:szCs w:val="24"/>
                <w:lang w:eastAsia="pt-BR"/>
              </w:rPr>
            </w:pPr>
            <w:r w:rsidRPr="002C1A2C">
              <w:rPr>
                <w:rFonts w:asciiTheme="majorHAnsi" w:eastAsia="Calibri" w:hAnsiTheme="majorHAnsi" w:cstheme="majorHAnsi"/>
                <w:sz w:val="24"/>
                <w:szCs w:val="24"/>
              </w:rPr>
              <w:lastRenderedPageBreak/>
              <w:t>Inciso II do art. 4º do Decreto nº 10.411, de 2020.</w:t>
            </w:r>
            <w:r>
              <w:rPr>
                <w:rFonts w:asciiTheme="majorHAnsi" w:eastAsia="Calibri" w:hAnsiTheme="majorHAnsi" w:cstheme="majorHAnsi"/>
                <w:sz w:val="24"/>
                <w:szCs w:val="24"/>
              </w:rPr>
              <w:t xml:space="preserve"> </w:t>
            </w:r>
          </w:p>
        </w:tc>
      </w:tr>
      <w:tr w:rsidR="009139A5" w:rsidRPr="002C1A2C" w14:paraId="36F7C912" w14:textId="7F7AF54E" w:rsidTr="7DE461B5">
        <w:trPr>
          <w:trHeight w:val="300"/>
        </w:trPr>
        <w:tc>
          <w:tcPr>
            <w:tcW w:w="1250" w:type="pct"/>
          </w:tcPr>
          <w:p w14:paraId="24B51A8C" w14:textId="6F91863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52C83CA8" w14:textId="4B2E381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IV - tempestividade: capacidade em se adaptar com presteza, dentro do tempo adequado, às condições de mercado, às necessidades e objetivos de longo prazo dos planos de benefícios, a partir da tomada de decisões negociais de forma ágil, prudente e eficaz; e</w:t>
            </w:r>
          </w:p>
        </w:tc>
        <w:tc>
          <w:tcPr>
            <w:tcW w:w="1250" w:type="pct"/>
          </w:tcPr>
          <w:p w14:paraId="66CBE407" w14:textId="0E7770F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Garante que as decisões acompanhem mudanças de mercado com agilidade, sem comprometer a prudência e em tempo hábil.</w:t>
            </w:r>
          </w:p>
        </w:tc>
        <w:tc>
          <w:tcPr>
            <w:tcW w:w="1250" w:type="pct"/>
          </w:tcPr>
          <w:p w14:paraId="5177A696" w14:textId="30630A56" w:rsidR="009139A5" w:rsidRPr="002C1A2C" w:rsidRDefault="00C65F5D"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r>
              <w:rPr>
                <w:rFonts w:asciiTheme="majorHAnsi" w:eastAsia="Calibri" w:hAnsiTheme="majorHAnsi" w:cstheme="majorHAnsi"/>
                <w:sz w:val="24"/>
                <w:szCs w:val="24"/>
              </w:rPr>
              <w:t xml:space="preserve"> </w:t>
            </w:r>
          </w:p>
          <w:p w14:paraId="1286DE57" w14:textId="77777777" w:rsidR="009139A5" w:rsidRPr="002C1A2C" w:rsidRDefault="009139A5" w:rsidP="009139A5">
            <w:pPr>
              <w:spacing w:line="360" w:lineRule="auto"/>
              <w:jc w:val="both"/>
              <w:rPr>
                <w:rFonts w:asciiTheme="majorHAnsi" w:eastAsia="Times New Roman" w:hAnsiTheme="majorHAnsi" w:cstheme="majorHAnsi"/>
                <w:color w:val="000000"/>
                <w:sz w:val="24"/>
                <w:szCs w:val="24"/>
                <w:lang w:eastAsia="pt-BR"/>
              </w:rPr>
            </w:pPr>
          </w:p>
        </w:tc>
      </w:tr>
      <w:tr w:rsidR="009139A5" w:rsidRPr="002C1A2C" w14:paraId="6AC12FFB" w14:textId="0C1CAFD1" w:rsidTr="7DE461B5">
        <w:trPr>
          <w:trHeight w:val="300"/>
        </w:trPr>
        <w:tc>
          <w:tcPr>
            <w:tcW w:w="1250" w:type="pct"/>
          </w:tcPr>
          <w:p w14:paraId="3ADE96B4" w14:textId="3CD6E7FD" w:rsidR="009139A5" w:rsidRPr="002C1A2C" w:rsidRDefault="009139A5" w:rsidP="009139A5">
            <w:pPr>
              <w:spacing w:line="360" w:lineRule="auto"/>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Sem referência anterior.</w:t>
            </w:r>
          </w:p>
        </w:tc>
        <w:tc>
          <w:tcPr>
            <w:tcW w:w="1250" w:type="pct"/>
            <w:vAlign w:val="center"/>
          </w:tcPr>
          <w:p w14:paraId="0848562E" w14:textId="4EDAD633"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70C0"/>
                <w:sz w:val="24"/>
                <w:szCs w:val="24"/>
                <w:lang w:eastAsia="pt-BR"/>
              </w:rPr>
              <w:t>V – prudência: adoção de conduta pautada em cautela e equilíbrio na tomada de decisões de investimentos, com julgamento refletido e análise criteriosa dos impactos sobre o</w:t>
            </w:r>
            <w:r>
              <w:rPr>
                <w:rFonts w:asciiTheme="majorHAnsi" w:eastAsia="Times New Roman" w:hAnsiTheme="majorHAnsi" w:cstheme="majorHAnsi"/>
                <w:color w:val="0070C0"/>
                <w:sz w:val="24"/>
                <w:szCs w:val="24"/>
                <w:lang w:eastAsia="pt-BR"/>
              </w:rPr>
              <w:t>s</w:t>
            </w:r>
            <w:r w:rsidRPr="002C1A2C">
              <w:rPr>
                <w:rFonts w:asciiTheme="majorHAnsi" w:eastAsia="Times New Roman" w:hAnsiTheme="majorHAnsi" w:cstheme="majorHAnsi"/>
                <w:color w:val="0070C0"/>
                <w:sz w:val="24"/>
                <w:szCs w:val="24"/>
                <w:lang w:eastAsia="pt-BR"/>
              </w:rPr>
              <w:t xml:space="preserve"> plano</w:t>
            </w:r>
            <w:r>
              <w:rPr>
                <w:rFonts w:asciiTheme="majorHAnsi" w:eastAsia="Times New Roman" w:hAnsiTheme="majorHAnsi" w:cstheme="majorHAnsi"/>
                <w:color w:val="0070C0"/>
                <w:sz w:val="24"/>
                <w:szCs w:val="24"/>
                <w:lang w:eastAsia="pt-BR"/>
              </w:rPr>
              <w:t>s</w:t>
            </w:r>
            <w:r w:rsidRPr="002C1A2C">
              <w:rPr>
                <w:rFonts w:asciiTheme="majorHAnsi" w:eastAsia="Times New Roman" w:hAnsiTheme="majorHAnsi" w:cstheme="majorHAnsi"/>
                <w:color w:val="0070C0"/>
                <w:sz w:val="24"/>
                <w:szCs w:val="24"/>
                <w:lang w:eastAsia="pt-BR"/>
              </w:rPr>
              <w:t xml:space="preserve"> de benefícios e seus participantes, assistidos, patrocinadores e instituidores.</w:t>
            </w:r>
          </w:p>
        </w:tc>
        <w:tc>
          <w:tcPr>
            <w:tcW w:w="1250" w:type="pct"/>
          </w:tcPr>
          <w:p w14:paraId="5A1ECD92" w14:textId="6E3B7EF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color w:val="000000"/>
                <w:sz w:val="24"/>
                <w:szCs w:val="24"/>
                <w:lang w:eastAsia="pt-BR"/>
              </w:rPr>
              <w:t>Incorpora princípio basilar da gestão previdenciária, fundamental para preservação de reservas e sustentabilidade dos planos.</w:t>
            </w:r>
          </w:p>
        </w:tc>
        <w:tc>
          <w:tcPr>
            <w:tcW w:w="1250" w:type="pct"/>
          </w:tcPr>
          <w:p w14:paraId="4E46C942" w14:textId="4413A121" w:rsidR="009139A5" w:rsidRPr="002C1A2C" w:rsidRDefault="00C65F5D" w:rsidP="009139A5">
            <w:pPr>
              <w:spacing w:line="360" w:lineRule="auto"/>
              <w:jc w:val="both"/>
              <w:rPr>
                <w:rFonts w:asciiTheme="majorHAnsi" w:eastAsia="Times New Roman" w:hAnsiTheme="majorHAnsi" w:cstheme="majorHAnsi"/>
                <w:color w:val="000000"/>
                <w:sz w:val="24"/>
                <w:szCs w:val="24"/>
                <w:lang w:eastAsia="pt-BR"/>
              </w:rPr>
            </w:pPr>
            <w:r w:rsidRPr="002C1A2C">
              <w:rPr>
                <w:rFonts w:asciiTheme="majorHAnsi" w:eastAsia="Calibri" w:hAnsiTheme="majorHAnsi" w:cstheme="majorHAnsi"/>
                <w:sz w:val="24"/>
                <w:szCs w:val="24"/>
              </w:rPr>
              <w:t>Inciso II do art. 4º do Decreto nº 10.411, de 2020.</w:t>
            </w:r>
          </w:p>
        </w:tc>
      </w:tr>
      <w:tr w:rsidR="009139A5" w:rsidRPr="002C1A2C" w14:paraId="0A8A1D25" w14:textId="58C61E2F" w:rsidTr="7DE461B5">
        <w:trPr>
          <w:trHeight w:val="300"/>
        </w:trPr>
        <w:tc>
          <w:tcPr>
            <w:tcW w:w="1250" w:type="pct"/>
          </w:tcPr>
          <w:p w14:paraId="23E15428" w14:textId="0504C2CE"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Seção I</w:t>
            </w:r>
          </w:p>
          <w:p w14:paraId="47301F0A" w14:textId="0A777572"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Política de Investimento</w:t>
            </w:r>
          </w:p>
        </w:tc>
        <w:tc>
          <w:tcPr>
            <w:tcW w:w="1250" w:type="pct"/>
          </w:tcPr>
          <w:p w14:paraId="39F9A29A" w14:textId="22B1FEAD"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I</w:t>
            </w:r>
          </w:p>
          <w:p w14:paraId="26ED2A36" w14:textId="4B98A4DD"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Política de Investimento</w:t>
            </w:r>
          </w:p>
        </w:tc>
        <w:tc>
          <w:tcPr>
            <w:tcW w:w="1250" w:type="pct"/>
          </w:tcPr>
          <w:p w14:paraId="73792B96" w14:textId="7E3FCC58"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4F40FFE5"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AA59F4B" w14:textId="12EBC3C7" w:rsidTr="7DE461B5">
        <w:trPr>
          <w:trHeight w:val="300"/>
        </w:trPr>
        <w:tc>
          <w:tcPr>
            <w:tcW w:w="1250" w:type="pct"/>
          </w:tcPr>
          <w:p w14:paraId="1BDACF48" w14:textId="0DFE033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212.  A política de investimento deve conter, no mínimo, as seguintes informações:</w:t>
            </w:r>
          </w:p>
        </w:tc>
        <w:tc>
          <w:tcPr>
            <w:tcW w:w="1250" w:type="pct"/>
          </w:tcPr>
          <w:p w14:paraId="6F8CCD76" w14:textId="2877F23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212.  </w:t>
            </w:r>
            <w:r>
              <w:rPr>
                <w:rFonts w:asciiTheme="majorHAnsi" w:hAnsiTheme="majorHAnsi" w:cstheme="majorHAnsi"/>
                <w:sz w:val="24"/>
                <w:szCs w:val="24"/>
              </w:rPr>
              <w:t>(...)</w:t>
            </w:r>
          </w:p>
        </w:tc>
        <w:tc>
          <w:tcPr>
            <w:tcW w:w="1250" w:type="pct"/>
          </w:tcPr>
          <w:p w14:paraId="07B30A7A" w14:textId="708F5981"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72A17B6A"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5D608BF4" w14:textId="3FC8F2EF" w:rsidTr="7DE461B5">
        <w:trPr>
          <w:trHeight w:val="300"/>
        </w:trPr>
        <w:tc>
          <w:tcPr>
            <w:tcW w:w="1250" w:type="pct"/>
          </w:tcPr>
          <w:p w14:paraId="493F7E95" w14:textId="73EAE30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III - a rentabilidade auferida por plano e segmento de aplicação nos cinco exercícios anteriores da política de investimento do exercício de referência, de forma acumulada e por exercício;</w:t>
            </w:r>
          </w:p>
        </w:tc>
        <w:tc>
          <w:tcPr>
            <w:tcW w:w="1250" w:type="pct"/>
          </w:tcPr>
          <w:p w14:paraId="7384854E" w14:textId="10D50A9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III - a rentabilidade auferida por plano e segmento de aplicação nos cinco exercícios anteriores </w:t>
            </w:r>
            <w:r w:rsidRPr="002C1A2C">
              <w:rPr>
                <w:rFonts w:asciiTheme="majorHAnsi" w:hAnsiTheme="majorHAnsi" w:cstheme="majorHAnsi"/>
                <w:strike/>
                <w:color w:val="EE0000"/>
                <w:sz w:val="24"/>
                <w:szCs w:val="24"/>
              </w:rPr>
              <w:t>da política de investimento</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ao </w:t>
            </w:r>
            <w:r w:rsidRPr="002C1A2C">
              <w:rPr>
                <w:rFonts w:asciiTheme="majorHAnsi" w:hAnsiTheme="majorHAnsi" w:cstheme="majorHAnsi"/>
                <w:sz w:val="24"/>
                <w:szCs w:val="24"/>
              </w:rPr>
              <w:t>do exercício de referência, de forma acumulada e por exercício;</w:t>
            </w:r>
          </w:p>
        </w:tc>
        <w:tc>
          <w:tcPr>
            <w:tcW w:w="1250" w:type="pct"/>
          </w:tcPr>
          <w:p w14:paraId="3DFAE644" w14:textId="3AF97E21" w:rsidR="009139A5" w:rsidRPr="002C1A2C" w:rsidRDefault="009139A5"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Ajuste redacional</w:t>
            </w:r>
          </w:p>
        </w:tc>
        <w:tc>
          <w:tcPr>
            <w:tcW w:w="1250" w:type="pct"/>
          </w:tcPr>
          <w:p w14:paraId="11233998" w14:textId="26D13287" w:rsidR="009139A5"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7B47F0" w:rsidRPr="002C1A2C">
              <w:rPr>
                <w:rFonts w:asciiTheme="majorHAnsi" w:hAnsiTheme="majorHAnsi" w:cstheme="majorHAnsi"/>
                <w:sz w:val="24"/>
                <w:szCs w:val="24"/>
              </w:rPr>
              <w:t xml:space="preserve"> - Mero aprimoramento redacional, sem alteração de mérito para eliminação de possíveis ambiguidades.</w:t>
            </w:r>
          </w:p>
        </w:tc>
      </w:tr>
      <w:tr w:rsidR="002F0988" w:rsidRPr="002C1A2C" w14:paraId="0AFB8476" w14:textId="77777777" w:rsidTr="7DE461B5">
        <w:trPr>
          <w:trHeight w:val="300"/>
        </w:trPr>
        <w:tc>
          <w:tcPr>
            <w:tcW w:w="1250" w:type="pct"/>
          </w:tcPr>
          <w:p w14:paraId="662F7981"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465537C8" w14:textId="5803A9AE" w:rsidR="002F0988" w:rsidRPr="00F43C57" w:rsidRDefault="002F0988" w:rsidP="009139A5">
            <w:pPr>
              <w:spacing w:line="360" w:lineRule="auto"/>
              <w:jc w:val="both"/>
              <w:rPr>
                <w:rFonts w:asciiTheme="majorHAnsi" w:hAnsiTheme="majorHAnsi" w:cstheme="majorHAnsi"/>
                <w:color w:val="EE0000"/>
                <w:sz w:val="24"/>
                <w:szCs w:val="24"/>
              </w:rPr>
            </w:pPr>
            <w:r>
              <w:rPr>
                <w:rFonts w:asciiTheme="majorHAnsi" w:hAnsiTheme="majorHAnsi" w:cstheme="majorHAnsi"/>
                <w:sz w:val="24"/>
                <w:szCs w:val="24"/>
              </w:rPr>
              <w:t>(...)</w:t>
            </w:r>
          </w:p>
        </w:tc>
        <w:tc>
          <w:tcPr>
            <w:tcW w:w="1250" w:type="pct"/>
          </w:tcPr>
          <w:p w14:paraId="4E49DF67" w14:textId="77777777" w:rsidR="002F0988" w:rsidRPr="002C1A2C" w:rsidRDefault="002F0988" w:rsidP="009139A5">
            <w:pPr>
              <w:spacing w:line="360" w:lineRule="auto"/>
              <w:jc w:val="both"/>
              <w:rPr>
                <w:rFonts w:asciiTheme="majorHAnsi" w:hAnsiTheme="majorHAnsi" w:cstheme="majorHAnsi"/>
                <w:color w:val="EE0000"/>
                <w:sz w:val="24"/>
                <w:szCs w:val="24"/>
              </w:rPr>
            </w:pPr>
          </w:p>
        </w:tc>
        <w:tc>
          <w:tcPr>
            <w:tcW w:w="1250" w:type="pct"/>
          </w:tcPr>
          <w:p w14:paraId="030C53E7" w14:textId="77777777" w:rsidR="002F0988" w:rsidRPr="002C1A2C" w:rsidRDefault="002F0988" w:rsidP="009139A5">
            <w:pPr>
              <w:spacing w:line="360" w:lineRule="auto"/>
              <w:jc w:val="both"/>
              <w:rPr>
                <w:rFonts w:asciiTheme="majorHAnsi" w:hAnsiTheme="majorHAnsi" w:cstheme="majorHAnsi"/>
                <w:color w:val="EE0000"/>
                <w:sz w:val="24"/>
                <w:szCs w:val="24"/>
              </w:rPr>
            </w:pPr>
          </w:p>
        </w:tc>
      </w:tr>
      <w:tr w:rsidR="009139A5" w:rsidRPr="002C1A2C" w14:paraId="01D628AF" w14:textId="1D1FDA8E" w:rsidTr="7DE461B5">
        <w:trPr>
          <w:trHeight w:val="300"/>
        </w:trPr>
        <w:tc>
          <w:tcPr>
            <w:tcW w:w="1250" w:type="pct"/>
          </w:tcPr>
          <w:p w14:paraId="13A5B4A0" w14:textId="7686E1FD"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VI - as diretrizes para observância de princípios de responsabilidade ambiental, social e de governança, preferencialmente, de forma diferenciada por setores da atividade econômica; e</w:t>
            </w:r>
          </w:p>
        </w:tc>
        <w:tc>
          <w:tcPr>
            <w:tcW w:w="1250" w:type="pct"/>
          </w:tcPr>
          <w:p w14:paraId="18261ABB" w14:textId="3E0B5DFC" w:rsidR="009139A5" w:rsidRPr="00F43C57" w:rsidRDefault="009139A5" w:rsidP="009139A5">
            <w:pPr>
              <w:spacing w:line="360" w:lineRule="auto"/>
              <w:jc w:val="both"/>
              <w:rPr>
                <w:rFonts w:asciiTheme="majorHAnsi" w:hAnsiTheme="majorHAnsi" w:cstheme="majorHAnsi"/>
                <w:color w:val="FF0000"/>
                <w:sz w:val="24"/>
                <w:szCs w:val="24"/>
              </w:rPr>
            </w:pPr>
            <w:r w:rsidRPr="00F43C57">
              <w:rPr>
                <w:rFonts w:asciiTheme="majorHAnsi" w:hAnsiTheme="majorHAnsi" w:cstheme="majorHAnsi"/>
                <w:color w:val="EE0000"/>
                <w:sz w:val="24"/>
                <w:szCs w:val="24"/>
              </w:rPr>
              <w:t>Revogado</w:t>
            </w:r>
            <w:r>
              <w:rPr>
                <w:rFonts w:asciiTheme="majorHAnsi" w:hAnsiTheme="majorHAnsi" w:cstheme="majorHAnsi"/>
                <w:color w:val="EE0000"/>
                <w:sz w:val="24"/>
                <w:szCs w:val="24"/>
              </w:rPr>
              <w:t xml:space="preserve"> </w:t>
            </w:r>
          </w:p>
        </w:tc>
        <w:tc>
          <w:tcPr>
            <w:tcW w:w="1250" w:type="pct"/>
          </w:tcPr>
          <w:p w14:paraId="08DC2DD0" w14:textId="707B92DC" w:rsidR="009139A5" w:rsidRPr="002C1A2C" w:rsidRDefault="009139A5" w:rsidP="009139A5">
            <w:pPr>
              <w:spacing w:line="360" w:lineRule="auto"/>
              <w:jc w:val="both"/>
              <w:rPr>
                <w:rFonts w:asciiTheme="majorHAnsi" w:hAnsiTheme="majorHAnsi" w:cstheme="majorHAnsi"/>
                <w:color w:val="EE0000"/>
                <w:sz w:val="24"/>
                <w:szCs w:val="24"/>
              </w:rPr>
            </w:pPr>
            <w:r w:rsidRPr="002C1A2C">
              <w:rPr>
                <w:rFonts w:asciiTheme="majorHAnsi" w:hAnsiTheme="majorHAnsi" w:cstheme="majorHAnsi"/>
                <w:color w:val="EE0000"/>
                <w:sz w:val="24"/>
                <w:szCs w:val="24"/>
              </w:rPr>
              <w:t>Revogar o inciso VI porque o conteúdo será abrangido pelo disciplinado na alínea “h” do inciso VII, do mesmo artigo.</w:t>
            </w:r>
          </w:p>
        </w:tc>
        <w:tc>
          <w:tcPr>
            <w:tcW w:w="1250" w:type="pct"/>
          </w:tcPr>
          <w:p w14:paraId="32E21E9D" w14:textId="77777777" w:rsidR="009139A5" w:rsidRPr="002C1A2C" w:rsidRDefault="009139A5" w:rsidP="009139A5">
            <w:pPr>
              <w:spacing w:line="360" w:lineRule="auto"/>
              <w:jc w:val="both"/>
              <w:rPr>
                <w:rFonts w:asciiTheme="majorHAnsi" w:hAnsiTheme="majorHAnsi" w:cstheme="majorHAnsi"/>
                <w:color w:val="EE0000"/>
                <w:sz w:val="24"/>
                <w:szCs w:val="24"/>
              </w:rPr>
            </w:pPr>
          </w:p>
        </w:tc>
      </w:tr>
      <w:tr w:rsidR="00B62667" w:rsidRPr="002C1A2C" w14:paraId="1AEA4353" w14:textId="77777777" w:rsidTr="7DE461B5">
        <w:trPr>
          <w:trHeight w:val="300"/>
        </w:trPr>
        <w:tc>
          <w:tcPr>
            <w:tcW w:w="1250" w:type="pct"/>
          </w:tcPr>
          <w:p w14:paraId="2261A15B" w14:textId="520C2FC5" w:rsidR="00B62667" w:rsidRPr="002C1A2C" w:rsidRDefault="00B62667" w:rsidP="00B62667">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VII - as informações ou a indicação de documento em que constem procedimentos e critérios relativos à:</w:t>
            </w:r>
          </w:p>
        </w:tc>
        <w:tc>
          <w:tcPr>
            <w:tcW w:w="1250" w:type="pct"/>
          </w:tcPr>
          <w:p w14:paraId="1677EA77" w14:textId="68229564" w:rsidR="00B62667" w:rsidRPr="002C1A2C" w:rsidRDefault="00B62667" w:rsidP="00B62667">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VII </w:t>
            </w:r>
            <w:r>
              <w:rPr>
                <w:rFonts w:asciiTheme="majorHAnsi" w:hAnsiTheme="majorHAnsi" w:cstheme="majorHAnsi"/>
                <w:sz w:val="24"/>
                <w:szCs w:val="24"/>
              </w:rPr>
              <w:t>(...)</w:t>
            </w:r>
          </w:p>
        </w:tc>
        <w:tc>
          <w:tcPr>
            <w:tcW w:w="1250" w:type="pct"/>
          </w:tcPr>
          <w:p w14:paraId="116A98DF" w14:textId="77777777" w:rsidR="00B62667" w:rsidRPr="002C1A2C" w:rsidRDefault="00B62667" w:rsidP="00B62667">
            <w:pPr>
              <w:spacing w:line="360" w:lineRule="auto"/>
              <w:jc w:val="both"/>
              <w:rPr>
                <w:rFonts w:asciiTheme="majorHAnsi" w:hAnsiTheme="majorHAnsi" w:cstheme="majorHAnsi"/>
                <w:sz w:val="24"/>
                <w:szCs w:val="24"/>
              </w:rPr>
            </w:pPr>
          </w:p>
        </w:tc>
        <w:tc>
          <w:tcPr>
            <w:tcW w:w="1250" w:type="pct"/>
          </w:tcPr>
          <w:p w14:paraId="41775AFC" w14:textId="77777777" w:rsidR="00B62667" w:rsidRPr="002C1A2C" w:rsidRDefault="00B62667" w:rsidP="00B62667">
            <w:pPr>
              <w:spacing w:line="360" w:lineRule="auto"/>
              <w:jc w:val="both"/>
              <w:rPr>
                <w:rFonts w:asciiTheme="majorHAnsi" w:hAnsiTheme="majorHAnsi" w:cstheme="majorHAnsi"/>
                <w:sz w:val="24"/>
                <w:szCs w:val="24"/>
              </w:rPr>
            </w:pPr>
          </w:p>
        </w:tc>
      </w:tr>
      <w:tr w:rsidR="009139A5" w:rsidRPr="002C1A2C" w14:paraId="615EEFCE" w14:textId="71230CBA" w:rsidTr="7DE461B5">
        <w:trPr>
          <w:trHeight w:val="300"/>
        </w:trPr>
        <w:tc>
          <w:tcPr>
            <w:tcW w:w="1250" w:type="pct"/>
          </w:tcPr>
          <w:p w14:paraId="16F85C54" w14:textId="0CE5A59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 precificação dos ativos financeiros com metodologia ou as fontes de referência adotadas;</w:t>
            </w:r>
          </w:p>
        </w:tc>
        <w:tc>
          <w:tcPr>
            <w:tcW w:w="1250" w:type="pct"/>
          </w:tcPr>
          <w:p w14:paraId="7BAA1683" w14:textId="09707E2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 precificação dos ativos financeiros</w:t>
            </w:r>
            <w:r w:rsidRPr="002C1A2C">
              <w:rPr>
                <w:rFonts w:asciiTheme="majorHAnsi" w:hAnsiTheme="majorHAnsi" w:cstheme="majorHAnsi"/>
                <w:color w:val="0070C0"/>
                <w:sz w:val="24"/>
                <w:szCs w:val="24"/>
              </w:rPr>
              <w:t>,</w:t>
            </w:r>
            <w:r w:rsidRPr="002C1A2C">
              <w:rPr>
                <w:rFonts w:asciiTheme="majorHAnsi" w:hAnsiTheme="majorHAnsi" w:cstheme="majorHAnsi"/>
                <w:sz w:val="24"/>
                <w:szCs w:val="24"/>
              </w:rPr>
              <w:t xml:space="preserve"> com metodologia </w:t>
            </w:r>
            <w:r w:rsidRPr="002C1A2C">
              <w:rPr>
                <w:rFonts w:asciiTheme="majorHAnsi" w:hAnsiTheme="majorHAnsi" w:cstheme="majorHAnsi"/>
                <w:strike/>
                <w:color w:val="EE0000"/>
                <w:sz w:val="24"/>
                <w:szCs w:val="24"/>
              </w:rPr>
              <w:t>ou</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e </w:t>
            </w:r>
            <w:r w:rsidRPr="002C1A2C">
              <w:rPr>
                <w:rFonts w:asciiTheme="majorHAnsi" w:hAnsiTheme="majorHAnsi" w:cstheme="majorHAnsi"/>
                <w:sz w:val="24"/>
                <w:szCs w:val="24"/>
              </w:rPr>
              <w:t>as fontes de referência adotadas;</w:t>
            </w:r>
            <w:r>
              <w:rPr>
                <w:rFonts w:asciiTheme="majorHAnsi" w:hAnsiTheme="majorHAnsi" w:cstheme="majorHAnsi"/>
                <w:sz w:val="24"/>
                <w:szCs w:val="24"/>
              </w:rPr>
              <w:t xml:space="preserve"> </w:t>
            </w:r>
          </w:p>
        </w:tc>
        <w:tc>
          <w:tcPr>
            <w:tcW w:w="1250" w:type="pct"/>
          </w:tcPr>
          <w:p w14:paraId="472E96E0" w14:textId="1B2140E4"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4CA75504" w14:textId="155BA38F"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7B47F0" w:rsidRPr="002C1A2C">
              <w:rPr>
                <w:rFonts w:asciiTheme="majorHAnsi" w:hAnsiTheme="majorHAnsi" w:cstheme="majorHAnsi"/>
                <w:sz w:val="24"/>
                <w:szCs w:val="24"/>
              </w:rPr>
              <w:t xml:space="preserve"> - Mero aprimoramento redacional, sem alteração de mérito para eliminação de possíveis ambiguidades.</w:t>
            </w:r>
          </w:p>
        </w:tc>
      </w:tr>
      <w:tr w:rsidR="002F0988" w:rsidRPr="002C1A2C" w14:paraId="4F7D79E4" w14:textId="77777777" w:rsidTr="7DE461B5">
        <w:trPr>
          <w:trHeight w:val="300"/>
        </w:trPr>
        <w:tc>
          <w:tcPr>
            <w:tcW w:w="1250" w:type="pct"/>
          </w:tcPr>
          <w:p w14:paraId="736DF992"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5D0C48AE" w14:textId="3BA49FB8" w:rsidR="002F0988" w:rsidRPr="18B953AA" w:rsidRDefault="002F0988" w:rsidP="009139A5">
            <w:pPr>
              <w:spacing w:line="360" w:lineRule="auto"/>
              <w:jc w:val="both"/>
              <w:rPr>
                <w:rFonts w:asciiTheme="majorHAnsi" w:hAnsiTheme="majorHAnsi" w:cstheme="majorBidi"/>
                <w:sz w:val="24"/>
                <w:szCs w:val="24"/>
              </w:rPr>
            </w:pPr>
            <w:r>
              <w:rPr>
                <w:rFonts w:asciiTheme="majorHAnsi" w:hAnsiTheme="majorHAnsi" w:cstheme="majorHAnsi"/>
                <w:sz w:val="24"/>
                <w:szCs w:val="24"/>
              </w:rPr>
              <w:t>(...)</w:t>
            </w:r>
          </w:p>
        </w:tc>
        <w:tc>
          <w:tcPr>
            <w:tcW w:w="1250" w:type="pct"/>
          </w:tcPr>
          <w:p w14:paraId="3B4D11C1"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16AEEB16" w14:textId="77777777" w:rsidR="002F0988" w:rsidRPr="002C1A2C" w:rsidRDefault="002F0988" w:rsidP="009139A5">
            <w:pPr>
              <w:spacing w:line="360" w:lineRule="auto"/>
              <w:jc w:val="both"/>
              <w:rPr>
                <w:rFonts w:asciiTheme="majorHAnsi" w:hAnsiTheme="majorHAnsi" w:cstheme="majorHAnsi"/>
                <w:sz w:val="24"/>
                <w:szCs w:val="24"/>
              </w:rPr>
            </w:pPr>
          </w:p>
        </w:tc>
      </w:tr>
      <w:tr w:rsidR="009139A5" w:rsidRPr="002C1A2C" w14:paraId="534F3592" w14:textId="7038E99C" w:rsidTr="7DE461B5">
        <w:trPr>
          <w:trHeight w:val="300"/>
        </w:trPr>
        <w:tc>
          <w:tcPr>
            <w:tcW w:w="1250" w:type="pct"/>
          </w:tcPr>
          <w:p w14:paraId="1322AA7C" w14:textId="76724D6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g) mitigação de potenciais conflitos de interesse de seus prestadores de serviços e das pessoas que participam do processo decisório.</w:t>
            </w:r>
          </w:p>
        </w:tc>
        <w:tc>
          <w:tcPr>
            <w:tcW w:w="1250" w:type="pct"/>
          </w:tcPr>
          <w:p w14:paraId="39586631" w14:textId="3826CAB2" w:rsidR="009139A5" w:rsidRPr="002C1A2C" w:rsidRDefault="009139A5" w:rsidP="009139A5">
            <w:pPr>
              <w:spacing w:line="360" w:lineRule="auto"/>
              <w:jc w:val="both"/>
              <w:rPr>
                <w:rFonts w:asciiTheme="majorHAnsi" w:hAnsiTheme="majorHAnsi" w:cstheme="majorBidi"/>
                <w:sz w:val="24"/>
                <w:szCs w:val="24"/>
              </w:rPr>
            </w:pPr>
            <w:r w:rsidRPr="18B953AA">
              <w:rPr>
                <w:rFonts w:asciiTheme="majorHAnsi" w:hAnsiTheme="majorHAnsi" w:cstheme="majorBidi"/>
                <w:sz w:val="24"/>
                <w:szCs w:val="24"/>
              </w:rPr>
              <w:t>g) mitigação de potenciais conflitos de interesses de seus prestadores de serviços e das pessoas que participam do processo decisório</w:t>
            </w:r>
            <w:r w:rsidRPr="18B953AA">
              <w:rPr>
                <w:rFonts w:asciiTheme="majorHAnsi" w:hAnsiTheme="majorHAnsi" w:cstheme="majorBidi"/>
                <w:color w:val="0070C0"/>
                <w:sz w:val="24"/>
                <w:szCs w:val="24"/>
              </w:rPr>
              <w:t>; e</w:t>
            </w:r>
          </w:p>
        </w:tc>
        <w:tc>
          <w:tcPr>
            <w:tcW w:w="1250" w:type="pct"/>
          </w:tcPr>
          <w:p w14:paraId="0F5537ED" w14:textId="3862AB83"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1AF7AB51"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6A0AB825" w14:textId="5C9C6158" w:rsidTr="7DE461B5">
        <w:trPr>
          <w:trHeight w:val="300"/>
        </w:trPr>
        <w:tc>
          <w:tcPr>
            <w:tcW w:w="1250" w:type="pct"/>
          </w:tcPr>
          <w:p w14:paraId="7937D256"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6D8D170A" w14:textId="21F3ECCC" w:rsidR="009139A5" w:rsidRPr="002C1A2C" w:rsidRDefault="009139A5" w:rsidP="009139A5">
            <w:pPr>
              <w:spacing w:line="360" w:lineRule="auto"/>
              <w:jc w:val="both"/>
              <w:rPr>
                <w:rFonts w:asciiTheme="majorHAnsi" w:eastAsia="Times New Roman" w:hAnsiTheme="majorHAnsi" w:cstheme="majorBidi"/>
                <w:sz w:val="24"/>
                <w:szCs w:val="24"/>
              </w:rPr>
            </w:pPr>
            <w:r w:rsidRPr="5AFDFDC4">
              <w:rPr>
                <w:rFonts w:asciiTheme="majorHAnsi" w:hAnsiTheme="majorHAnsi" w:cstheme="majorBidi"/>
                <w:color w:val="0070C0"/>
                <w:sz w:val="24"/>
                <w:szCs w:val="24"/>
              </w:rPr>
              <w:t xml:space="preserve">h) </w:t>
            </w:r>
            <w:r w:rsidRPr="5AFDFDC4">
              <w:rPr>
                <w:rFonts w:asciiTheme="majorHAnsi" w:eastAsia="Aptos" w:hAnsiTheme="majorHAnsi" w:cstheme="majorBidi"/>
                <w:color w:val="0070C0"/>
                <w:sz w:val="24"/>
                <w:szCs w:val="24"/>
              </w:rPr>
              <w:t xml:space="preserve"> descrição da metodologia para a </w:t>
            </w:r>
            <w:r w:rsidRPr="5AFDFDC4">
              <w:rPr>
                <w:rFonts w:asciiTheme="majorHAnsi" w:hAnsiTheme="majorHAnsi" w:cstheme="majorBidi"/>
                <w:color w:val="0070C0"/>
                <w:sz w:val="24"/>
                <w:szCs w:val="24"/>
              </w:rPr>
              <w:t>análise da materialidade e relevância dos fatores de sustentabilidade econômica, ambiental e social, nos termos do § 1º do art. 368-</w:t>
            </w:r>
            <w:r w:rsidR="002F5A4A">
              <w:rPr>
                <w:rFonts w:asciiTheme="majorHAnsi" w:hAnsiTheme="majorHAnsi" w:cstheme="majorBidi"/>
                <w:color w:val="0070C0"/>
                <w:sz w:val="24"/>
                <w:szCs w:val="24"/>
              </w:rPr>
              <w:t>B</w:t>
            </w:r>
            <w:r>
              <w:rPr>
                <w:rFonts w:asciiTheme="majorHAnsi" w:hAnsiTheme="majorHAnsi" w:cstheme="majorBidi"/>
                <w:color w:val="0070C0"/>
                <w:sz w:val="24"/>
                <w:szCs w:val="24"/>
              </w:rPr>
              <w:t>.</w:t>
            </w:r>
          </w:p>
        </w:tc>
        <w:tc>
          <w:tcPr>
            <w:tcW w:w="1250" w:type="pct"/>
          </w:tcPr>
          <w:p w14:paraId="4B515CED" w14:textId="4A9CD73F"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Estabelecer que a política de investimentos descreva sobre os filtros e supra a necessidade de registro dos documentos.</w:t>
            </w:r>
          </w:p>
          <w:p w14:paraId="029DC1AA" w14:textId="071FF5B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O novo regramento relativo à integração de critérios Ambientais, Sociais e de Governança (ASG) fundamenta-se na elaboração, pela própria Entidade Fechada de Previdência Complementar (EFPC), de um documento normativo interno. Nesse documento, a EFPC </w:t>
            </w:r>
            <w:r w:rsidRPr="002C1A2C">
              <w:rPr>
                <w:rFonts w:asciiTheme="majorHAnsi" w:hAnsiTheme="majorHAnsi" w:cstheme="majorHAnsi"/>
                <w:sz w:val="24"/>
                <w:szCs w:val="24"/>
              </w:rPr>
              <w:lastRenderedPageBreak/>
              <w:t>estabelecerá os critérios e procedimentos para a condução da análise de materialidade e relevância aplicáveis aos investimentos quanto a aspectos ASG. Tal instrumento funcionará como um filtro orientador: somente os investimentos que atenderem aos parâmetros definidos nesse documento deverão ser submetidos à análise ASG, em consonância com o previsto na regulamentação vigente.</w:t>
            </w:r>
          </w:p>
          <w:p w14:paraId="58B9C6C1" w14:textId="5FFD697E"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312D7748" w14:textId="77777777" w:rsidR="00984483" w:rsidRPr="002C1A2C" w:rsidRDefault="00984483" w:rsidP="00984483">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p w14:paraId="3845D7F4" w14:textId="77777777" w:rsidR="00984483" w:rsidRPr="002C1A2C" w:rsidRDefault="00984483" w:rsidP="00984483">
            <w:pPr>
              <w:spacing w:line="360" w:lineRule="auto"/>
              <w:jc w:val="both"/>
              <w:rPr>
                <w:rFonts w:asciiTheme="majorHAnsi" w:hAnsiTheme="majorHAnsi" w:cstheme="majorHAnsi"/>
                <w:sz w:val="24"/>
                <w:szCs w:val="24"/>
              </w:rPr>
            </w:pPr>
          </w:p>
          <w:p w14:paraId="6A7A7A77" w14:textId="77777777" w:rsidR="00984483" w:rsidRPr="002C1A2C" w:rsidRDefault="00984483" w:rsidP="00984483">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 regulamentação dos §§ 4º e 5º do art. 2º da Resolução CMN nº 4.994, de 2022, configura disciplinamento de obrigações expressamente delegadas à Previc pelo Conselho Monetário Nacional. O § 5º estabelece que as EFPC devem avaliar e dar transparência aos impactos </w:t>
            </w:r>
            <w:r w:rsidRPr="002C1A2C">
              <w:rPr>
                <w:rFonts w:asciiTheme="majorHAnsi" w:hAnsiTheme="majorHAnsi" w:cstheme="majorHAnsi"/>
                <w:sz w:val="24"/>
                <w:szCs w:val="24"/>
              </w:rPr>
              <w:lastRenderedPageBreak/>
              <w:t>ambientais, sociais ou de governança, observando segmentação e critérios definidos pela Previc.</w:t>
            </w:r>
          </w:p>
          <w:p w14:paraId="369607A3" w14:textId="6CB4F60C" w:rsidR="009139A5" w:rsidRPr="002C1A2C" w:rsidRDefault="00984483" w:rsidP="005A592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O cumprimento dessa delegação é tecnicamente indissociável da regulamentação dos critérios de materialidade e relevância do § 4º. A expressão 'quando julgar material e relevante' constitui pressuposto essencial para implementar adequadamente a avaliação e transparência determinadas pelo CMN, pois a ausência de parâmetros normativos tornaria inexequível o comando superior.</w:t>
            </w:r>
          </w:p>
        </w:tc>
      </w:tr>
      <w:tr w:rsidR="009139A5" w:rsidRPr="002C1A2C" w14:paraId="6B259E83" w14:textId="446F3E7E" w:rsidTr="7DE461B5">
        <w:trPr>
          <w:trHeight w:val="300"/>
        </w:trPr>
        <w:tc>
          <w:tcPr>
            <w:tcW w:w="1250" w:type="pct"/>
          </w:tcPr>
          <w:p w14:paraId="47D680B5" w14:textId="448C5EF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Art. 213.  A EFPC que oferecer perfil de investimento nos planos de benefícios deve:</w:t>
            </w:r>
          </w:p>
        </w:tc>
        <w:tc>
          <w:tcPr>
            <w:tcW w:w="1250" w:type="pct"/>
          </w:tcPr>
          <w:p w14:paraId="407594A7" w14:textId="0BAA49C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213.  </w:t>
            </w:r>
            <w:r>
              <w:rPr>
                <w:rFonts w:asciiTheme="majorHAnsi" w:hAnsiTheme="majorHAnsi" w:cstheme="majorHAnsi"/>
                <w:sz w:val="24"/>
                <w:szCs w:val="24"/>
              </w:rPr>
              <w:t>(...)</w:t>
            </w:r>
          </w:p>
        </w:tc>
        <w:tc>
          <w:tcPr>
            <w:tcW w:w="1250" w:type="pct"/>
          </w:tcPr>
          <w:p w14:paraId="79D49358" w14:textId="658E57D5"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4677F9BF" w14:textId="17A507CA"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EAE5525" w14:textId="4065EFAF" w:rsidTr="7DE461B5">
        <w:trPr>
          <w:trHeight w:val="300"/>
        </w:trPr>
        <w:tc>
          <w:tcPr>
            <w:tcW w:w="1250" w:type="pct"/>
          </w:tcPr>
          <w:p w14:paraId="2411A258" w14:textId="208FCB3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V - manter cópia, por meio digital, de todos os documentos utilizados pela EFPC para atender os </w:t>
            </w:r>
            <w:r w:rsidRPr="002C1A2C">
              <w:rPr>
                <w:rFonts w:asciiTheme="majorHAnsi" w:hAnsiTheme="majorHAnsi" w:cstheme="majorHAnsi"/>
                <w:sz w:val="24"/>
                <w:szCs w:val="24"/>
              </w:rPr>
              <w:lastRenderedPageBreak/>
              <w:t>procedimentos de que trata esta Seção.</w:t>
            </w:r>
          </w:p>
        </w:tc>
        <w:tc>
          <w:tcPr>
            <w:tcW w:w="1250" w:type="pct"/>
          </w:tcPr>
          <w:p w14:paraId="539F814D" w14:textId="12737A0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V - manter cópia, por meio digital, de todos os documentos utilizados pela EFPC para atender </w:t>
            </w:r>
            <w:r w:rsidRPr="002C1A2C">
              <w:rPr>
                <w:rFonts w:asciiTheme="majorHAnsi" w:hAnsiTheme="majorHAnsi" w:cstheme="majorHAnsi"/>
                <w:strike/>
                <w:color w:val="EE0000"/>
                <w:sz w:val="24"/>
                <w:szCs w:val="24"/>
              </w:rPr>
              <w:t xml:space="preserve">os </w:t>
            </w:r>
            <w:r w:rsidRPr="002C1A2C">
              <w:rPr>
                <w:rFonts w:asciiTheme="majorHAnsi" w:hAnsiTheme="majorHAnsi" w:cstheme="majorHAnsi"/>
                <w:strike/>
                <w:color w:val="EE0000"/>
                <w:sz w:val="24"/>
                <w:szCs w:val="24"/>
              </w:rPr>
              <w:lastRenderedPageBreak/>
              <w:t>procedimentos de que trata esta</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ao disposto</w:t>
            </w:r>
            <w:r w:rsidRPr="002C1A2C">
              <w:rPr>
                <w:rFonts w:asciiTheme="majorHAnsi" w:hAnsiTheme="majorHAnsi" w:cstheme="majorHAnsi"/>
                <w:strike/>
                <w:color w:val="0070C0"/>
                <w:sz w:val="24"/>
                <w:szCs w:val="24"/>
              </w:rPr>
              <w:t xml:space="preserve"> </w:t>
            </w:r>
            <w:r w:rsidRPr="002C1A2C">
              <w:rPr>
                <w:rFonts w:asciiTheme="majorHAnsi" w:hAnsiTheme="majorHAnsi" w:cstheme="majorHAnsi"/>
                <w:color w:val="0070C0"/>
                <w:sz w:val="24"/>
                <w:szCs w:val="24"/>
              </w:rPr>
              <w:t>nesta</w:t>
            </w:r>
            <w:r w:rsidRPr="002C1A2C">
              <w:rPr>
                <w:rFonts w:asciiTheme="majorHAnsi" w:hAnsiTheme="majorHAnsi" w:cstheme="majorHAnsi"/>
                <w:sz w:val="24"/>
                <w:szCs w:val="24"/>
              </w:rPr>
              <w:t xml:space="preserve"> Seção.</w:t>
            </w:r>
          </w:p>
        </w:tc>
        <w:tc>
          <w:tcPr>
            <w:tcW w:w="1250" w:type="pct"/>
          </w:tcPr>
          <w:p w14:paraId="2930580B" w14:textId="194D8C73" w:rsidR="009139A5" w:rsidRPr="002C1A2C" w:rsidRDefault="009E3B40" w:rsidP="0A440071">
            <w:pPr>
              <w:spacing w:line="360" w:lineRule="auto"/>
              <w:jc w:val="both"/>
              <w:rPr>
                <w:rFonts w:asciiTheme="majorHAnsi" w:hAnsiTheme="majorHAnsi" w:cstheme="majorBidi"/>
                <w:sz w:val="24"/>
                <w:szCs w:val="24"/>
              </w:rPr>
            </w:pPr>
            <w:r w:rsidRPr="009E3B40">
              <w:rPr>
                <w:rFonts w:asciiTheme="majorHAnsi" w:hAnsiTheme="majorHAnsi" w:cstheme="majorBidi"/>
                <w:color w:val="000000" w:themeColor="text1"/>
                <w:sz w:val="24"/>
                <w:szCs w:val="24"/>
              </w:rPr>
              <w:lastRenderedPageBreak/>
              <w:t>Ajuste redacional para aprimorar a compreensão</w:t>
            </w:r>
            <w:r>
              <w:rPr>
                <w:rFonts w:asciiTheme="majorHAnsi" w:hAnsiTheme="majorHAnsi" w:cstheme="majorBidi"/>
                <w:color w:val="000000" w:themeColor="text1"/>
                <w:sz w:val="24"/>
                <w:szCs w:val="24"/>
              </w:rPr>
              <w:t xml:space="preserve">, </w:t>
            </w:r>
            <w:r w:rsidR="009139A5" w:rsidRPr="0A440071">
              <w:rPr>
                <w:rFonts w:asciiTheme="majorHAnsi" w:hAnsiTheme="majorHAnsi" w:cstheme="majorBidi"/>
                <w:color w:val="000000" w:themeColor="text1"/>
                <w:sz w:val="24"/>
                <w:szCs w:val="24"/>
              </w:rPr>
              <w:t xml:space="preserve">reduzindo possíveis ambiguidades.  </w:t>
            </w:r>
          </w:p>
        </w:tc>
        <w:tc>
          <w:tcPr>
            <w:tcW w:w="1250" w:type="pct"/>
          </w:tcPr>
          <w:p w14:paraId="6F2EED04" w14:textId="36A31110" w:rsidR="009139A5" w:rsidRPr="002C1A2C" w:rsidRDefault="008B0A78" w:rsidP="009139A5">
            <w:pPr>
              <w:spacing w:line="360" w:lineRule="auto"/>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Inciso IV do art. 4º do Decreto nº 10.411, de 2020</w:t>
            </w:r>
            <w:r w:rsidR="005A5920" w:rsidRPr="005A5920">
              <w:rPr>
                <w:rFonts w:asciiTheme="majorHAnsi" w:hAnsiTheme="majorHAnsi" w:cstheme="majorHAnsi"/>
                <w:color w:val="000000" w:themeColor="text1"/>
                <w:sz w:val="24"/>
                <w:szCs w:val="24"/>
              </w:rPr>
              <w:t xml:space="preserve"> - Mero aprimoramento redacional, sem alteração de mérito para </w:t>
            </w:r>
            <w:r w:rsidR="005A5920" w:rsidRPr="005A5920">
              <w:rPr>
                <w:rFonts w:asciiTheme="majorHAnsi" w:hAnsiTheme="majorHAnsi" w:cstheme="majorHAnsi"/>
                <w:color w:val="000000" w:themeColor="text1"/>
                <w:sz w:val="24"/>
                <w:szCs w:val="24"/>
              </w:rPr>
              <w:lastRenderedPageBreak/>
              <w:t>eliminação de possíveis ambiguidades.</w:t>
            </w:r>
          </w:p>
        </w:tc>
      </w:tr>
      <w:tr w:rsidR="009139A5" w:rsidRPr="002C1A2C" w14:paraId="7104B37F" w14:textId="37D8142B" w:rsidTr="7DE461B5">
        <w:trPr>
          <w:trHeight w:val="300"/>
        </w:trPr>
        <w:tc>
          <w:tcPr>
            <w:tcW w:w="1250" w:type="pct"/>
          </w:tcPr>
          <w:p w14:paraId="4461A2E6" w14:textId="3D88F97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Art. 214.  A opção do participante ou assistido por perfil de investimento ou a sua alteração deve ser formalizada em termo específico.</w:t>
            </w:r>
          </w:p>
        </w:tc>
        <w:tc>
          <w:tcPr>
            <w:tcW w:w="1250" w:type="pct"/>
          </w:tcPr>
          <w:p w14:paraId="641E1A96" w14:textId="3DE777B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214.  </w:t>
            </w:r>
            <w:r>
              <w:rPr>
                <w:rFonts w:asciiTheme="majorHAnsi" w:hAnsiTheme="majorHAnsi" w:cstheme="majorHAnsi"/>
                <w:sz w:val="24"/>
                <w:szCs w:val="24"/>
              </w:rPr>
              <w:t>(...)</w:t>
            </w:r>
          </w:p>
        </w:tc>
        <w:tc>
          <w:tcPr>
            <w:tcW w:w="1250" w:type="pct"/>
          </w:tcPr>
          <w:p w14:paraId="71EECB93" w14:textId="05B3D3D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4931443A"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32E30CA" w14:textId="21BD87C4" w:rsidTr="7DE461B5">
        <w:trPr>
          <w:trHeight w:val="300"/>
        </w:trPr>
        <w:tc>
          <w:tcPr>
            <w:tcW w:w="1250" w:type="pct"/>
          </w:tcPr>
          <w:p w14:paraId="235B4176" w14:textId="4AD83EA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1250" w:type="pct"/>
          </w:tcPr>
          <w:p w14:paraId="5C66FAF5" w14:textId="3E99979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§1º  Caso a EFPC identifique que o perfil de investimento escolhido pelo participante ou assistido não é adequado ao seu perfil, deverá alertá-lo, para que o participante, a seu critério, confirme a </w:t>
            </w:r>
            <w:r w:rsidRPr="002C1A2C">
              <w:rPr>
                <w:rFonts w:asciiTheme="majorHAnsi" w:hAnsiTheme="majorHAnsi" w:cstheme="majorHAnsi"/>
                <w:strike/>
                <w:color w:val="EE0000"/>
                <w:sz w:val="24"/>
                <w:szCs w:val="24"/>
              </w:rPr>
              <w:t>alteração</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 xml:space="preserve">seleção </w:t>
            </w:r>
            <w:r w:rsidRPr="002C1A2C">
              <w:rPr>
                <w:rFonts w:asciiTheme="majorHAnsi" w:hAnsiTheme="majorHAnsi" w:cstheme="majorHAnsi"/>
                <w:strike/>
                <w:color w:val="EE0000"/>
                <w:sz w:val="24"/>
                <w:szCs w:val="24"/>
              </w:rPr>
              <w:t>de</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 xml:space="preserve">do </w:t>
            </w:r>
            <w:r w:rsidRPr="002C1A2C">
              <w:rPr>
                <w:rFonts w:asciiTheme="majorHAnsi" w:hAnsiTheme="majorHAnsi" w:cstheme="majorHAnsi"/>
                <w:sz w:val="24"/>
                <w:szCs w:val="24"/>
              </w:rPr>
              <w:t>perfil de investimento.</w:t>
            </w:r>
          </w:p>
        </w:tc>
        <w:tc>
          <w:tcPr>
            <w:tcW w:w="1250" w:type="pct"/>
          </w:tcPr>
          <w:p w14:paraId="75B67187" w14:textId="5A86003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Ajuste redacional para aprimorar a redação, reduzindo possíveis ambiguidades. </w:t>
            </w:r>
          </w:p>
        </w:tc>
        <w:tc>
          <w:tcPr>
            <w:tcW w:w="1250" w:type="pct"/>
          </w:tcPr>
          <w:p w14:paraId="323F74C9" w14:textId="27A861FE"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sidRPr="005A5920">
              <w:rPr>
                <w:rFonts w:asciiTheme="majorHAnsi" w:hAnsiTheme="majorHAnsi" w:cstheme="majorHAnsi"/>
                <w:sz w:val="24"/>
                <w:szCs w:val="24"/>
              </w:rPr>
              <w:t xml:space="preserve"> - Mero aprimoramento redacional, sem alteração de mérito para eliminação de possíveis ambiguidades.</w:t>
            </w:r>
          </w:p>
        </w:tc>
      </w:tr>
      <w:tr w:rsidR="009139A5" w:rsidRPr="002C1A2C" w14:paraId="5DD4B33C" w14:textId="5CB0FE1E" w:rsidTr="7DE461B5">
        <w:trPr>
          <w:trHeight w:val="300"/>
        </w:trPr>
        <w:tc>
          <w:tcPr>
            <w:tcW w:w="1250" w:type="pct"/>
          </w:tcPr>
          <w:p w14:paraId="1A8120E9" w14:textId="1908FAB3"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215.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 </w:t>
            </w:r>
          </w:p>
        </w:tc>
        <w:tc>
          <w:tcPr>
            <w:tcW w:w="1250" w:type="pct"/>
          </w:tcPr>
          <w:p w14:paraId="31C65AEF" w14:textId="26F8863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215.  </w:t>
            </w:r>
            <w:r>
              <w:rPr>
                <w:rFonts w:asciiTheme="majorHAnsi" w:hAnsiTheme="majorHAnsi" w:cstheme="majorHAnsi"/>
                <w:sz w:val="24"/>
                <w:szCs w:val="24"/>
              </w:rPr>
              <w:t>(...)</w:t>
            </w:r>
            <w:r w:rsidRPr="002C1A2C">
              <w:rPr>
                <w:rFonts w:asciiTheme="majorHAnsi" w:hAnsiTheme="majorHAnsi" w:cstheme="majorHAnsi"/>
                <w:sz w:val="24"/>
                <w:szCs w:val="24"/>
              </w:rPr>
              <w:t xml:space="preserve"> </w:t>
            </w:r>
          </w:p>
        </w:tc>
        <w:tc>
          <w:tcPr>
            <w:tcW w:w="1250" w:type="pct"/>
          </w:tcPr>
          <w:p w14:paraId="219B4C8E" w14:textId="3F99BE51"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6BDDE3CD" w14:textId="77777777" w:rsidR="009139A5" w:rsidRPr="002C1A2C" w:rsidRDefault="009139A5" w:rsidP="005A5920">
            <w:pPr>
              <w:spacing w:after="160" w:line="360" w:lineRule="auto"/>
              <w:jc w:val="both"/>
              <w:rPr>
                <w:rFonts w:asciiTheme="majorHAnsi" w:hAnsiTheme="majorHAnsi" w:cstheme="majorHAnsi"/>
                <w:sz w:val="24"/>
                <w:szCs w:val="24"/>
              </w:rPr>
            </w:pPr>
          </w:p>
        </w:tc>
      </w:tr>
      <w:tr w:rsidR="009139A5" w:rsidRPr="002C1A2C" w14:paraId="6E0EE7E0" w14:textId="0E906D30" w:rsidTr="7DE461B5">
        <w:trPr>
          <w:trHeight w:val="300"/>
        </w:trPr>
        <w:tc>
          <w:tcPr>
            <w:tcW w:w="1250" w:type="pct"/>
          </w:tcPr>
          <w:p w14:paraId="154649B9" w14:textId="08866C9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Parágrafo único. A EFPC deve prever a forma de cálculo de cota de cada perfil de investimentos em documento aprovado pelo Conselho Deliberativo.</w:t>
            </w:r>
          </w:p>
        </w:tc>
        <w:tc>
          <w:tcPr>
            <w:tcW w:w="1250" w:type="pct"/>
          </w:tcPr>
          <w:p w14:paraId="30E9C91C" w14:textId="57242D2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Parágrafo único. </w:t>
            </w:r>
            <w:r w:rsidRPr="002C1A2C">
              <w:rPr>
                <w:rFonts w:asciiTheme="majorHAnsi" w:hAnsiTheme="majorHAnsi" w:cstheme="majorHAnsi"/>
                <w:strike/>
                <w:color w:val="EE0000"/>
                <w:sz w:val="24"/>
                <w:szCs w:val="24"/>
              </w:rPr>
              <w:t>A EFPC deve prever a</w:t>
            </w:r>
            <w:r w:rsidRPr="002C1A2C">
              <w:rPr>
                <w:rFonts w:asciiTheme="majorHAnsi" w:hAnsiTheme="majorHAnsi" w:cstheme="majorHAnsi"/>
                <w:color w:val="EE0000"/>
                <w:sz w:val="24"/>
                <w:szCs w:val="24"/>
              </w:rPr>
              <w:t xml:space="preserve"> </w:t>
            </w:r>
            <w:proofErr w:type="spellStart"/>
            <w:r w:rsidRPr="002C1A2C">
              <w:rPr>
                <w:rFonts w:asciiTheme="majorHAnsi" w:hAnsiTheme="majorHAnsi" w:cstheme="majorHAnsi"/>
                <w:color w:val="0070C0"/>
                <w:sz w:val="24"/>
                <w:szCs w:val="24"/>
              </w:rPr>
              <w:t>A</w:t>
            </w:r>
            <w:proofErr w:type="spellEnd"/>
            <w:r w:rsidRPr="002C1A2C">
              <w:rPr>
                <w:rFonts w:asciiTheme="majorHAnsi" w:hAnsiTheme="majorHAnsi" w:cstheme="majorHAnsi"/>
                <w:color w:val="0070C0"/>
                <w:sz w:val="24"/>
                <w:szCs w:val="24"/>
              </w:rPr>
              <w:t xml:space="preserve"> </w:t>
            </w:r>
            <w:r w:rsidRPr="002C1A2C">
              <w:rPr>
                <w:rFonts w:asciiTheme="majorHAnsi" w:hAnsiTheme="majorHAnsi" w:cstheme="majorHAnsi"/>
                <w:sz w:val="24"/>
                <w:szCs w:val="24"/>
              </w:rPr>
              <w:t>forma de cálculo de cota de cada perfil de investimento</w:t>
            </w:r>
            <w:r w:rsidRPr="002C1A2C">
              <w:rPr>
                <w:rFonts w:asciiTheme="majorHAnsi" w:hAnsiTheme="majorHAnsi" w:cstheme="majorHAnsi"/>
                <w:strike/>
                <w:color w:val="EE0000"/>
                <w:sz w:val="24"/>
                <w:szCs w:val="24"/>
              </w:rPr>
              <w:t>s</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deve estar prevista </w:t>
            </w:r>
            <w:r w:rsidRPr="002C1A2C">
              <w:rPr>
                <w:rFonts w:asciiTheme="majorHAnsi" w:hAnsiTheme="majorHAnsi" w:cstheme="majorHAnsi"/>
                <w:sz w:val="24"/>
                <w:szCs w:val="24"/>
              </w:rPr>
              <w:t>em documento aprovado pelo Conselho Deliberativo.</w:t>
            </w:r>
          </w:p>
        </w:tc>
        <w:tc>
          <w:tcPr>
            <w:tcW w:w="1250" w:type="pct"/>
          </w:tcPr>
          <w:p w14:paraId="13D50434" w14:textId="34F1050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Ajuste redacional para deixar claro que a previsão em documento da forma de cálculo de cada perfil não é facultativa.</w:t>
            </w:r>
          </w:p>
        </w:tc>
        <w:tc>
          <w:tcPr>
            <w:tcW w:w="1250" w:type="pct"/>
          </w:tcPr>
          <w:p w14:paraId="44FA9B3C" w14:textId="3AF8311A" w:rsidR="009139A5" w:rsidRPr="002C1A2C" w:rsidRDefault="009139A5" w:rsidP="0A440071">
            <w:pPr>
              <w:spacing w:line="360" w:lineRule="auto"/>
              <w:jc w:val="both"/>
              <w:rPr>
                <w:rFonts w:asciiTheme="majorHAnsi" w:hAnsiTheme="majorHAnsi" w:cstheme="majorBidi"/>
                <w:sz w:val="24"/>
                <w:szCs w:val="24"/>
              </w:rPr>
            </w:pPr>
            <w:r w:rsidRPr="0A440071">
              <w:rPr>
                <w:rFonts w:asciiTheme="majorHAnsi" w:eastAsia="Times New Roman" w:hAnsiTheme="majorHAnsi" w:cstheme="majorBidi"/>
                <w:sz w:val="24"/>
                <w:szCs w:val="24"/>
              </w:rPr>
              <w:t>Inciso IV do art. 4º</w:t>
            </w:r>
            <w:r w:rsidR="49F88765" w:rsidRPr="0A440071">
              <w:rPr>
                <w:rFonts w:asciiTheme="majorHAnsi" w:eastAsia="Times New Roman" w:hAnsiTheme="majorHAnsi" w:cstheme="majorBidi"/>
                <w:sz w:val="24"/>
                <w:szCs w:val="24"/>
              </w:rPr>
              <w:t xml:space="preserve"> do Decreto nº 10.411, de 2020.</w:t>
            </w:r>
          </w:p>
        </w:tc>
      </w:tr>
      <w:tr w:rsidR="009139A5" w:rsidRPr="002C1A2C" w14:paraId="5B9E7B27" w14:textId="65460D47" w:rsidTr="7DE461B5">
        <w:trPr>
          <w:trHeight w:val="300"/>
        </w:trPr>
        <w:tc>
          <w:tcPr>
            <w:tcW w:w="1250" w:type="pct"/>
          </w:tcPr>
          <w:p w14:paraId="72B5D4F5" w14:textId="230F9B56"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III</w:t>
            </w:r>
          </w:p>
          <w:p w14:paraId="0A87BA81" w14:textId="7D74538A"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Ativo Final</w:t>
            </w:r>
          </w:p>
        </w:tc>
        <w:tc>
          <w:tcPr>
            <w:tcW w:w="1250" w:type="pct"/>
          </w:tcPr>
          <w:p w14:paraId="1B6C2F2F" w14:textId="28C6FC59"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III</w:t>
            </w:r>
          </w:p>
          <w:p w14:paraId="43ECE1DC" w14:textId="67DCC486"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Ativo Final</w:t>
            </w:r>
          </w:p>
        </w:tc>
        <w:tc>
          <w:tcPr>
            <w:tcW w:w="1250" w:type="pct"/>
          </w:tcPr>
          <w:p w14:paraId="71A17F53" w14:textId="08270824"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77E836D4"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121D02E3" w14:textId="292C2837" w:rsidTr="7DE461B5">
        <w:trPr>
          <w:trHeight w:val="300"/>
        </w:trPr>
        <w:tc>
          <w:tcPr>
            <w:tcW w:w="1250" w:type="pct"/>
          </w:tcPr>
          <w:p w14:paraId="776DBAA7" w14:textId="65A383B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216.  Considera-se ativo final os ativos financeiros individuais e as cotas de fundos de investimentos de que trata o parágrafo único do art. 32 da Resolução CMN nº 4.994, de 2022.</w:t>
            </w:r>
          </w:p>
        </w:tc>
        <w:tc>
          <w:tcPr>
            <w:tcW w:w="1250" w:type="pct"/>
          </w:tcPr>
          <w:p w14:paraId="69E76580" w14:textId="274262B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216.  Consideram-se </w:t>
            </w:r>
            <w:r w:rsidRPr="002C1A2C">
              <w:rPr>
                <w:rFonts w:asciiTheme="majorHAnsi" w:hAnsiTheme="majorHAnsi" w:cstheme="majorHAnsi"/>
                <w:strike/>
                <w:color w:val="EE0000"/>
                <w:sz w:val="24"/>
                <w:szCs w:val="24"/>
              </w:rPr>
              <w:t>ativo final</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ativos finais </w:t>
            </w:r>
            <w:r w:rsidRPr="002C1A2C">
              <w:rPr>
                <w:rFonts w:asciiTheme="majorHAnsi" w:hAnsiTheme="majorHAnsi" w:cstheme="majorHAnsi"/>
                <w:sz w:val="24"/>
                <w:szCs w:val="24"/>
              </w:rPr>
              <w:t xml:space="preserve">os ativos financeiros individuais e as </w:t>
            </w:r>
            <w:r w:rsidRPr="002C1A2C">
              <w:rPr>
                <w:rFonts w:asciiTheme="majorHAnsi" w:hAnsiTheme="majorHAnsi" w:cstheme="majorHAnsi"/>
                <w:color w:val="0070C0"/>
                <w:sz w:val="24"/>
                <w:szCs w:val="24"/>
              </w:rPr>
              <w:t xml:space="preserve">classes de </w:t>
            </w:r>
            <w:r w:rsidRPr="002C1A2C">
              <w:rPr>
                <w:rFonts w:asciiTheme="majorHAnsi" w:hAnsiTheme="majorHAnsi" w:cstheme="majorHAnsi"/>
                <w:sz w:val="24"/>
                <w:szCs w:val="24"/>
              </w:rPr>
              <w:t xml:space="preserve">cotas de fundos de investimentos de que trata </w:t>
            </w:r>
            <w:r w:rsidRPr="002C1A2C">
              <w:rPr>
                <w:rFonts w:asciiTheme="majorHAnsi" w:hAnsiTheme="majorHAnsi" w:cstheme="majorHAnsi"/>
                <w:strike/>
                <w:color w:val="EE0000"/>
                <w:sz w:val="24"/>
                <w:szCs w:val="24"/>
              </w:rPr>
              <w:t>o parágrafo único do art. 32 da Resolução CMN nº 4.994, de 2022</w:t>
            </w:r>
            <w:r w:rsidRPr="002C1A2C">
              <w:rPr>
                <w:rFonts w:asciiTheme="majorHAnsi" w:hAnsiTheme="majorHAnsi" w:cstheme="majorHAnsi"/>
                <w:color w:val="0070C0"/>
                <w:sz w:val="24"/>
                <w:szCs w:val="24"/>
              </w:rPr>
              <w:t xml:space="preserve"> a</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Resolução do Conselho Monetário Nacional sobre aplicação dos recursos dos planos administrados pelas </w:t>
            </w:r>
            <w:r>
              <w:rPr>
                <w:rFonts w:asciiTheme="majorHAnsi" w:hAnsiTheme="majorHAnsi" w:cstheme="majorHAnsi"/>
                <w:color w:val="0070C0"/>
                <w:sz w:val="24"/>
                <w:szCs w:val="24"/>
              </w:rPr>
              <w:t>EFPC</w:t>
            </w:r>
            <w:r w:rsidRPr="002C1A2C">
              <w:rPr>
                <w:rFonts w:asciiTheme="majorHAnsi" w:hAnsiTheme="majorHAnsi" w:cstheme="majorHAnsi"/>
                <w:color w:val="0070C0"/>
                <w:sz w:val="24"/>
                <w:szCs w:val="24"/>
              </w:rPr>
              <w:t>.</w:t>
            </w:r>
          </w:p>
        </w:tc>
        <w:tc>
          <w:tcPr>
            <w:tcW w:w="1250" w:type="pct"/>
          </w:tcPr>
          <w:p w14:paraId="6D2DD3A3" w14:textId="62778D4D"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Adaptação à Resolução CMN nº 5.202, de 2025, e Resolução CVM nº175, de 2022, assim como retirada expressa da Resolução CMN nº 4.994, de 2022.</w:t>
            </w:r>
          </w:p>
        </w:tc>
        <w:tc>
          <w:tcPr>
            <w:tcW w:w="1250" w:type="pct"/>
          </w:tcPr>
          <w:p w14:paraId="75A36A7C" w14:textId="79995F17"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Pr>
                <w:rFonts w:asciiTheme="majorHAnsi" w:hAnsiTheme="majorHAnsi" w:cstheme="majorHAnsi"/>
                <w:sz w:val="24"/>
                <w:szCs w:val="24"/>
              </w:rPr>
              <w:t xml:space="preserve"> </w:t>
            </w:r>
            <w:r w:rsidR="005A5920" w:rsidRPr="005A5920">
              <w:rPr>
                <w:rFonts w:asciiTheme="majorHAnsi" w:hAnsiTheme="majorHAnsi" w:cstheme="majorHAnsi"/>
                <w:sz w:val="24"/>
                <w:szCs w:val="24"/>
              </w:rPr>
              <w:t>- Mero aprimoramento redacional, sem alteração de mérito para eliminação de possíveis ambiguidades.</w:t>
            </w:r>
          </w:p>
        </w:tc>
      </w:tr>
      <w:tr w:rsidR="009139A5" w:rsidRPr="002C1A2C" w14:paraId="4C9E8FC9" w14:textId="23464B04" w:rsidTr="7DE461B5">
        <w:trPr>
          <w:trHeight w:val="300"/>
        </w:trPr>
        <w:tc>
          <w:tcPr>
            <w:tcW w:w="1250" w:type="pct"/>
          </w:tcPr>
          <w:p w14:paraId="27985493" w14:textId="6828B47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Parágrafo único.  O ativo final de que trata o caput pode ser desconsiderado, para fins de supervisão, aplicando-se os limites, requisitos e vedações diretamente aos seus ativos </w:t>
            </w:r>
            <w:r w:rsidRPr="002C1A2C">
              <w:rPr>
                <w:rFonts w:asciiTheme="majorHAnsi" w:hAnsiTheme="majorHAnsi" w:cstheme="majorHAnsi"/>
                <w:sz w:val="24"/>
                <w:szCs w:val="24"/>
              </w:rPr>
              <w:lastRenderedPageBreak/>
              <w:t>subjacentes, caso seja verificada sua utilização como meio para execução de operações em desacordo com as diretrizes de investimentos ou caso seja verificado desvio de finalidade em relação à estratégia usual do ativo.</w:t>
            </w:r>
          </w:p>
        </w:tc>
        <w:tc>
          <w:tcPr>
            <w:tcW w:w="1250" w:type="pct"/>
          </w:tcPr>
          <w:p w14:paraId="5745DAE8" w14:textId="19483D4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Parágrafo único.  O ativo final de que trata o caput pode ser desconsiderado, para fins de supervisão, aplicando-se os limites, requisitos e vedações diretamente aos seus ativos </w:t>
            </w:r>
            <w:r w:rsidRPr="002C1A2C">
              <w:rPr>
                <w:rFonts w:asciiTheme="majorHAnsi" w:hAnsiTheme="majorHAnsi" w:cstheme="majorHAnsi"/>
                <w:sz w:val="24"/>
                <w:szCs w:val="24"/>
              </w:rPr>
              <w:lastRenderedPageBreak/>
              <w:t xml:space="preserve">subjacentes, caso </w:t>
            </w:r>
            <w:r w:rsidRPr="002C1A2C">
              <w:rPr>
                <w:rFonts w:asciiTheme="majorHAnsi" w:hAnsiTheme="majorHAnsi" w:cstheme="majorHAnsi"/>
                <w:strike/>
                <w:color w:val="EE0000"/>
                <w:sz w:val="24"/>
                <w:szCs w:val="24"/>
              </w:rPr>
              <w:t>seja verificada</w:t>
            </w:r>
            <w:r w:rsidRPr="002C1A2C">
              <w:rPr>
                <w:rFonts w:asciiTheme="majorHAnsi" w:hAnsiTheme="majorHAnsi" w:cstheme="majorHAnsi"/>
                <w:sz w:val="24"/>
                <w:szCs w:val="24"/>
              </w:rPr>
              <w:t xml:space="preserve"> sua utilização como meio para execução de operações em desacordo com as diretrizes de investimentos ou </w:t>
            </w:r>
            <w:r w:rsidRPr="002C1A2C">
              <w:rPr>
                <w:rFonts w:asciiTheme="majorHAnsi" w:hAnsiTheme="majorHAnsi" w:cstheme="majorHAnsi"/>
                <w:strike/>
                <w:color w:val="EE0000"/>
                <w:sz w:val="24"/>
                <w:szCs w:val="24"/>
              </w:rPr>
              <w:t>caso seja verificado</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a</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 xml:space="preserve">verificação de </w:t>
            </w:r>
            <w:r w:rsidRPr="002C1A2C">
              <w:rPr>
                <w:rFonts w:asciiTheme="majorHAnsi" w:hAnsiTheme="majorHAnsi" w:cstheme="majorHAnsi"/>
                <w:sz w:val="24"/>
                <w:szCs w:val="24"/>
              </w:rPr>
              <w:t xml:space="preserve">desvio de finalidade em relação à estratégia usual do ativo </w:t>
            </w:r>
            <w:r w:rsidRPr="002C1A2C">
              <w:rPr>
                <w:rFonts w:asciiTheme="majorHAnsi" w:hAnsiTheme="majorHAnsi" w:cstheme="majorHAnsi"/>
                <w:color w:val="0070C0"/>
                <w:sz w:val="24"/>
                <w:szCs w:val="24"/>
              </w:rPr>
              <w:t>sejam constatadas</w:t>
            </w:r>
            <w:r w:rsidRPr="002C1A2C">
              <w:rPr>
                <w:rFonts w:asciiTheme="majorHAnsi" w:hAnsiTheme="majorHAnsi" w:cstheme="majorHAnsi"/>
                <w:sz w:val="24"/>
                <w:szCs w:val="24"/>
              </w:rPr>
              <w:t>.</w:t>
            </w:r>
          </w:p>
        </w:tc>
        <w:tc>
          <w:tcPr>
            <w:tcW w:w="1250" w:type="pct"/>
          </w:tcPr>
          <w:p w14:paraId="2DEBDD89" w14:textId="437B1F8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Ajuste redacional para melhorar fluidez do texto normativo e para conferir maior clareza na causa e consequência.</w:t>
            </w:r>
          </w:p>
        </w:tc>
        <w:tc>
          <w:tcPr>
            <w:tcW w:w="1250" w:type="pct"/>
          </w:tcPr>
          <w:p w14:paraId="0A67A1DB" w14:textId="74C495A5"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Pr>
                <w:rFonts w:asciiTheme="majorHAnsi" w:hAnsiTheme="majorHAnsi" w:cstheme="majorHAnsi"/>
                <w:sz w:val="24"/>
                <w:szCs w:val="24"/>
              </w:rPr>
              <w:t xml:space="preserve"> </w:t>
            </w:r>
            <w:r w:rsidR="005A5920" w:rsidRPr="005A5920">
              <w:rPr>
                <w:rFonts w:asciiTheme="majorHAnsi" w:hAnsiTheme="majorHAnsi" w:cstheme="majorHAnsi"/>
                <w:sz w:val="24"/>
                <w:szCs w:val="24"/>
              </w:rPr>
              <w:t>- Mero aprimoramento redacional, sem alteração de mérito para eliminação de possíveis ambiguidades.</w:t>
            </w:r>
          </w:p>
        </w:tc>
      </w:tr>
      <w:tr w:rsidR="009139A5" w:rsidRPr="002C1A2C" w14:paraId="2B685423" w14:textId="7379A0DA" w:rsidTr="7DE461B5">
        <w:trPr>
          <w:trHeight w:val="300"/>
        </w:trPr>
        <w:tc>
          <w:tcPr>
            <w:tcW w:w="1250" w:type="pct"/>
          </w:tcPr>
          <w:p w14:paraId="08CFBF02" w14:textId="70C99975"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IV</w:t>
            </w:r>
          </w:p>
          <w:p w14:paraId="5A72C7F7" w14:textId="3F325410"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Segregação da Gestão de Risco</w:t>
            </w:r>
          </w:p>
        </w:tc>
        <w:tc>
          <w:tcPr>
            <w:tcW w:w="1250" w:type="pct"/>
          </w:tcPr>
          <w:p w14:paraId="4FC84A08" w14:textId="011122E1"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IV</w:t>
            </w:r>
          </w:p>
          <w:p w14:paraId="7E047CE0" w14:textId="43F2AC49"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Segregação da Gestão de Risco</w:t>
            </w:r>
          </w:p>
        </w:tc>
        <w:tc>
          <w:tcPr>
            <w:tcW w:w="1250" w:type="pct"/>
          </w:tcPr>
          <w:p w14:paraId="0D37A958" w14:textId="6458714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1F539ABD" w14:textId="77777777" w:rsidR="009139A5" w:rsidRPr="002C1A2C" w:rsidRDefault="009139A5" w:rsidP="005A5920">
            <w:pPr>
              <w:spacing w:line="360" w:lineRule="auto"/>
              <w:jc w:val="both"/>
              <w:rPr>
                <w:rFonts w:asciiTheme="majorHAnsi" w:hAnsiTheme="majorHAnsi" w:cstheme="majorHAnsi"/>
                <w:sz w:val="24"/>
                <w:szCs w:val="24"/>
              </w:rPr>
            </w:pPr>
          </w:p>
        </w:tc>
      </w:tr>
      <w:tr w:rsidR="009139A5" w:rsidRPr="002C1A2C" w14:paraId="38469576" w14:textId="1F0920CD" w:rsidTr="7DE461B5">
        <w:trPr>
          <w:trHeight w:val="300"/>
        </w:trPr>
        <w:tc>
          <w:tcPr>
            <w:tcW w:w="1250" w:type="pct"/>
          </w:tcPr>
          <w:p w14:paraId="1E61CBD7" w14:textId="1E76AB5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217.  A EFPC enquadrada no segmento S1 deve, nos termos dos </w:t>
            </w:r>
            <w:proofErr w:type="spellStart"/>
            <w:r w:rsidRPr="002C1A2C">
              <w:rPr>
                <w:rFonts w:asciiTheme="majorHAnsi" w:hAnsiTheme="majorHAnsi" w:cstheme="majorHAnsi"/>
                <w:sz w:val="24"/>
                <w:szCs w:val="24"/>
              </w:rPr>
              <w:t>arts</w:t>
            </w:r>
            <w:proofErr w:type="spellEnd"/>
            <w:r w:rsidRPr="002C1A2C">
              <w:rPr>
                <w:rFonts w:asciiTheme="majorHAnsi" w:hAnsiTheme="majorHAnsi" w:cstheme="majorHAnsi"/>
                <w:sz w:val="24"/>
                <w:szCs w:val="24"/>
              </w:rPr>
              <w:t>. 8º e 9º da Resolução CMN nº 4.994, de 2022, segregar a gestão de recursos da gestão de risco e designar:</w:t>
            </w:r>
          </w:p>
        </w:tc>
        <w:tc>
          <w:tcPr>
            <w:tcW w:w="1250" w:type="pct"/>
          </w:tcPr>
          <w:p w14:paraId="5C707AE9" w14:textId="2F5C036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217.  A EFPC enquadrada no segmento S1 </w:t>
            </w:r>
            <w:proofErr w:type="spellStart"/>
            <w:r w:rsidRPr="002C1A2C">
              <w:rPr>
                <w:rFonts w:asciiTheme="majorHAnsi" w:hAnsiTheme="majorHAnsi" w:cstheme="majorHAnsi"/>
                <w:sz w:val="24"/>
                <w:szCs w:val="24"/>
              </w:rPr>
              <w:t>deve</w:t>
            </w:r>
            <w:r w:rsidRPr="002C1A2C">
              <w:rPr>
                <w:rFonts w:asciiTheme="majorHAnsi" w:hAnsiTheme="majorHAnsi" w:cstheme="majorHAnsi"/>
                <w:strike/>
                <w:color w:val="EE0000"/>
                <w:sz w:val="24"/>
                <w:szCs w:val="24"/>
              </w:rPr>
              <w:t>nos</w:t>
            </w:r>
            <w:proofErr w:type="spellEnd"/>
            <w:r w:rsidRPr="002C1A2C">
              <w:rPr>
                <w:rFonts w:asciiTheme="majorHAnsi" w:hAnsiTheme="majorHAnsi" w:cstheme="majorHAnsi"/>
                <w:strike/>
                <w:color w:val="EE0000"/>
                <w:sz w:val="24"/>
                <w:szCs w:val="24"/>
              </w:rPr>
              <w:t xml:space="preserve"> termos dos </w:t>
            </w:r>
            <w:proofErr w:type="spellStart"/>
            <w:r w:rsidRPr="002C1A2C">
              <w:rPr>
                <w:rFonts w:asciiTheme="majorHAnsi" w:hAnsiTheme="majorHAnsi" w:cstheme="majorHAnsi"/>
                <w:strike/>
                <w:color w:val="EE0000"/>
                <w:sz w:val="24"/>
                <w:szCs w:val="24"/>
              </w:rPr>
              <w:t>arts</w:t>
            </w:r>
            <w:proofErr w:type="spellEnd"/>
            <w:r w:rsidRPr="002C1A2C">
              <w:rPr>
                <w:rFonts w:asciiTheme="majorHAnsi" w:hAnsiTheme="majorHAnsi" w:cstheme="majorHAnsi"/>
                <w:strike/>
                <w:color w:val="EE0000"/>
                <w:sz w:val="24"/>
                <w:szCs w:val="24"/>
              </w:rPr>
              <w:t>. 8º e 9º da Resolução CMN nº 4.994, de 2022</w:t>
            </w:r>
            <w:r w:rsidRPr="002C1A2C">
              <w:rPr>
                <w:rFonts w:asciiTheme="majorHAnsi" w:hAnsiTheme="majorHAnsi" w:cstheme="majorHAnsi"/>
                <w:sz w:val="24"/>
                <w:szCs w:val="24"/>
              </w:rPr>
              <w:t xml:space="preserve"> segregar a gestão de recursos da gestão de risco e designar:</w:t>
            </w:r>
          </w:p>
        </w:tc>
        <w:tc>
          <w:tcPr>
            <w:tcW w:w="1250" w:type="pct"/>
          </w:tcPr>
          <w:p w14:paraId="62281F53" w14:textId="0F2FB90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Rever menção expressa à Resolução CMN nº 4.994. Proposta de alteração para retirada da menção expressa aos </w:t>
            </w:r>
            <w:proofErr w:type="spellStart"/>
            <w:r w:rsidRPr="002C1A2C">
              <w:rPr>
                <w:rFonts w:asciiTheme="majorHAnsi" w:hAnsiTheme="majorHAnsi" w:cstheme="majorHAnsi"/>
                <w:sz w:val="24"/>
                <w:szCs w:val="24"/>
              </w:rPr>
              <w:t>arts</w:t>
            </w:r>
            <w:proofErr w:type="spellEnd"/>
            <w:r w:rsidRPr="002C1A2C">
              <w:rPr>
                <w:rFonts w:asciiTheme="majorHAnsi" w:hAnsiTheme="majorHAnsi" w:cstheme="majorHAnsi"/>
                <w:sz w:val="24"/>
                <w:szCs w:val="24"/>
              </w:rPr>
              <w:t>. 8º e 9º da Resolução CMN nº 4.994, de 2022, em atendimento às disposições legais que tratam sobre a redação de normas.</w:t>
            </w:r>
          </w:p>
        </w:tc>
        <w:tc>
          <w:tcPr>
            <w:tcW w:w="1250" w:type="pct"/>
          </w:tcPr>
          <w:p w14:paraId="2452FD4D" w14:textId="0A476870"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Pr>
                <w:rFonts w:asciiTheme="majorHAnsi" w:hAnsiTheme="majorHAnsi" w:cstheme="majorHAnsi"/>
                <w:sz w:val="24"/>
                <w:szCs w:val="24"/>
              </w:rPr>
              <w:t xml:space="preserve"> </w:t>
            </w:r>
            <w:r w:rsidR="005A5920" w:rsidRPr="005A5920">
              <w:rPr>
                <w:rFonts w:asciiTheme="majorHAnsi" w:hAnsiTheme="majorHAnsi" w:cstheme="majorHAnsi"/>
                <w:sz w:val="24"/>
                <w:szCs w:val="24"/>
              </w:rPr>
              <w:t>- Mero aprimoramento redacional, sem alteração de mérito para eliminação de possíveis ambiguidades.</w:t>
            </w:r>
          </w:p>
        </w:tc>
      </w:tr>
      <w:tr w:rsidR="009139A5" w:rsidRPr="002C1A2C" w14:paraId="5CE9D9A5" w14:textId="099D653B" w:rsidTr="7DE461B5">
        <w:trPr>
          <w:trHeight w:val="300"/>
        </w:trPr>
        <w:tc>
          <w:tcPr>
            <w:tcW w:w="1250" w:type="pct"/>
          </w:tcPr>
          <w:p w14:paraId="64F6B7A2" w14:textId="16FDA725"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V</w:t>
            </w:r>
          </w:p>
          <w:p w14:paraId="32D3A4DC" w14:textId="0184F6A5"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Negociação Privada</w:t>
            </w:r>
          </w:p>
        </w:tc>
        <w:tc>
          <w:tcPr>
            <w:tcW w:w="1250" w:type="pct"/>
          </w:tcPr>
          <w:p w14:paraId="59887569" w14:textId="1C01EFEA"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V</w:t>
            </w:r>
          </w:p>
          <w:p w14:paraId="29BBB9CF" w14:textId="4AC743FF"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Negociação Privada</w:t>
            </w:r>
          </w:p>
        </w:tc>
        <w:tc>
          <w:tcPr>
            <w:tcW w:w="1250" w:type="pct"/>
          </w:tcPr>
          <w:p w14:paraId="21D3FEFC" w14:textId="58152899"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884B5E5"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423C4A2D" w14:textId="37D69BFB" w:rsidTr="7DE461B5">
        <w:trPr>
          <w:trHeight w:val="300"/>
        </w:trPr>
        <w:tc>
          <w:tcPr>
            <w:tcW w:w="1250" w:type="pct"/>
          </w:tcPr>
          <w:p w14:paraId="4C4E38ED" w14:textId="0889AF0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218.  O processo decisório das operações realizadas pelas EFPC por meio de negociações privadas </w:t>
            </w:r>
            <w:r w:rsidRPr="002C1A2C">
              <w:rPr>
                <w:rFonts w:asciiTheme="majorHAnsi" w:hAnsiTheme="majorHAnsi" w:cstheme="majorHAnsi"/>
                <w:sz w:val="24"/>
                <w:szCs w:val="24"/>
              </w:rPr>
              <w:lastRenderedPageBreak/>
              <w:t>com ações de emissão de companhias abertas negociadas em bolsa de valores ou admitidas à negociação em mercado de balcão organizado por entidade autorizada pela Comissão de Valores Mobiliários, deve contemplar, no mínimo, as seguintes etapas:</w:t>
            </w:r>
          </w:p>
        </w:tc>
        <w:tc>
          <w:tcPr>
            <w:tcW w:w="1250" w:type="pct"/>
          </w:tcPr>
          <w:p w14:paraId="124F6F74" w14:textId="737B16D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Art. 218.  </w:t>
            </w:r>
            <w:r>
              <w:rPr>
                <w:rFonts w:asciiTheme="majorHAnsi" w:hAnsiTheme="majorHAnsi" w:cstheme="majorHAnsi"/>
                <w:sz w:val="24"/>
                <w:szCs w:val="24"/>
              </w:rPr>
              <w:t>(...)</w:t>
            </w:r>
          </w:p>
        </w:tc>
        <w:tc>
          <w:tcPr>
            <w:tcW w:w="1250" w:type="pct"/>
          </w:tcPr>
          <w:p w14:paraId="0C7366D2" w14:textId="3EC35C02"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BF0EC6E"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5D6345C" w14:textId="56C21F94" w:rsidTr="7DE461B5">
        <w:trPr>
          <w:trHeight w:val="300"/>
        </w:trPr>
        <w:tc>
          <w:tcPr>
            <w:tcW w:w="1250" w:type="pct"/>
          </w:tcPr>
          <w:p w14:paraId="4228CA4F" w14:textId="0CF5290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§2º  Para efeito 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1250" w:type="pct"/>
          </w:tcPr>
          <w:p w14:paraId="5E71BF63" w14:textId="0A48A7B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§2º  Para </w:t>
            </w:r>
            <w:r w:rsidRPr="002C1A2C">
              <w:rPr>
                <w:rFonts w:asciiTheme="majorHAnsi" w:hAnsiTheme="majorHAnsi" w:cstheme="majorHAnsi"/>
                <w:strike/>
                <w:color w:val="EE0000"/>
                <w:sz w:val="24"/>
                <w:szCs w:val="24"/>
              </w:rPr>
              <w:t>efeito</w:t>
            </w:r>
            <w:r w:rsidRPr="002C1A2C">
              <w:rPr>
                <w:rFonts w:asciiTheme="majorHAnsi" w:hAnsiTheme="majorHAnsi" w:cstheme="majorHAnsi"/>
                <w:color w:val="0070C0"/>
                <w:sz w:val="24"/>
                <w:szCs w:val="24"/>
              </w:rPr>
              <w:t xml:space="preserve"> os fins </w:t>
            </w:r>
            <w:r w:rsidRPr="002C1A2C">
              <w:rPr>
                <w:rFonts w:asciiTheme="majorHAnsi" w:hAnsiTheme="majorHAnsi" w:cstheme="majorHAnsi"/>
                <w:sz w:val="24"/>
                <w:szCs w:val="24"/>
              </w:rPr>
              <w:t>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1250" w:type="pct"/>
          </w:tcPr>
          <w:p w14:paraId="4CC828E8" w14:textId="06304D3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Ajuste redacional para a compreensão, reduzindo possíveis ambiguidades</w:t>
            </w:r>
          </w:p>
        </w:tc>
        <w:tc>
          <w:tcPr>
            <w:tcW w:w="1250" w:type="pct"/>
          </w:tcPr>
          <w:p w14:paraId="484FAFB4" w14:textId="39FDCEEB"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Pr>
                <w:rFonts w:asciiTheme="majorHAnsi" w:hAnsiTheme="majorHAnsi" w:cstheme="majorHAnsi"/>
                <w:sz w:val="24"/>
                <w:szCs w:val="24"/>
              </w:rPr>
              <w:t xml:space="preserve"> </w:t>
            </w:r>
            <w:r w:rsidR="005A5920" w:rsidRPr="005A5920">
              <w:rPr>
                <w:rFonts w:asciiTheme="majorHAnsi" w:hAnsiTheme="majorHAnsi" w:cstheme="majorHAnsi"/>
                <w:sz w:val="24"/>
                <w:szCs w:val="24"/>
              </w:rPr>
              <w:t>- Mero aprimoramento redacional, sem alteração de mérito para eliminação de possíveis ambiguidades.</w:t>
            </w:r>
          </w:p>
        </w:tc>
      </w:tr>
      <w:tr w:rsidR="009139A5" w:rsidRPr="002C1A2C" w14:paraId="4B83F5D3" w14:textId="0B7E7FBF" w:rsidTr="7DE461B5">
        <w:trPr>
          <w:trHeight w:val="300"/>
        </w:trPr>
        <w:tc>
          <w:tcPr>
            <w:tcW w:w="1250" w:type="pct"/>
          </w:tcPr>
          <w:p w14:paraId="22623CF8" w14:textId="77777777"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Seção VI</w:t>
            </w:r>
          </w:p>
          <w:p w14:paraId="1C97EDEB" w14:textId="2DC9B3FC"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Seleção e Monitoramento de Prestadores de Serviço de Administração de Carteiras de Valores Mobiliários e de Fundos de Investimento</w:t>
            </w:r>
          </w:p>
        </w:tc>
        <w:tc>
          <w:tcPr>
            <w:tcW w:w="1250" w:type="pct"/>
          </w:tcPr>
          <w:p w14:paraId="6984F94E" w14:textId="77777777"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Seção VI</w:t>
            </w:r>
          </w:p>
          <w:p w14:paraId="64429EFC" w14:textId="1AE25E4C"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Seleção e Monitoramento de Prestadores de Serviços de Administração de Carteiras de Valores Mobiliários e de Fundos de Investimento</w:t>
            </w:r>
          </w:p>
        </w:tc>
        <w:tc>
          <w:tcPr>
            <w:tcW w:w="1250" w:type="pct"/>
          </w:tcPr>
          <w:p w14:paraId="6ADA15D1" w14:textId="2F38A032" w:rsidR="009139A5" w:rsidRPr="002C1A2C" w:rsidRDefault="009139A5" w:rsidP="009139A5">
            <w:pPr>
              <w:spacing w:line="360" w:lineRule="auto"/>
              <w:jc w:val="both"/>
              <w:rPr>
                <w:rFonts w:asciiTheme="majorHAnsi" w:hAnsiTheme="majorHAnsi" w:cstheme="majorBidi"/>
                <w:sz w:val="24"/>
                <w:szCs w:val="24"/>
              </w:rPr>
            </w:pPr>
          </w:p>
        </w:tc>
        <w:tc>
          <w:tcPr>
            <w:tcW w:w="1250" w:type="pct"/>
          </w:tcPr>
          <w:p w14:paraId="44AC8283"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AE77470" w14:textId="11E1225C" w:rsidTr="7DE461B5">
        <w:trPr>
          <w:trHeight w:val="300"/>
        </w:trPr>
        <w:tc>
          <w:tcPr>
            <w:tcW w:w="1250" w:type="pct"/>
          </w:tcPr>
          <w:p w14:paraId="0D47D752" w14:textId="7C577D2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219.  A EFPC deve observar o disposto nesta Seção para seleção e monitoramento de prestadores de serviço de administração de carteiras de valores mobiliários e de fundo de investimento. </w:t>
            </w:r>
          </w:p>
        </w:tc>
        <w:tc>
          <w:tcPr>
            <w:tcW w:w="1250" w:type="pct"/>
          </w:tcPr>
          <w:p w14:paraId="207A8615" w14:textId="5B7546F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219.  </w:t>
            </w:r>
            <w:r>
              <w:rPr>
                <w:rFonts w:asciiTheme="majorHAnsi" w:hAnsiTheme="majorHAnsi" w:cstheme="majorHAnsi"/>
                <w:sz w:val="24"/>
                <w:szCs w:val="24"/>
              </w:rPr>
              <w:t>(...)</w:t>
            </w:r>
          </w:p>
        </w:tc>
        <w:tc>
          <w:tcPr>
            <w:tcW w:w="1250" w:type="pct"/>
          </w:tcPr>
          <w:p w14:paraId="177692B9" w14:textId="2A66620D"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CEC5E79"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6F9D460A" w14:textId="7C6022FE" w:rsidTr="7DE461B5">
        <w:trPr>
          <w:trHeight w:val="300"/>
        </w:trPr>
        <w:tc>
          <w:tcPr>
            <w:tcW w:w="1250" w:type="pct"/>
          </w:tcPr>
          <w:p w14:paraId="08BC1BCD" w14:textId="50F2201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tc>
        <w:tc>
          <w:tcPr>
            <w:tcW w:w="1250" w:type="pct"/>
          </w:tcPr>
          <w:p w14:paraId="6F2D1253" w14:textId="58F5C465" w:rsidR="009139A5" w:rsidRPr="002C1A2C" w:rsidRDefault="009139A5" w:rsidP="009139A5">
            <w:pPr>
              <w:spacing w:line="360" w:lineRule="auto"/>
              <w:jc w:val="both"/>
              <w:rPr>
                <w:rFonts w:asciiTheme="majorHAnsi" w:hAnsiTheme="majorHAnsi" w:cstheme="majorBidi"/>
                <w:sz w:val="24"/>
                <w:szCs w:val="24"/>
              </w:rPr>
            </w:pPr>
            <w:r w:rsidRPr="2F41FD59">
              <w:rPr>
                <w:rFonts w:asciiTheme="majorHAnsi" w:hAnsiTheme="majorHAnsi" w:cstheme="majorBidi"/>
                <w:strike/>
                <w:color w:val="EE0000"/>
                <w:sz w:val="24"/>
                <w:szCs w:val="24"/>
              </w:rPr>
              <w:t>Parágrafo único.</w:t>
            </w:r>
            <w:r w:rsidRPr="2F41FD59">
              <w:rPr>
                <w:rFonts w:asciiTheme="majorHAnsi" w:hAnsiTheme="majorHAnsi" w:cstheme="majorBidi"/>
                <w:color w:val="EE0000"/>
                <w:sz w:val="24"/>
                <w:szCs w:val="24"/>
              </w:rPr>
              <w:t xml:space="preserve">  </w:t>
            </w:r>
            <w:r w:rsidRPr="2F41FD59">
              <w:rPr>
                <w:rFonts w:asciiTheme="majorHAnsi" w:hAnsiTheme="majorHAnsi" w:cstheme="majorBidi"/>
                <w:color w:val="0070C0"/>
                <w:sz w:val="24"/>
                <w:szCs w:val="24"/>
              </w:rPr>
              <w:t xml:space="preserve">§1º.  </w:t>
            </w:r>
            <w:r w:rsidRPr="2F41FD59">
              <w:rPr>
                <w:rFonts w:asciiTheme="majorHAnsi" w:hAnsiTheme="majorHAnsi" w:cstheme="majorBidi"/>
                <w:sz w:val="24"/>
                <w:szCs w:val="24"/>
              </w:rPr>
              <w:t xml:space="preserve">Para fins do disposto nesta Seção, considera-se administração de carteiras de valores mobiliários, nas categorias de administrador fiduciário e gestor de recursos, </w:t>
            </w:r>
            <w:r w:rsidRPr="2F41FD59">
              <w:rPr>
                <w:rFonts w:asciiTheme="majorHAnsi" w:hAnsiTheme="majorHAnsi" w:cstheme="majorBidi"/>
                <w:color w:val="0070C0"/>
                <w:sz w:val="24"/>
                <w:szCs w:val="24"/>
              </w:rPr>
              <w:t xml:space="preserve">aquela estabelecida </w:t>
            </w:r>
            <w:r w:rsidRPr="2F41FD59">
              <w:rPr>
                <w:rFonts w:asciiTheme="majorHAnsi" w:hAnsiTheme="majorHAnsi" w:cstheme="majorBidi"/>
                <w:strike/>
                <w:color w:val="EE0000"/>
                <w:sz w:val="24"/>
                <w:szCs w:val="24"/>
              </w:rPr>
              <w:t xml:space="preserve">a </w:t>
            </w:r>
            <w:r w:rsidRPr="2F41FD59">
              <w:rPr>
                <w:rFonts w:asciiTheme="majorHAnsi" w:hAnsiTheme="majorHAnsi" w:cstheme="majorBidi"/>
                <w:sz w:val="24"/>
                <w:szCs w:val="24"/>
              </w:rPr>
              <w:t>estabelecida pela Comissão de Valores Mobiliários.</w:t>
            </w:r>
          </w:p>
          <w:p w14:paraId="7CA123EB" w14:textId="39EFB02A" w:rsidR="009139A5" w:rsidRPr="002C1A2C" w:rsidRDefault="009139A5" w:rsidP="009139A5">
            <w:pPr>
              <w:spacing w:line="360" w:lineRule="auto"/>
              <w:jc w:val="both"/>
              <w:rPr>
                <w:rFonts w:asciiTheme="majorHAnsi" w:hAnsiTheme="majorHAnsi" w:cstheme="majorHAnsi"/>
                <w:sz w:val="24"/>
                <w:szCs w:val="24"/>
              </w:rPr>
            </w:pPr>
          </w:p>
          <w:p w14:paraId="793CD0F1" w14:textId="765313CB" w:rsidR="009139A5" w:rsidRPr="002C1A2C" w:rsidRDefault="009139A5" w:rsidP="009139A5">
            <w:pPr>
              <w:spacing w:line="360" w:lineRule="auto"/>
              <w:jc w:val="both"/>
              <w:rPr>
                <w:rFonts w:asciiTheme="majorHAnsi" w:hAnsiTheme="majorHAnsi" w:cstheme="majorHAnsi"/>
                <w:sz w:val="24"/>
                <w:szCs w:val="24"/>
              </w:rPr>
            </w:pPr>
          </w:p>
          <w:p w14:paraId="3A83EA35" w14:textId="0227DF86" w:rsidR="009139A5" w:rsidRPr="002C1A2C" w:rsidRDefault="009139A5" w:rsidP="009139A5">
            <w:pPr>
              <w:spacing w:line="360" w:lineRule="auto"/>
              <w:jc w:val="both"/>
              <w:rPr>
                <w:rFonts w:asciiTheme="majorHAnsi" w:hAnsiTheme="majorHAnsi" w:cstheme="majorHAnsi"/>
                <w:sz w:val="24"/>
                <w:szCs w:val="24"/>
              </w:rPr>
            </w:pPr>
          </w:p>
          <w:p w14:paraId="79F22ABB" w14:textId="2EFA0E1F"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FC289D7" w14:textId="4383009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Renumeração do parágrafo único para inserção do §2º no artigo. </w:t>
            </w:r>
          </w:p>
          <w:p w14:paraId="45C1A915" w14:textId="6141976E" w:rsidR="009139A5" w:rsidRPr="002C1A2C" w:rsidRDefault="009139A5" w:rsidP="009139A5">
            <w:pPr>
              <w:spacing w:line="360" w:lineRule="auto"/>
              <w:jc w:val="both"/>
              <w:rPr>
                <w:rFonts w:asciiTheme="majorHAnsi" w:hAnsiTheme="majorHAnsi" w:cstheme="majorHAnsi"/>
                <w:sz w:val="24"/>
                <w:szCs w:val="24"/>
              </w:rPr>
            </w:pPr>
          </w:p>
          <w:p w14:paraId="508728F7" w14:textId="752866A3" w:rsidR="009139A5" w:rsidRPr="002C1A2C" w:rsidRDefault="009139A5" w:rsidP="009139A5">
            <w:pPr>
              <w:spacing w:line="360" w:lineRule="auto"/>
              <w:jc w:val="both"/>
              <w:rPr>
                <w:rFonts w:asciiTheme="majorHAnsi" w:hAnsiTheme="majorHAnsi" w:cstheme="majorHAnsi"/>
                <w:sz w:val="24"/>
                <w:szCs w:val="24"/>
              </w:rPr>
            </w:pPr>
          </w:p>
          <w:p w14:paraId="5A5E52D9" w14:textId="31A2122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w:t>
            </w:r>
          </w:p>
        </w:tc>
        <w:tc>
          <w:tcPr>
            <w:tcW w:w="1250" w:type="pct"/>
          </w:tcPr>
          <w:p w14:paraId="2D0BE94E" w14:textId="37ECA59F"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5A5920">
              <w:rPr>
                <w:rFonts w:asciiTheme="majorHAnsi" w:hAnsiTheme="majorHAnsi" w:cstheme="majorHAnsi"/>
                <w:sz w:val="24"/>
                <w:szCs w:val="24"/>
              </w:rPr>
              <w:t xml:space="preserve"> </w:t>
            </w:r>
            <w:r w:rsidR="005A5920" w:rsidRPr="005A5920">
              <w:rPr>
                <w:rFonts w:asciiTheme="majorHAnsi" w:hAnsiTheme="majorHAnsi" w:cstheme="majorHAnsi"/>
                <w:sz w:val="24"/>
                <w:szCs w:val="24"/>
              </w:rPr>
              <w:t>- Mero aprimoramento redacional, sem alteração de mérito para eliminação de possíveis ambiguidades.</w:t>
            </w:r>
          </w:p>
        </w:tc>
      </w:tr>
      <w:tr w:rsidR="009139A5" w:rsidRPr="002C1A2C" w14:paraId="67F88BB8" w14:textId="26E6EFBB" w:rsidTr="7DE461B5">
        <w:trPr>
          <w:trHeight w:val="300"/>
        </w:trPr>
        <w:tc>
          <w:tcPr>
            <w:tcW w:w="1250" w:type="pct"/>
          </w:tcPr>
          <w:p w14:paraId="0DA998B3"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3E53BA02" w14:textId="74C75217" w:rsidR="009139A5" w:rsidRPr="002C1A2C" w:rsidRDefault="009139A5" w:rsidP="009139A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w:t>
            </w:r>
            <w:r>
              <w:rPr>
                <w:rFonts w:asciiTheme="majorHAnsi" w:hAnsiTheme="majorHAnsi" w:cstheme="majorHAnsi"/>
                <w:color w:val="0070C0"/>
                <w:sz w:val="24"/>
                <w:szCs w:val="24"/>
              </w:rPr>
              <w:t xml:space="preserve"> 2</w:t>
            </w:r>
            <w:r w:rsidRPr="002C1A2C">
              <w:rPr>
                <w:rFonts w:asciiTheme="majorHAnsi" w:hAnsiTheme="majorHAnsi" w:cstheme="majorHAnsi"/>
                <w:color w:val="0070C0"/>
                <w:sz w:val="24"/>
                <w:szCs w:val="24"/>
              </w:rPr>
              <w:t>º  Para fins do correto entendimento desta Seção:</w:t>
            </w:r>
          </w:p>
        </w:tc>
        <w:tc>
          <w:tcPr>
            <w:tcW w:w="1250" w:type="pct"/>
          </w:tcPr>
          <w:p w14:paraId="2D13B44C" w14:textId="15B864F1" w:rsidR="009139A5" w:rsidRPr="002C1A2C" w:rsidDel="0386FD33" w:rsidRDefault="009139A5" w:rsidP="009139A5">
            <w:pPr>
              <w:spacing w:line="360" w:lineRule="auto"/>
              <w:jc w:val="both"/>
              <w:rPr>
                <w:rFonts w:asciiTheme="majorHAnsi" w:hAnsiTheme="majorHAnsi" w:cstheme="majorBidi"/>
                <w:sz w:val="24"/>
                <w:szCs w:val="24"/>
              </w:rPr>
            </w:pPr>
            <w:r w:rsidRPr="1B8828DD">
              <w:rPr>
                <w:rFonts w:asciiTheme="majorHAnsi" w:hAnsiTheme="majorHAnsi" w:cstheme="majorBidi"/>
                <w:sz w:val="24"/>
                <w:szCs w:val="24"/>
              </w:rPr>
              <w:t xml:space="preserve">Para garantir a correta abrangência e aplicabilidade aos dispositivos normativos desta seção, houve a inserção deste </w:t>
            </w:r>
            <w:r w:rsidR="00C013D1">
              <w:rPr>
                <w:rFonts w:asciiTheme="majorHAnsi" w:hAnsiTheme="majorHAnsi" w:cstheme="majorBidi"/>
                <w:sz w:val="24"/>
                <w:szCs w:val="24"/>
              </w:rPr>
              <w:t xml:space="preserve">parágrafo, </w:t>
            </w:r>
            <w:r w:rsidRPr="1B8828DD">
              <w:rPr>
                <w:rFonts w:asciiTheme="majorHAnsi" w:hAnsiTheme="majorHAnsi" w:cstheme="majorBidi"/>
                <w:sz w:val="24"/>
                <w:szCs w:val="24"/>
              </w:rPr>
              <w:t>que teve como referência o contido no parágrafo único do Art. 3º da Resolução CVM nº 175, de 2022.</w:t>
            </w:r>
          </w:p>
        </w:tc>
        <w:tc>
          <w:tcPr>
            <w:tcW w:w="1250" w:type="pct"/>
          </w:tcPr>
          <w:p w14:paraId="4F17F264" w14:textId="77777777" w:rsidR="00A93100" w:rsidRPr="002C1A2C" w:rsidRDefault="00A93100" w:rsidP="00A93100">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64BACEB4" w14:textId="77777777" w:rsidR="00A93100" w:rsidRPr="002C1A2C" w:rsidRDefault="00A93100" w:rsidP="00A93100">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 xml:space="preserve"> </w:t>
            </w:r>
          </w:p>
          <w:p w14:paraId="6D98AA34" w14:textId="77777777" w:rsidR="00A93100" w:rsidRPr="002C1A2C" w:rsidRDefault="00A93100" w:rsidP="00A93100">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 xml:space="preserve">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CMN nº 4.994, de 2022, por meio do detalhamento de práticas e condutas que os </w:t>
            </w:r>
            <w:r w:rsidRPr="002C1A2C">
              <w:rPr>
                <w:rFonts w:asciiTheme="majorHAnsi" w:eastAsia="Calibri" w:hAnsiTheme="majorHAnsi" w:cstheme="majorHAnsi"/>
                <w:sz w:val="24"/>
                <w:szCs w:val="24"/>
              </w:rPr>
              <w:lastRenderedPageBreak/>
              <w:t>materializam em contextos concretos de aplicação. Ao se reforçar as regras regulatórias aplicáveis à alocação dos recursos, a proposta busca garantir a qualidade e integridade das decisões de alocação e, por conseguinte, a higidez do mercado de previdência complementar fechada.</w:t>
            </w:r>
          </w:p>
          <w:p w14:paraId="6B2E0346"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F2EC220" w14:textId="0821EA30" w:rsidTr="7DE461B5">
        <w:trPr>
          <w:trHeight w:val="300"/>
        </w:trPr>
        <w:tc>
          <w:tcPr>
            <w:tcW w:w="1250" w:type="pct"/>
          </w:tcPr>
          <w:p w14:paraId="70E6F9ED"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680EDEA0" w14:textId="6E30809A" w:rsidR="009139A5" w:rsidRPr="002C1A2C" w:rsidRDefault="009139A5" w:rsidP="009139A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 – as referências a “fundo” ou a “fundo de investimento” aplicam-se a todas as suas classes de cotas ou subclasses; </w:t>
            </w:r>
          </w:p>
        </w:tc>
        <w:tc>
          <w:tcPr>
            <w:tcW w:w="1250" w:type="pct"/>
          </w:tcPr>
          <w:p w14:paraId="1D7F7EC3"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502CF585" w14:textId="77777777" w:rsidR="00A93100" w:rsidRPr="002C1A2C" w:rsidRDefault="00A93100" w:rsidP="00A93100">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561A17C0" w14:textId="093BB775"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483B264" w14:textId="0D4BD4B8" w:rsidTr="7DE461B5">
        <w:trPr>
          <w:trHeight w:val="300"/>
        </w:trPr>
        <w:tc>
          <w:tcPr>
            <w:tcW w:w="1250" w:type="pct"/>
          </w:tcPr>
          <w:p w14:paraId="0063FCC4"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16E48B20" w14:textId="6A3E9BEF" w:rsidR="009139A5" w:rsidRPr="002C1A2C" w:rsidRDefault="009139A5" w:rsidP="009139A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 – as referências a “classe” e a “classe de cotas” aplicam-se aos fundos de investimento que emitem cotas em classe única; e  </w:t>
            </w:r>
          </w:p>
        </w:tc>
        <w:tc>
          <w:tcPr>
            <w:tcW w:w="1250" w:type="pct"/>
          </w:tcPr>
          <w:p w14:paraId="58BA0CA3" w14:textId="0B786D5C" w:rsidR="009139A5" w:rsidRPr="002C1A2C" w:rsidRDefault="009139A5" w:rsidP="009139A5">
            <w:pPr>
              <w:spacing w:line="360" w:lineRule="auto"/>
              <w:jc w:val="both"/>
              <w:rPr>
                <w:rFonts w:asciiTheme="majorHAnsi" w:hAnsiTheme="majorHAnsi" w:cstheme="majorHAnsi"/>
                <w:sz w:val="24"/>
                <w:szCs w:val="24"/>
                <w:highlight w:val="yellow"/>
              </w:rPr>
            </w:pPr>
          </w:p>
        </w:tc>
        <w:tc>
          <w:tcPr>
            <w:tcW w:w="1250" w:type="pct"/>
          </w:tcPr>
          <w:p w14:paraId="3A03FD09" w14:textId="77777777" w:rsidR="00A93100" w:rsidRPr="002C1A2C" w:rsidRDefault="00A93100" w:rsidP="00A93100">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362445BA" w14:textId="77777777" w:rsidR="009139A5" w:rsidRPr="002C1A2C" w:rsidRDefault="009139A5" w:rsidP="009139A5">
            <w:pPr>
              <w:spacing w:line="360" w:lineRule="auto"/>
              <w:jc w:val="both"/>
              <w:rPr>
                <w:rFonts w:asciiTheme="majorHAnsi" w:hAnsiTheme="majorHAnsi" w:cstheme="majorHAnsi"/>
                <w:sz w:val="24"/>
                <w:szCs w:val="24"/>
                <w:highlight w:val="yellow"/>
              </w:rPr>
            </w:pPr>
          </w:p>
        </w:tc>
      </w:tr>
      <w:tr w:rsidR="009139A5" w:rsidRPr="002C1A2C" w14:paraId="1B3D74F8" w14:textId="197308EB" w:rsidTr="7DE461B5">
        <w:trPr>
          <w:trHeight w:val="300"/>
        </w:trPr>
        <w:tc>
          <w:tcPr>
            <w:tcW w:w="1250" w:type="pct"/>
          </w:tcPr>
          <w:p w14:paraId="1D2143DA"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034D3CB" w14:textId="7EF10BB8" w:rsidR="009139A5" w:rsidRPr="002C1A2C" w:rsidRDefault="009139A5" w:rsidP="009139A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III – as referências a “regulamento” e a “regulamento do fundo” aplicam-se aos anexos descritivos das classes de cotas e os apêndices das subclasses.</w:t>
            </w:r>
          </w:p>
        </w:tc>
        <w:tc>
          <w:tcPr>
            <w:tcW w:w="1250" w:type="pct"/>
          </w:tcPr>
          <w:p w14:paraId="25ADE52B"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02463864" w14:textId="77777777" w:rsidR="00A93100" w:rsidRPr="002C1A2C" w:rsidRDefault="00A93100" w:rsidP="00A93100">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79F8C97E"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4B6DEEF" w14:textId="419E8376" w:rsidTr="7DE461B5">
        <w:trPr>
          <w:trHeight w:val="300"/>
        </w:trPr>
        <w:tc>
          <w:tcPr>
            <w:tcW w:w="1250" w:type="pct"/>
          </w:tcPr>
          <w:p w14:paraId="2D64F604" w14:textId="00F7604A"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Subseção I</w:t>
            </w:r>
          </w:p>
          <w:p w14:paraId="4D7362B3" w14:textId="2D35AABC"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Seleção de Prestador de Serviço de Administração de Carteiras de Valores Mobiliários</w:t>
            </w:r>
          </w:p>
        </w:tc>
        <w:tc>
          <w:tcPr>
            <w:tcW w:w="1250" w:type="pct"/>
          </w:tcPr>
          <w:p w14:paraId="26A723D0" w14:textId="7EE3BC72"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w:t>
            </w:r>
          </w:p>
          <w:p w14:paraId="5C6AAD20" w14:textId="28EE843E" w:rsidR="009139A5" w:rsidRPr="002C1A2C" w:rsidRDefault="009139A5" w:rsidP="009139A5">
            <w:pPr>
              <w:spacing w:line="360" w:lineRule="auto"/>
              <w:jc w:val="center"/>
              <w:rPr>
                <w:rFonts w:asciiTheme="majorHAnsi" w:hAnsiTheme="majorHAnsi" w:cstheme="majorBidi"/>
                <w:b/>
                <w:bCs/>
                <w:sz w:val="24"/>
                <w:szCs w:val="24"/>
              </w:rPr>
            </w:pPr>
            <w:r w:rsidRPr="18B953AA">
              <w:rPr>
                <w:rFonts w:asciiTheme="majorHAnsi" w:hAnsiTheme="majorHAnsi" w:cstheme="majorBidi"/>
                <w:b/>
                <w:bCs/>
                <w:sz w:val="24"/>
                <w:szCs w:val="24"/>
              </w:rPr>
              <w:t>Seleção de Prestador</w:t>
            </w:r>
            <w:r w:rsidR="007E0E06">
              <w:rPr>
                <w:rFonts w:asciiTheme="majorHAnsi" w:hAnsiTheme="majorHAnsi" w:cstheme="majorBidi"/>
                <w:b/>
                <w:bCs/>
                <w:sz w:val="24"/>
                <w:szCs w:val="24"/>
              </w:rPr>
              <w:t>es</w:t>
            </w:r>
            <w:r w:rsidRPr="18B953AA">
              <w:rPr>
                <w:rFonts w:asciiTheme="majorHAnsi" w:hAnsiTheme="majorHAnsi" w:cstheme="majorBidi"/>
                <w:b/>
                <w:bCs/>
                <w:sz w:val="24"/>
                <w:szCs w:val="24"/>
              </w:rPr>
              <w:t xml:space="preserve"> de Serviços </w:t>
            </w:r>
            <w:r w:rsidRPr="00BB108F">
              <w:rPr>
                <w:rFonts w:asciiTheme="majorHAnsi" w:hAnsiTheme="majorHAnsi" w:cstheme="majorBidi"/>
                <w:b/>
                <w:strike/>
                <w:color w:val="EE0000"/>
                <w:sz w:val="24"/>
                <w:szCs w:val="24"/>
              </w:rPr>
              <w:t>de Administração de Carteiras de Valores Mobiliário</w:t>
            </w:r>
            <w:r w:rsidRPr="00BB108F">
              <w:rPr>
                <w:rFonts w:asciiTheme="majorHAnsi" w:hAnsiTheme="majorHAnsi" w:cstheme="majorBidi"/>
                <w:b/>
                <w:bCs/>
                <w:strike/>
                <w:color w:val="EE0000"/>
                <w:sz w:val="24"/>
                <w:szCs w:val="24"/>
              </w:rPr>
              <w:t>s</w:t>
            </w:r>
          </w:p>
        </w:tc>
        <w:tc>
          <w:tcPr>
            <w:tcW w:w="1250" w:type="pct"/>
          </w:tcPr>
          <w:p w14:paraId="0380868F" w14:textId="00F1AB8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0AB00A25"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2D5B2A93" w14:textId="47680513" w:rsidTr="7DE461B5">
        <w:trPr>
          <w:trHeight w:val="300"/>
        </w:trPr>
        <w:tc>
          <w:tcPr>
            <w:tcW w:w="1250" w:type="pct"/>
          </w:tcPr>
          <w:p w14:paraId="77037BFC" w14:textId="2729679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220.  A EFPC na seleção de prestadores de serviço de administração de carteiras de valores mobiliários e de gestão de fundo de investimento exclusivo deve, no mínimo:</w:t>
            </w:r>
          </w:p>
        </w:tc>
        <w:tc>
          <w:tcPr>
            <w:tcW w:w="1250" w:type="pct"/>
          </w:tcPr>
          <w:p w14:paraId="26935F80" w14:textId="0424FA1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220.  A EFPC na seleção de prestadores de serviços </w:t>
            </w:r>
            <w:r w:rsidRPr="002C1A2C">
              <w:rPr>
                <w:rFonts w:asciiTheme="majorHAnsi" w:hAnsiTheme="majorHAnsi" w:cstheme="majorHAnsi"/>
                <w:strike/>
                <w:color w:val="EE0000"/>
                <w:sz w:val="24"/>
                <w:szCs w:val="24"/>
              </w:rPr>
              <w:t>de administração de carteiras de valores mobiliários e de gestão</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de fundo de investimento exclusivo deve, no mínimo:</w:t>
            </w:r>
          </w:p>
        </w:tc>
        <w:tc>
          <w:tcPr>
            <w:tcW w:w="1250" w:type="pct"/>
          </w:tcPr>
          <w:p w14:paraId="7EC381E5" w14:textId="1F2E08C1" w:rsidR="009139A5" w:rsidRPr="002C1A2C" w:rsidRDefault="009139A5" w:rsidP="009139A5">
            <w:pPr>
              <w:spacing w:line="360" w:lineRule="auto"/>
              <w:jc w:val="both"/>
              <w:rPr>
                <w:rFonts w:asciiTheme="majorHAnsi" w:hAnsiTheme="majorHAnsi" w:cstheme="majorBidi"/>
                <w:sz w:val="24"/>
                <w:szCs w:val="24"/>
              </w:rPr>
            </w:pPr>
            <w:r w:rsidRPr="5BA6DB68">
              <w:rPr>
                <w:rFonts w:asciiTheme="majorHAnsi" w:hAnsiTheme="majorHAnsi" w:cstheme="majorBidi"/>
                <w:sz w:val="24"/>
                <w:szCs w:val="24"/>
              </w:rPr>
              <w:t>Ajuste redacional para alinhar às nomenclaturas adotadas pela Resolução CMN nº 5.202, de 2025, e Resolução CVM nº 175, de 2022.</w:t>
            </w:r>
          </w:p>
        </w:tc>
        <w:tc>
          <w:tcPr>
            <w:tcW w:w="1250" w:type="pct"/>
          </w:tcPr>
          <w:p w14:paraId="127703C1" w14:textId="1F36F47D"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A93100" w:rsidRPr="002C1A2C">
              <w:rPr>
                <w:rFonts w:asciiTheme="majorHAnsi" w:eastAsia="Times New Roman" w:hAnsiTheme="majorHAnsi" w:cstheme="majorHAnsi"/>
                <w:sz w:val="24"/>
                <w:szCs w:val="24"/>
              </w:rPr>
              <w:t xml:space="preserve"> - </w:t>
            </w:r>
            <w:r w:rsidR="00A93100" w:rsidRPr="00A93100">
              <w:rPr>
                <w:rFonts w:asciiTheme="majorHAnsi" w:hAnsiTheme="majorHAnsi" w:cstheme="majorHAnsi"/>
                <w:sz w:val="24"/>
                <w:szCs w:val="24"/>
              </w:rPr>
              <w:t>Mero aprimoramento redacional, sem alteração de mérito para eliminação de possíveis ambiguidades.</w:t>
            </w:r>
          </w:p>
        </w:tc>
      </w:tr>
      <w:tr w:rsidR="009139A5" w:rsidRPr="002C1A2C" w14:paraId="463F113B" w14:textId="0B080C24" w:rsidTr="7DE461B5">
        <w:trPr>
          <w:trHeight w:val="300"/>
        </w:trPr>
        <w:tc>
          <w:tcPr>
            <w:tcW w:w="1250" w:type="pct"/>
          </w:tcPr>
          <w:p w14:paraId="4C0EB8FB" w14:textId="7A78E61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 - estabelecer critérios de seleção que visem à impessoalidade, à concorrência e à transparência;</w:t>
            </w:r>
          </w:p>
        </w:tc>
        <w:tc>
          <w:tcPr>
            <w:tcW w:w="1250" w:type="pct"/>
          </w:tcPr>
          <w:p w14:paraId="1D7D10F6" w14:textId="2709A861"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 - estabelecer critérios de seleção que visem à impessoalidade, à concorrência e à transparência, </w:t>
            </w:r>
            <w:r w:rsidRPr="002C1A2C">
              <w:rPr>
                <w:rFonts w:asciiTheme="majorHAnsi" w:hAnsiTheme="majorHAnsi" w:cstheme="majorHAnsi"/>
                <w:color w:val="0070C0"/>
                <w:sz w:val="24"/>
                <w:szCs w:val="24"/>
              </w:rPr>
              <w:t>atuando para evitar práticas que possam ferir a relação fiduciária</w:t>
            </w:r>
            <w:r w:rsidRPr="002C1A2C">
              <w:rPr>
                <w:rFonts w:asciiTheme="majorHAnsi" w:hAnsiTheme="majorHAnsi" w:cstheme="majorHAnsi"/>
                <w:sz w:val="24"/>
                <w:szCs w:val="24"/>
              </w:rPr>
              <w:t>;</w:t>
            </w:r>
          </w:p>
        </w:tc>
        <w:tc>
          <w:tcPr>
            <w:tcW w:w="1250" w:type="pct"/>
          </w:tcPr>
          <w:p w14:paraId="620072C0" w14:textId="34A2507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Acréscimo da parte final do inciso para reforçar que os critérios de seleção têm como objetivo mitigar o risco de práticas que possam de alguma ferir a relação fiduciária entre o plano de benefícios e o prestador de serviço</w:t>
            </w:r>
            <w:r w:rsidR="007E0E06">
              <w:rPr>
                <w:rFonts w:asciiTheme="majorHAnsi" w:hAnsiTheme="majorHAnsi" w:cstheme="majorHAnsi"/>
                <w:sz w:val="24"/>
                <w:szCs w:val="24"/>
              </w:rPr>
              <w:t>s</w:t>
            </w:r>
            <w:r w:rsidRPr="002C1A2C">
              <w:rPr>
                <w:rFonts w:asciiTheme="majorHAnsi" w:hAnsiTheme="majorHAnsi" w:cstheme="majorHAnsi"/>
                <w:sz w:val="24"/>
                <w:szCs w:val="24"/>
              </w:rPr>
              <w:t>.</w:t>
            </w:r>
          </w:p>
        </w:tc>
        <w:tc>
          <w:tcPr>
            <w:tcW w:w="1250" w:type="pct"/>
          </w:tcPr>
          <w:p w14:paraId="7DB59EC2" w14:textId="3FD5A489"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A93100" w:rsidRPr="00A93100">
              <w:rPr>
                <w:rFonts w:asciiTheme="majorHAnsi" w:hAnsiTheme="majorHAnsi" w:cstheme="majorHAnsi"/>
                <w:sz w:val="24"/>
                <w:szCs w:val="24"/>
              </w:rPr>
              <w:t xml:space="preserve"> - Mero aprimoramento redacional, sem alteração de mérito para eliminação de possíveis ambiguidades.</w:t>
            </w:r>
          </w:p>
        </w:tc>
      </w:tr>
      <w:tr w:rsidR="009139A5" w:rsidRPr="002C1A2C" w14:paraId="40C3584F" w14:textId="64DC469C" w:rsidTr="7DE461B5">
        <w:trPr>
          <w:trHeight w:val="300"/>
        </w:trPr>
        <w:tc>
          <w:tcPr>
            <w:tcW w:w="1250" w:type="pct"/>
          </w:tcPr>
          <w:p w14:paraId="5645986E" w14:textId="0B2034C9"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II - avaliar se o administrador de carteira de valores mobiliários é devidamente autorizado pela Comissão de Valores Mobiliários e tem reputação ilibada;</w:t>
            </w:r>
          </w:p>
        </w:tc>
        <w:tc>
          <w:tcPr>
            <w:tcW w:w="1250" w:type="pct"/>
          </w:tcPr>
          <w:p w14:paraId="7C84EA55" w14:textId="0637691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 - avaliar se o </w:t>
            </w:r>
            <w:r w:rsidRPr="002C1A2C">
              <w:rPr>
                <w:rFonts w:asciiTheme="majorHAnsi" w:hAnsiTheme="majorHAnsi" w:cstheme="majorHAnsi"/>
                <w:strike/>
                <w:color w:val="EE0000"/>
                <w:sz w:val="24"/>
                <w:szCs w:val="24"/>
              </w:rPr>
              <w:t>administrador de carteira de valores mobiliários</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prestador de serviços </w:t>
            </w:r>
            <w:r w:rsidRPr="002C1A2C">
              <w:rPr>
                <w:rFonts w:asciiTheme="majorHAnsi" w:hAnsiTheme="majorHAnsi" w:cstheme="majorHAnsi"/>
                <w:sz w:val="24"/>
                <w:szCs w:val="24"/>
              </w:rPr>
              <w:t>é devidamente autorizado pela Comissão de Valores Mobiliários e tem reputação ilibada;</w:t>
            </w:r>
          </w:p>
        </w:tc>
        <w:tc>
          <w:tcPr>
            <w:tcW w:w="1250" w:type="pct"/>
          </w:tcPr>
          <w:p w14:paraId="48DF68DF" w14:textId="655D2A8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Ajuste redacional para alinhar às nomenclaturas adotadas pela Resolução CMN nº 5.202, de 2025, e pela Resolução CVM nº 175, de 2022.</w:t>
            </w:r>
          </w:p>
          <w:p w14:paraId="527061BE" w14:textId="61D4316D" w:rsidR="009139A5" w:rsidRPr="002C1A2C" w:rsidRDefault="009139A5" w:rsidP="009139A5">
            <w:pPr>
              <w:spacing w:line="360" w:lineRule="auto"/>
              <w:jc w:val="both"/>
              <w:rPr>
                <w:rFonts w:asciiTheme="majorHAnsi" w:hAnsiTheme="majorHAnsi" w:cstheme="majorHAnsi"/>
                <w:sz w:val="24"/>
                <w:szCs w:val="24"/>
              </w:rPr>
            </w:pPr>
          </w:p>
          <w:p w14:paraId="121EC048" w14:textId="0579C076"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446E0AC" w14:textId="1D6B4B24"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A93100" w:rsidRPr="00A93100">
              <w:rPr>
                <w:rFonts w:asciiTheme="majorHAnsi" w:hAnsiTheme="majorHAnsi" w:cstheme="majorHAnsi"/>
                <w:sz w:val="24"/>
                <w:szCs w:val="24"/>
              </w:rPr>
              <w:t xml:space="preserve"> - Mero aprimoramento redacional, sem alteração de mérito para eliminação de possíveis ambiguidades.</w:t>
            </w:r>
          </w:p>
        </w:tc>
      </w:tr>
      <w:tr w:rsidR="009139A5" w:rsidRPr="002C1A2C" w14:paraId="1CC987F4" w14:textId="1840C1AA" w:rsidTr="7DE461B5">
        <w:trPr>
          <w:trHeight w:val="300"/>
        </w:trPr>
        <w:tc>
          <w:tcPr>
            <w:tcW w:w="1250" w:type="pct"/>
          </w:tcPr>
          <w:p w14:paraId="56DA714C" w14:textId="6D95C57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1250" w:type="pct"/>
          </w:tcPr>
          <w:p w14:paraId="59E920FF" w14:textId="16C7B4EF" w:rsidR="009139A5" w:rsidRPr="002C1A2C" w:rsidRDefault="009139A5" w:rsidP="009139A5">
            <w:pPr>
              <w:spacing w:line="360" w:lineRule="auto"/>
              <w:jc w:val="both"/>
              <w:rPr>
                <w:rFonts w:asciiTheme="majorHAnsi" w:hAnsiTheme="majorHAnsi" w:cstheme="majorBidi"/>
                <w:color w:val="0070C0"/>
                <w:sz w:val="24"/>
                <w:szCs w:val="24"/>
              </w:rPr>
            </w:pPr>
            <w:r w:rsidRPr="217C2035">
              <w:rPr>
                <w:rFonts w:asciiTheme="majorHAnsi" w:hAnsiTheme="majorHAnsi" w:cstheme="majorBidi"/>
                <w:sz w:val="24"/>
                <w:szCs w:val="24"/>
              </w:rPr>
              <w:t>III –</w:t>
            </w:r>
            <w:r>
              <w:rPr>
                <w:rFonts w:asciiTheme="majorHAnsi" w:hAnsiTheme="majorHAnsi" w:cstheme="majorBidi"/>
                <w:sz w:val="24"/>
                <w:szCs w:val="24"/>
              </w:rPr>
              <w:t xml:space="preserve"> </w:t>
            </w:r>
            <w:r w:rsidRPr="007820C6">
              <w:rPr>
                <w:rFonts w:asciiTheme="majorHAnsi" w:hAnsiTheme="majorHAnsi" w:cstheme="majorBidi"/>
                <w:strike/>
                <w:color w:val="EE0000"/>
                <w:sz w:val="24"/>
                <w:szCs w:val="24"/>
              </w:rPr>
              <w:t>analisar</w:t>
            </w:r>
            <w:r>
              <w:rPr>
                <w:rFonts w:asciiTheme="majorHAnsi" w:hAnsiTheme="majorHAnsi" w:cstheme="majorBidi"/>
                <w:sz w:val="24"/>
                <w:szCs w:val="24"/>
              </w:rPr>
              <w:t xml:space="preserve"> </w:t>
            </w:r>
            <w:r w:rsidRPr="217C2035">
              <w:rPr>
                <w:rFonts w:asciiTheme="majorHAnsi" w:hAnsiTheme="majorHAnsi" w:cstheme="majorBidi"/>
                <w:color w:val="0070C0"/>
                <w:sz w:val="24"/>
                <w:szCs w:val="24"/>
              </w:rPr>
              <w:t xml:space="preserve">verificar </w:t>
            </w:r>
            <w:r w:rsidRPr="007820C6">
              <w:rPr>
                <w:rFonts w:asciiTheme="majorHAnsi" w:hAnsiTheme="majorHAnsi" w:cstheme="majorBidi"/>
                <w:color w:val="0070C0"/>
                <w:sz w:val="24"/>
                <w:szCs w:val="24"/>
              </w:rPr>
              <w:t>se</w:t>
            </w:r>
            <w:r w:rsidRPr="217C2035">
              <w:rPr>
                <w:rFonts w:asciiTheme="majorHAnsi" w:hAnsiTheme="majorHAnsi" w:cstheme="majorBidi"/>
                <w:sz w:val="24"/>
                <w:szCs w:val="24"/>
              </w:rPr>
              <w:t xml:space="preserve"> a estrutura existente</w:t>
            </w:r>
            <w:r>
              <w:rPr>
                <w:rFonts w:asciiTheme="majorHAnsi" w:hAnsiTheme="majorHAnsi" w:cstheme="majorBidi"/>
                <w:sz w:val="24"/>
                <w:szCs w:val="24"/>
              </w:rPr>
              <w:t xml:space="preserve"> </w:t>
            </w:r>
            <w:r w:rsidRPr="00D51582">
              <w:rPr>
                <w:rFonts w:asciiTheme="majorHAnsi" w:hAnsiTheme="majorHAnsi" w:cstheme="majorHAnsi"/>
                <w:strike/>
                <w:color w:val="EE0000"/>
                <w:sz w:val="24"/>
                <w:szCs w:val="24"/>
              </w:rPr>
              <w:t>para a prestação do serviço</w:t>
            </w:r>
            <w:r>
              <w:rPr>
                <w:rFonts w:asciiTheme="majorHAnsi" w:hAnsiTheme="majorHAnsi" w:cstheme="majorBidi"/>
                <w:sz w:val="24"/>
                <w:szCs w:val="24"/>
              </w:rPr>
              <w:t xml:space="preserve">, </w:t>
            </w:r>
            <w:r w:rsidRPr="007820C6">
              <w:rPr>
                <w:rFonts w:asciiTheme="majorHAnsi" w:hAnsiTheme="majorHAnsi" w:cstheme="majorHAnsi"/>
                <w:strike/>
                <w:color w:val="EE0000"/>
                <w:sz w:val="24"/>
                <w:szCs w:val="24"/>
              </w:rPr>
              <w:t xml:space="preserve">a qualificação técnica e a experiência dos profissionais para o exercício de administração de carteira de valores mobiliários, </w:t>
            </w:r>
            <w:r w:rsidRPr="007820C6">
              <w:rPr>
                <w:rFonts w:asciiTheme="majorHAnsi" w:hAnsiTheme="majorHAnsi" w:cstheme="majorBidi"/>
                <w:color w:val="0070C0"/>
                <w:sz w:val="24"/>
                <w:szCs w:val="24"/>
              </w:rPr>
              <w:t xml:space="preserve">a experiência dos profissionais, </w:t>
            </w:r>
            <w:r w:rsidRPr="00094A7A">
              <w:rPr>
                <w:rFonts w:asciiTheme="majorHAnsi" w:hAnsiTheme="majorHAnsi" w:cstheme="majorBidi"/>
                <w:color w:val="0070C0"/>
                <w:sz w:val="24"/>
                <w:szCs w:val="24"/>
              </w:rPr>
              <w:t xml:space="preserve">a capacidade operacional e </w:t>
            </w:r>
            <w:r w:rsidRPr="007820C6">
              <w:rPr>
                <w:rFonts w:asciiTheme="majorHAnsi" w:hAnsiTheme="majorHAnsi" w:cstheme="majorBidi"/>
                <w:color w:val="0070C0"/>
                <w:sz w:val="24"/>
                <w:szCs w:val="24"/>
              </w:rPr>
              <w:t xml:space="preserve">técnica, </w:t>
            </w:r>
            <w:r w:rsidRPr="007820C6">
              <w:rPr>
                <w:rFonts w:asciiTheme="majorHAnsi" w:hAnsiTheme="majorHAnsi" w:cstheme="majorBidi"/>
                <w:color w:val="000000" w:themeColor="text1"/>
                <w:sz w:val="24"/>
                <w:szCs w:val="24"/>
              </w:rPr>
              <w:t xml:space="preserve">incluindo o histórico de atuação </w:t>
            </w:r>
            <w:r w:rsidRPr="007820C6">
              <w:rPr>
                <w:rFonts w:asciiTheme="majorHAnsi" w:hAnsiTheme="majorHAnsi" w:cstheme="majorBidi"/>
                <w:strike/>
                <w:color w:val="EE0000"/>
                <w:sz w:val="24"/>
                <w:szCs w:val="24"/>
              </w:rPr>
              <w:t>do gestor de recursos</w:t>
            </w:r>
            <w:r w:rsidRPr="007820C6">
              <w:rPr>
                <w:rFonts w:asciiTheme="majorHAnsi" w:hAnsiTheme="majorHAnsi" w:cstheme="majorBidi"/>
                <w:color w:val="0070C0"/>
                <w:sz w:val="24"/>
                <w:szCs w:val="24"/>
              </w:rPr>
              <w:t xml:space="preserve"> </w:t>
            </w:r>
            <w:r w:rsidRPr="00094A7A">
              <w:rPr>
                <w:rFonts w:asciiTheme="majorHAnsi" w:hAnsiTheme="majorHAnsi" w:cstheme="majorBidi"/>
                <w:color w:val="0070C0"/>
                <w:sz w:val="24"/>
                <w:szCs w:val="24"/>
              </w:rPr>
              <w:t>dos prestadores de serviços, são compatíveis com o serviço a ser prestado.</w:t>
            </w:r>
          </w:p>
          <w:p w14:paraId="211F937C" w14:textId="15815B36" w:rsidR="009139A5" w:rsidRPr="002C1A2C" w:rsidRDefault="009139A5" w:rsidP="009139A5">
            <w:pPr>
              <w:spacing w:line="360" w:lineRule="auto"/>
              <w:jc w:val="both"/>
              <w:rPr>
                <w:rFonts w:asciiTheme="majorHAnsi" w:hAnsiTheme="majorHAnsi" w:cstheme="majorBidi"/>
                <w:sz w:val="24"/>
                <w:szCs w:val="24"/>
              </w:rPr>
            </w:pPr>
          </w:p>
        </w:tc>
        <w:tc>
          <w:tcPr>
            <w:tcW w:w="1250" w:type="pct"/>
          </w:tcPr>
          <w:p w14:paraId="469C7345" w14:textId="5F3A3FA4" w:rsidR="009139A5" w:rsidRPr="000F08F9" w:rsidRDefault="009139A5" w:rsidP="009139A5">
            <w:pPr>
              <w:spacing w:line="360" w:lineRule="auto"/>
              <w:jc w:val="both"/>
              <w:rPr>
                <w:rFonts w:asciiTheme="majorHAnsi" w:eastAsia="Times New Roman" w:hAnsiTheme="majorHAnsi" w:cstheme="majorBidi"/>
                <w:sz w:val="24"/>
                <w:szCs w:val="24"/>
              </w:rPr>
            </w:pPr>
            <w:r w:rsidRPr="2E2C6E20">
              <w:rPr>
                <w:rFonts w:asciiTheme="majorHAnsi" w:eastAsia="Times New Roman" w:hAnsiTheme="majorHAnsi" w:cstheme="majorBidi"/>
                <w:sz w:val="24"/>
                <w:szCs w:val="24"/>
              </w:rPr>
              <w:t>O aprimoramento redacional propõe substituir o termo "analisar" por "verificar se" para evidenciar que o objetivo dessa verificação é avaliar se a estrutura existente, a experiência dos profissionais, a capacidade operacional e técnica, incluindo seu histórico de atuação, são compatíveis com o serviço a ser prestado. Além disso, o texto foi ajustado para reforçar a importância da proporcionalidade, destacando que a estrutura do prestador deve estar adequada ao mandato a que se refere, e para utilizar o termo "prestador de serviços como forma de direcionar a responsabilidade normativa conforme a legislação aplicável da CVM.</w:t>
            </w:r>
          </w:p>
          <w:p w14:paraId="5369CC25" w14:textId="31CC53B3" w:rsidR="009139A5" w:rsidRPr="000F08F9" w:rsidRDefault="009139A5" w:rsidP="009139A5">
            <w:pPr>
              <w:spacing w:line="360" w:lineRule="auto"/>
              <w:jc w:val="both"/>
              <w:rPr>
                <w:rFonts w:asciiTheme="majorHAnsi" w:eastAsia="Times New Roman" w:hAnsiTheme="majorHAnsi" w:cstheme="majorHAnsi"/>
                <w:sz w:val="24"/>
                <w:szCs w:val="24"/>
              </w:rPr>
            </w:pPr>
          </w:p>
        </w:tc>
        <w:tc>
          <w:tcPr>
            <w:tcW w:w="1250" w:type="pct"/>
          </w:tcPr>
          <w:p w14:paraId="05DE7BFD" w14:textId="4A984D0E" w:rsidR="009139A5" w:rsidRPr="000F08F9" w:rsidRDefault="009139A5" w:rsidP="009139A5">
            <w:pPr>
              <w:spacing w:line="360" w:lineRule="auto"/>
              <w:jc w:val="both"/>
              <w:rPr>
                <w:rFonts w:asciiTheme="majorHAnsi" w:eastAsia="Times New Roman" w:hAnsiTheme="majorHAnsi" w:cstheme="majorHAnsi"/>
                <w:sz w:val="24"/>
                <w:szCs w:val="24"/>
              </w:rPr>
            </w:pPr>
            <w:r w:rsidRPr="002C1A2C">
              <w:rPr>
                <w:rFonts w:asciiTheme="majorHAnsi" w:eastAsia="Times New Roman" w:hAnsiTheme="majorHAnsi" w:cstheme="majorHAnsi"/>
                <w:color w:val="000000" w:themeColor="text1"/>
                <w:sz w:val="24"/>
                <w:szCs w:val="24"/>
              </w:rPr>
              <w:t>Alínea “a” do inciso V, do art. 4º.</w:t>
            </w:r>
          </w:p>
        </w:tc>
      </w:tr>
      <w:tr w:rsidR="009139A5" w:rsidRPr="002C1A2C" w14:paraId="66FCE433" w14:textId="70FC4934" w:rsidTr="7DE461B5">
        <w:trPr>
          <w:trHeight w:val="300"/>
        </w:trPr>
        <w:tc>
          <w:tcPr>
            <w:tcW w:w="1250" w:type="pct"/>
          </w:tcPr>
          <w:p w14:paraId="52DB6496" w14:textId="25C5DDF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IV - estabelecer o escopo do serviço a ser prestado inclusive </w:t>
            </w:r>
            <w:r w:rsidRPr="002C1A2C">
              <w:rPr>
                <w:rFonts w:asciiTheme="majorHAnsi" w:hAnsiTheme="majorHAnsi" w:cstheme="majorHAnsi"/>
                <w:sz w:val="24"/>
                <w:szCs w:val="24"/>
              </w:rPr>
              <w:lastRenderedPageBreak/>
              <w:t>contemplando objetivos passíveis de verificação de acordo com as características do mandato;</w:t>
            </w:r>
          </w:p>
        </w:tc>
        <w:tc>
          <w:tcPr>
            <w:tcW w:w="1250" w:type="pct"/>
          </w:tcPr>
          <w:p w14:paraId="7A714D51" w14:textId="60048B3D" w:rsidR="009139A5" w:rsidRPr="002C1A2C" w:rsidRDefault="009139A5" w:rsidP="009139A5">
            <w:pPr>
              <w:spacing w:line="360" w:lineRule="auto"/>
              <w:jc w:val="both"/>
              <w:rPr>
                <w:rFonts w:asciiTheme="majorHAnsi" w:eastAsia="Times New Roman" w:hAnsiTheme="majorHAnsi" w:cstheme="majorHAnsi"/>
                <w:sz w:val="24"/>
                <w:szCs w:val="24"/>
              </w:rPr>
            </w:pPr>
            <w:r w:rsidRPr="002C1A2C">
              <w:rPr>
                <w:rFonts w:asciiTheme="majorHAnsi" w:hAnsiTheme="majorHAnsi" w:cstheme="majorHAnsi"/>
                <w:sz w:val="24"/>
                <w:szCs w:val="24"/>
              </w:rPr>
              <w:lastRenderedPageBreak/>
              <w:t xml:space="preserve">IV - estabelecer </w:t>
            </w:r>
            <w:r w:rsidRPr="002C1A2C">
              <w:rPr>
                <w:rFonts w:asciiTheme="majorHAnsi" w:hAnsiTheme="majorHAnsi" w:cstheme="majorHAnsi"/>
                <w:color w:val="0070C0"/>
                <w:sz w:val="24"/>
                <w:szCs w:val="24"/>
              </w:rPr>
              <w:t xml:space="preserve">com clareza e objetividade no regulamento e no </w:t>
            </w:r>
            <w:r w:rsidRPr="002C1A2C">
              <w:rPr>
                <w:rFonts w:asciiTheme="majorHAnsi" w:hAnsiTheme="majorHAnsi" w:cstheme="majorHAnsi"/>
                <w:color w:val="0070C0"/>
                <w:sz w:val="24"/>
                <w:szCs w:val="24"/>
              </w:rPr>
              <w:lastRenderedPageBreak/>
              <w:t>contrato de prestação de serviços</w:t>
            </w:r>
            <w:r w:rsidRPr="002C1A2C">
              <w:rPr>
                <w:rFonts w:asciiTheme="majorHAnsi" w:hAnsiTheme="majorHAnsi" w:cstheme="majorHAnsi"/>
                <w:sz w:val="24"/>
                <w:szCs w:val="24"/>
              </w:rPr>
              <w:t xml:space="preserve"> o escopo </w:t>
            </w:r>
            <w:r w:rsidRPr="00F43C57">
              <w:rPr>
                <w:rFonts w:asciiTheme="majorHAnsi" w:hAnsiTheme="majorHAnsi" w:cstheme="majorHAnsi"/>
                <w:strike/>
                <w:color w:val="EE0000"/>
                <w:sz w:val="24"/>
                <w:szCs w:val="24"/>
              </w:rPr>
              <w:t>do serviço a ser prestado</w:t>
            </w:r>
            <w:r>
              <w:rPr>
                <w:rFonts w:asciiTheme="majorHAnsi" w:hAnsiTheme="majorHAnsi" w:cstheme="majorHAnsi"/>
                <w:strike/>
                <w:color w:val="EE0000"/>
                <w:sz w:val="24"/>
                <w:szCs w:val="24"/>
              </w:rPr>
              <w:t xml:space="preserve"> </w:t>
            </w:r>
            <w:r w:rsidRPr="00F43C57">
              <w:rPr>
                <w:rFonts w:asciiTheme="majorHAnsi" w:hAnsiTheme="majorHAnsi" w:cstheme="majorHAnsi"/>
                <w:color w:val="00B0F0"/>
                <w:sz w:val="24"/>
                <w:szCs w:val="24"/>
              </w:rPr>
              <w:t>da atividade contratada</w:t>
            </w:r>
            <w:r w:rsidRPr="002C1A2C">
              <w:rPr>
                <w:rFonts w:asciiTheme="majorHAnsi" w:hAnsiTheme="majorHAnsi" w:cstheme="majorHAnsi"/>
                <w:color w:val="0070C0"/>
                <w:sz w:val="24"/>
                <w:szCs w:val="24"/>
              </w:rPr>
              <w:t>,</w:t>
            </w:r>
            <w:r w:rsidRPr="002C1A2C">
              <w:rPr>
                <w:rFonts w:asciiTheme="majorHAnsi" w:hAnsiTheme="majorHAnsi" w:cstheme="majorHAnsi"/>
                <w:sz w:val="24"/>
                <w:szCs w:val="24"/>
              </w:rPr>
              <w:t xml:space="preserve"> contemplando </w:t>
            </w:r>
            <w:r w:rsidRPr="002C1A2C">
              <w:rPr>
                <w:rFonts w:asciiTheme="majorHAnsi" w:hAnsiTheme="majorHAnsi" w:cstheme="majorHAnsi"/>
                <w:strike/>
                <w:color w:val="EE0000"/>
                <w:sz w:val="24"/>
                <w:szCs w:val="24"/>
              </w:rPr>
              <w:t>inclusive</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 xml:space="preserve">objetivos passíveis de verificação de acordo com as características do mandato, </w:t>
            </w:r>
            <w:r w:rsidRPr="002C1A2C">
              <w:rPr>
                <w:rFonts w:asciiTheme="majorHAnsi" w:hAnsiTheme="majorHAnsi" w:cstheme="majorHAnsi"/>
                <w:color w:val="0070C0"/>
                <w:sz w:val="24"/>
                <w:szCs w:val="24"/>
              </w:rPr>
              <w:t>firmando, sempre que possível, acordos quanto ao nível de serviço a ser prestado</w:t>
            </w:r>
            <w:r w:rsidRPr="002C1A2C">
              <w:rPr>
                <w:rFonts w:asciiTheme="majorHAnsi" w:hAnsiTheme="majorHAnsi" w:cstheme="majorHAnsi"/>
                <w:sz w:val="24"/>
                <w:szCs w:val="24"/>
              </w:rPr>
              <w:t>;</w:t>
            </w:r>
            <w:r>
              <w:rPr>
                <w:rFonts w:asciiTheme="majorHAnsi" w:hAnsiTheme="majorHAnsi" w:cstheme="majorHAnsi"/>
                <w:sz w:val="24"/>
                <w:szCs w:val="24"/>
              </w:rPr>
              <w:t xml:space="preserve"> </w:t>
            </w:r>
          </w:p>
        </w:tc>
        <w:tc>
          <w:tcPr>
            <w:tcW w:w="1250" w:type="pct"/>
          </w:tcPr>
          <w:p w14:paraId="67B006AC" w14:textId="71C66BAD" w:rsidR="009139A5" w:rsidRPr="002C1A2C" w:rsidRDefault="009139A5" w:rsidP="009139A5">
            <w:pPr>
              <w:spacing w:line="360" w:lineRule="auto"/>
              <w:jc w:val="both"/>
              <w:rPr>
                <w:rFonts w:asciiTheme="majorHAnsi" w:eastAsia="Times New Roman" w:hAnsiTheme="majorHAnsi" w:cstheme="majorHAnsi"/>
                <w:sz w:val="24"/>
                <w:szCs w:val="24"/>
              </w:rPr>
            </w:pPr>
            <w:r w:rsidRPr="002C1A2C">
              <w:rPr>
                <w:rFonts w:asciiTheme="majorHAnsi" w:eastAsia="Times New Roman" w:hAnsiTheme="majorHAnsi" w:cstheme="majorHAnsi"/>
                <w:sz w:val="24"/>
                <w:szCs w:val="24"/>
              </w:rPr>
              <w:lastRenderedPageBreak/>
              <w:t xml:space="preserve">A redação proposta visa garantir maior precisão normativa ao exigir </w:t>
            </w:r>
            <w:r w:rsidRPr="002C1A2C">
              <w:rPr>
                <w:rFonts w:asciiTheme="majorHAnsi" w:eastAsia="Times New Roman" w:hAnsiTheme="majorHAnsi" w:cstheme="majorHAnsi"/>
                <w:sz w:val="24"/>
                <w:szCs w:val="24"/>
              </w:rPr>
              <w:lastRenderedPageBreak/>
              <w:t>que o regulamento e o contrato contenham, de forma clara e objetiva, a definição do escopo dos serviços a serem prestados. A exclusão do termo “inclusive” elimina redundância, sem prejuízo da exigência de metas verificáveis. A opção por abordagem mais genérica evita a adoção automática do modelo de SLA previsto no Ofício-Circular nº 3/2020-CVM/SMI, o qual não se coaduna com a natureza contínua e institucional dos serviços prestados no âmbito das EFPC, respeitando a diversidade de estruturas organizacionais do setor.</w:t>
            </w:r>
          </w:p>
        </w:tc>
        <w:tc>
          <w:tcPr>
            <w:tcW w:w="1250" w:type="pct"/>
          </w:tcPr>
          <w:p w14:paraId="44E03E20" w14:textId="3AAE9222" w:rsidR="009139A5" w:rsidRPr="002C1A2C" w:rsidRDefault="00E65ECD" w:rsidP="009139A5">
            <w:pPr>
              <w:spacing w:line="360" w:lineRule="auto"/>
              <w:jc w:val="both"/>
              <w:rPr>
                <w:rFonts w:asciiTheme="majorHAnsi" w:eastAsia="Times New Roman" w:hAnsiTheme="majorHAnsi" w:cstheme="majorHAnsi"/>
                <w:sz w:val="24"/>
                <w:szCs w:val="24"/>
              </w:rPr>
            </w:pPr>
            <w:r w:rsidRPr="002C1A2C">
              <w:rPr>
                <w:rFonts w:asciiTheme="majorHAnsi" w:eastAsia="Times New Roman" w:hAnsiTheme="majorHAnsi" w:cstheme="majorHAnsi"/>
                <w:color w:val="000000" w:themeColor="text1"/>
                <w:sz w:val="24"/>
                <w:szCs w:val="24"/>
              </w:rPr>
              <w:lastRenderedPageBreak/>
              <w:t>Alínea “a” do inciso V, do art. 4º.</w:t>
            </w:r>
          </w:p>
        </w:tc>
      </w:tr>
      <w:tr w:rsidR="001E1263" w:rsidRPr="002C1A2C" w14:paraId="433A8927" w14:textId="77777777" w:rsidTr="7DE461B5">
        <w:trPr>
          <w:trHeight w:val="300"/>
        </w:trPr>
        <w:tc>
          <w:tcPr>
            <w:tcW w:w="1250" w:type="pct"/>
          </w:tcPr>
          <w:p w14:paraId="1C2EBF23" w14:textId="798D409B" w:rsidR="001E1263" w:rsidRPr="002C1A2C" w:rsidRDefault="001E1263"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4867654D" w14:textId="295E83E5" w:rsidR="001E1263" w:rsidRPr="002C1A2C" w:rsidRDefault="001E1263"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41A60EAB" w14:textId="3838E3F0" w:rsidR="001E1263" w:rsidRPr="002C1A2C" w:rsidRDefault="001E1263" w:rsidP="009139A5">
            <w:pPr>
              <w:spacing w:line="360" w:lineRule="auto"/>
              <w:jc w:val="both"/>
              <w:rPr>
                <w:rFonts w:asciiTheme="majorHAnsi" w:hAnsiTheme="majorHAnsi" w:cstheme="majorHAnsi"/>
                <w:sz w:val="24"/>
                <w:szCs w:val="24"/>
              </w:rPr>
            </w:pPr>
          </w:p>
        </w:tc>
        <w:tc>
          <w:tcPr>
            <w:tcW w:w="1250" w:type="pct"/>
          </w:tcPr>
          <w:p w14:paraId="1A8D8BD7" w14:textId="77777777" w:rsidR="001E1263" w:rsidRPr="002C1A2C" w:rsidRDefault="001E1263" w:rsidP="009139A5">
            <w:pPr>
              <w:spacing w:line="360" w:lineRule="auto"/>
              <w:jc w:val="both"/>
              <w:rPr>
                <w:rFonts w:asciiTheme="majorHAnsi" w:eastAsia="Calibri" w:hAnsiTheme="majorHAnsi" w:cstheme="majorHAnsi"/>
                <w:sz w:val="24"/>
                <w:szCs w:val="24"/>
              </w:rPr>
            </w:pPr>
          </w:p>
        </w:tc>
      </w:tr>
      <w:tr w:rsidR="009139A5" w:rsidRPr="002C1A2C" w14:paraId="0F969607" w14:textId="13BC43A2" w:rsidTr="7DE461B5">
        <w:trPr>
          <w:trHeight w:val="300"/>
        </w:trPr>
        <w:tc>
          <w:tcPr>
            <w:tcW w:w="1250" w:type="pct"/>
          </w:tcPr>
          <w:p w14:paraId="0B474320" w14:textId="55907AF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VII - analisar se a política de gestão de riscos da carteira administrada ou do fundo de investimento está alinhada às diretrizes da política de </w:t>
            </w:r>
            <w:r w:rsidRPr="002C1A2C">
              <w:rPr>
                <w:rFonts w:asciiTheme="majorHAnsi" w:hAnsiTheme="majorHAnsi" w:cstheme="majorHAnsi"/>
                <w:sz w:val="24"/>
                <w:szCs w:val="24"/>
              </w:rPr>
              <w:lastRenderedPageBreak/>
              <w:t>investimento dos planos de benefícios da EFPC; e</w:t>
            </w:r>
          </w:p>
        </w:tc>
        <w:tc>
          <w:tcPr>
            <w:tcW w:w="1250" w:type="pct"/>
          </w:tcPr>
          <w:p w14:paraId="62B9F4C2" w14:textId="086B105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VII - analisar se a política de gestão de riscos da carteira administrada ou </w:t>
            </w:r>
            <w:r w:rsidRPr="002C1A2C">
              <w:rPr>
                <w:rFonts w:asciiTheme="majorHAnsi" w:hAnsiTheme="majorHAnsi" w:cstheme="majorHAnsi"/>
                <w:color w:val="0070C0"/>
                <w:sz w:val="24"/>
                <w:szCs w:val="24"/>
              </w:rPr>
              <w:t xml:space="preserve">da classe de cotas </w:t>
            </w:r>
            <w:r w:rsidRPr="002C1A2C">
              <w:rPr>
                <w:rFonts w:asciiTheme="majorHAnsi" w:hAnsiTheme="majorHAnsi" w:cstheme="majorHAnsi"/>
                <w:sz w:val="24"/>
                <w:szCs w:val="24"/>
              </w:rPr>
              <w:t xml:space="preserve">do fundo de investimento está alinhada às diretrizes da política de </w:t>
            </w:r>
            <w:r w:rsidRPr="002C1A2C">
              <w:rPr>
                <w:rFonts w:asciiTheme="majorHAnsi" w:hAnsiTheme="majorHAnsi" w:cstheme="majorHAnsi"/>
                <w:sz w:val="24"/>
                <w:szCs w:val="24"/>
              </w:rPr>
              <w:lastRenderedPageBreak/>
              <w:t>investimento dos planos de benefícios da EFPC; e</w:t>
            </w:r>
          </w:p>
        </w:tc>
        <w:tc>
          <w:tcPr>
            <w:tcW w:w="1250" w:type="pct"/>
          </w:tcPr>
          <w:p w14:paraId="3726DCA1"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Ajuste redacional para alinhar à Resolução CMN Nº 5.202, de 2025, e a Resolução CVM nº 175, de 2022.</w:t>
            </w:r>
          </w:p>
          <w:p w14:paraId="12EFAB98" w14:textId="0E5D94EC"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46CA8CF6" w14:textId="4ABF8DB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Incisos I</w:t>
            </w:r>
            <w:r w:rsidR="00610357">
              <w:rPr>
                <w:rFonts w:asciiTheme="majorHAnsi" w:eastAsia="Calibri" w:hAnsiTheme="majorHAnsi" w:cstheme="majorHAnsi"/>
                <w:sz w:val="24"/>
                <w:szCs w:val="24"/>
              </w:rPr>
              <w:t xml:space="preserve">V </w:t>
            </w:r>
            <w:r w:rsidRPr="002C1A2C">
              <w:rPr>
                <w:rFonts w:asciiTheme="majorHAnsi" w:eastAsia="Calibri" w:hAnsiTheme="majorHAnsi" w:cstheme="majorHAnsi"/>
                <w:sz w:val="24"/>
                <w:szCs w:val="24"/>
              </w:rPr>
              <w:t>do art. 4º</w:t>
            </w:r>
            <w:r w:rsidR="00610357">
              <w:rPr>
                <w:rFonts w:asciiTheme="majorHAnsi" w:eastAsia="Calibri" w:hAnsiTheme="majorHAnsi" w:cstheme="majorHAnsi"/>
                <w:sz w:val="24"/>
                <w:szCs w:val="24"/>
              </w:rPr>
              <w:t xml:space="preserve"> do Decreto nº 10.411, de 2020</w:t>
            </w:r>
            <w:r w:rsidRPr="002C1A2C">
              <w:rPr>
                <w:rFonts w:asciiTheme="majorHAnsi" w:eastAsia="Times New Roman" w:hAnsiTheme="majorHAnsi" w:cstheme="majorHAnsi"/>
                <w:sz w:val="24"/>
                <w:szCs w:val="24"/>
              </w:rPr>
              <w:t xml:space="preserve"> - </w:t>
            </w:r>
            <w:r w:rsidRPr="002C1A2C">
              <w:rPr>
                <w:rFonts w:asciiTheme="majorHAnsi" w:hAnsiTheme="majorHAnsi" w:cstheme="majorHAnsi"/>
                <w:sz w:val="24"/>
                <w:szCs w:val="24"/>
              </w:rPr>
              <w:t>Aprimoramento redacional, sem alteração de mérito, para atender à melhor técnica normativa</w:t>
            </w:r>
            <w:r w:rsidR="00610357">
              <w:rPr>
                <w:rFonts w:asciiTheme="majorHAnsi" w:hAnsiTheme="majorHAnsi" w:cstheme="majorHAnsi"/>
                <w:sz w:val="24"/>
                <w:szCs w:val="24"/>
              </w:rPr>
              <w:t xml:space="preserve"> e a</w:t>
            </w:r>
            <w:r w:rsidRPr="002C1A2C">
              <w:rPr>
                <w:rFonts w:asciiTheme="majorHAnsi" w:eastAsia="Times New Roman" w:hAnsiTheme="majorHAnsi" w:cstheme="majorHAnsi"/>
                <w:sz w:val="24"/>
                <w:szCs w:val="24"/>
              </w:rPr>
              <w:t xml:space="preserve">daptação à </w:t>
            </w:r>
            <w:r w:rsidRPr="002C1A2C">
              <w:rPr>
                <w:rFonts w:asciiTheme="majorHAnsi" w:eastAsia="Times New Roman" w:hAnsiTheme="majorHAnsi" w:cstheme="majorHAnsi"/>
                <w:sz w:val="24"/>
                <w:szCs w:val="24"/>
              </w:rPr>
              <w:lastRenderedPageBreak/>
              <w:t>Resolução CMN nº 5.202, de 2025, e Resolução CVM nº175, de 2022, assim como retirada expressa da Resolução CMN nº 4.994, de 2022.</w:t>
            </w:r>
          </w:p>
        </w:tc>
      </w:tr>
      <w:tr w:rsidR="009139A5" w:rsidRPr="002C1A2C" w14:paraId="30E9E323" w14:textId="04708C14" w:rsidTr="7DE461B5">
        <w:trPr>
          <w:trHeight w:val="300"/>
        </w:trPr>
        <w:tc>
          <w:tcPr>
            <w:tcW w:w="1250" w:type="pct"/>
          </w:tcPr>
          <w:p w14:paraId="62B0C3EA" w14:textId="690A994C" w:rsidR="009139A5" w:rsidRPr="002C1A2C" w:rsidRDefault="00610357"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lastRenderedPageBreak/>
              <w:t>(...)</w:t>
            </w:r>
          </w:p>
        </w:tc>
        <w:tc>
          <w:tcPr>
            <w:tcW w:w="1250" w:type="pct"/>
          </w:tcPr>
          <w:p w14:paraId="6C952DEF" w14:textId="7C3E219C" w:rsidR="009139A5" w:rsidRPr="002C1A2C" w:rsidRDefault="00610357"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32102861" w14:textId="32DC97D0"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383E1A62"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5E493D7F" w14:textId="644E3F4D" w:rsidTr="7DE461B5">
        <w:trPr>
          <w:trHeight w:val="300"/>
        </w:trPr>
        <w:tc>
          <w:tcPr>
            <w:tcW w:w="1250" w:type="pct"/>
          </w:tcPr>
          <w:p w14:paraId="146A387A" w14:textId="5614F54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1250" w:type="pct"/>
          </w:tcPr>
          <w:p w14:paraId="17BB7DA6" w14:textId="6AFC8997" w:rsidR="009139A5" w:rsidRPr="002C1A2C" w:rsidRDefault="009139A5" w:rsidP="009139A5">
            <w:pPr>
              <w:spacing w:line="360" w:lineRule="auto"/>
              <w:jc w:val="both"/>
              <w:rPr>
                <w:rFonts w:asciiTheme="majorHAnsi" w:hAnsiTheme="majorHAnsi" w:cstheme="majorBidi"/>
                <w:sz w:val="24"/>
                <w:szCs w:val="24"/>
              </w:rPr>
            </w:pPr>
            <w:r w:rsidRPr="217C2035">
              <w:rPr>
                <w:rFonts w:asciiTheme="majorHAnsi" w:hAnsiTheme="majorHAnsi" w:cstheme="majorBidi"/>
                <w:sz w:val="24"/>
                <w:szCs w:val="24"/>
              </w:rPr>
              <w:t xml:space="preserve">§2º  O membro de diretoria </w:t>
            </w:r>
            <w:r w:rsidRPr="00357E4B">
              <w:rPr>
                <w:rFonts w:asciiTheme="majorHAnsi" w:hAnsiTheme="majorHAnsi" w:cstheme="majorBidi"/>
                <w:strike/>
                <w:color w:val="EE0000"/>
                <w:sz w:val="24"/>
                <w:szCs w:val="24"/>
              </w:rPr>
              <w:t>ou</w:t>
            </w:r>
            <w:r w:rsidRPr="217C2035">
              <w:rPr>
                <w:rFonts w:asciiTheme="majorHAnsi" w:hAnsiTheme="majorHAnsi" w:cstheme="majorBidi"/>
                <w:sz w:val="24"/>
                <w:szCs w:val="24"/>
              </w:rPr>
              <w:t xml:space="preserve"> </w:t>
            </w:r>
            <w:r w:rsidRPr="00357E4B">
              <w:rPr>
                <w:rFonts w:asciiTheme="majorHAnsi" w:hAnsiTheme="majorHAnsi" w:cstheme="majorBidi"/>
                <w:color w:val="0070C0"/>
                <w:sz w:val="24"/>
                <w:szCs w:val="24"/>
              </w:rPr>
              <w:t xml:space="preserve">e do </w:t>
            </w:r>
            <w:r w:rsidRPr="217C2035">
              <w:rPr>
                <w:rFonts w:asciiTheme="majorHAnsi" w:hAnsiTheme="majorHAnsi" w:cstheme="majorBidi"/>
                <w:sz w:val="24"/>
                <w:szCs w:val="24"/>
              </w:rPr>
              <w:t xml:space="preserve">conselho deliberativo da EFPC deve formalizar ao conselho deliberativo a existência de qualquer potencial conflito de </w:t>
            </w:r>
            <w:r w:rsidRPr="217C2035">
              <w:rPr>
                <w:rFonts w:asciiTheme="majorHAnsi" w:hAnsiTheme="majorHAnsi" w:cstheme="majorBidi"/>
                <w:strike/>
                <w:color w:val="EE0000"/>
                <w:sz w:val="24"/>
                <w:szCs w:val="24"/>
              </w:rPr>
              <w:t>interesse</w:t>
            </w:r>
            <w:r w:rsidRPr="217C2035">
              <w:rPr>
                <w:rFonts w:asciiTheme="majorHAnsi" w:hAnsiTheme="majorHAnsi" w:cstheme="majorBidi"/>
                <w:color w:val="EE0000"/>
                <w:sz w:val="24"/>
                <w:szCs w:val="24"/>
              </w:rPr>
              <w:t xml:space="preserve"> </w:t>
            </w:r>
            <w:r w:rsidRPr="217C2035">
              <w:rPr>
                <w:rFonts w:asciiTheme="majorHAnsi" w:hAnsiTheme="majorHAnsi" w:cstheme="majorBidi"/>
                <w:color w:val="0070C0"/>
                <w:sz w:val="24"/>
                <w:szCs w:val="24"/>
              </w:rPr>
              <w:t xml:space="preserve">interesses </w:t>
            </w:r>
            <w:r w:rsidRPr="217C2035">
              <w:rPr>
                <w:rFonts w:asciiTheme="majorHAnsi" w:hAnsiTheme="majorHAnsi" w:cstheme="majorBidi"/>
                <w:sz w:val="24"/>
                <w:szCs w:val="24"/>
              </w:rPr>
              <w:t>quando da seleção do prestador de serviço de administração de carteiras de valores mobiliários.</w:t>
            </w:r>
          </w:p>
        </w:tc>
        <w:tc>
          <w:tcPr>
            <w:tcW w:w="1250" w:type="pct"/>
          </w:tcPr>
          <w:p w14:paraId="0ED00B2C" w14:textId="02A955A3" w:rsidR="009139A5" w:rsidRPr="002C1A2C" w:rsidRDefault="009139A5" w:rsidP="009139A5">
            <w:pPr>
              <w:spacing w:line="360" w:lineRule="auto"/>
              <w:jc w:val="both"/>
              <w:rPr>
                <w:rFonts w:asciiTheme="majorHAnsi" w:hAnsiTheme="majorHAnsi" w:cstheme="majorBidi"/>
                <w:sz w:val="24"/>
                <w:szCs w:val="24"/>
              </w:rPr>
            </w:pPr>
            <w:r w:rsidRPr="217C2035">
              <w:rPr>
                <w:rFonts w:asciiTheme="majorHAnsi" w:hAnsiTheme="majorHAnsi" w:cstheme="majorBidi"/>
                <w:sz w:val="24"/>
                <w:szCs w:val="24"/>
              </w:rPr>
              <w:t xml:space="preserve">Aprimoramento redacional para </w:t>
            </w:r>
            <w:r>
              <w:rPr>
                <w:rFonts w:asciiTheme="majorHAnsi" w:hAnsiTheme="majorHAnsi" w:cstheme="majorBidi"/>
                <w:sz w:val="24"/>
                <w:szCs w:val="24"/>
              </w:rPr>
              <w:t>afirmar que tanto o membro da diretoria quanto o conselheiro deliberativo precisam formalizar a existência de qualquer potencial conflito de interesses.</w:t>
            </w:r>
            <w:r w:rsidRPr="217C2035" w:rsidDel="00486BF6">
              <w:rPr>
                <w:rFonts w:asciiTheme="majorHAnsi" w:hAnsiTheme="majorHAnsi" w:cstheme="majorBidi"/>
                <w:sz w:val="24"/>
                <w:szCs w:val="24"/>
              </w:rPr>
              <w:t xml:space="preserve"> </w:t>
            </w:r>
            <w:r w:rsidRPr="217C2035">
              <w:rPr>
                <w:rFonts w:asciiTheme="majorHAnsi" w:hAnsiTheme="majorHAnsi" w:cstheme="majorBidi"/>
                <w:sz w:val="24"/>
                <w:szCs w:val="24"/>
              </w:rPr>
              <w:t xml:space="preserve">s. </w:t>
            </w:r>
          </w:p>
        </w:tc>
        <w:tc>
          <w:tcPr>
            <w:tcW w:w="1250" w:type="pct"/>
          </w:tcPr>
          <w:p w14:paraId="69AC8B15" w14:textId="52391022" w:rsidR="009139A5" w:rsidRPr="002C1A2C" w:rsidRDefault="008B0A78" w:rsidP="009139A5">
            <w:pPr>
              <w:spacing w:line="360" w:lineRule="auto"/>
              <w:jc w:val="both"/>
              <w:rPr>
                <w:rFonts w:asciiTheme="majorHAnsi" w:hAnsiTheme="majorHAnsi" w:cstheme="majorHAnsi"/>
                <w:sz w:val="24"/>
                <w:szCs w:val="24"/>
              </w:rPr>
            </w:pPr>
            <w:r>
              <w:rPr>
                <w:rFonts w:asciiTheme="majorHAnsi" w:eastAsia="Calibri" w:hAnsiTheme="majorHAnsi" w:cstheme="majorHAnsi"/>
                <w:color w:val="000000" w:themeColor="text1"/>
                <w:sz w:val="24"/>
                <w:szCs w:val="24"/>
              </w:rPr>
              <w:t>Inciso IV do art. 4º do Decreto nº 10.411, de 2020</w:t>
            </w:r>
            <w:r w:rsidR="00D97584">
              <w:rPr>
                <w:rFonts w:asciiTheme="majorHAnsi" w:eastAsia="Calibri" w:hAnsiTheme="majorHAnsi" w:cstheme="majorHAnsi"/>
                <w:color w:val="000000" w:themeColor="text1"/>
                <w:sz w:val="24"/>
                <w:szCs w:val="24"/>
              </w:rPr>
              <w:t xml:space="preserve"> do Decreto nº 10.411, de 2020 </w:t>
            </w:r>
            <w:r w:rsidR="009139A5" w:rsidRPr="002C1A2C">
              <w:rPr>
                <w:rFonts w:asciiTheme="majorHAnsi" w:eastAsia="Calibri" w:hAnsiTheme="majorHAnsi" w:cstheme="majorHAnsi"/>
                <w:color w:val="000000" w:themeColor="text1"/>
                <w:sz w:val="24"/>
                <w:szCs w:val="24"/>
              </w:rPr>
              <w:t xml:space="preserve">- </w:t>
            </w:r>
            <w:r w:rsidR="009139A5" w:rsidRPr="002C1A2C">
              <w:rPr>
                <w:rFonts w:asciiTheme="majorHAnsi" w:eastAsia="Calibri" w:hAnsiTheme="majorHAnsi" w:cstheme="majorHAnsi"/>
                <w:sz w:val="24"/>
                <w:szCs w:val="24"/>
              </w:rPr>
              <w:t>Ajuste redacional para retirada de menção expressa à Resolução CMN nº 4.994, de 2022, configurando para mais perenidade ao dispositivo.</w:t>
            </w:r>
            <w:r w:rsidR="009139A5" w:rsidRPr="002C1A2C">
              <w:rPr>
                <w:rFonts w:asciiTheme="majorHAnsi" w:eastAsia="Times New Roman" w:hAnsiTheme="majorHAnsi" w:cstheme="majorHAnsi"/>
                <w:sz w:val="24"/>
                <w:szCs w:val="24"/>
              </w:rPr>
              <w:t xml:space="preserve"> </w:t>
            </w:r>
            <w:r w:rsidR="009139A5" w:rsidRPr="002C1A2C">
              <w:rPr>
                <w:rFonts w:asciiTheme="majorHAnsi" w:hAnsiTheme="majorHAnsi" w:cstheme="majorHAnsi"/>
                <w:sz w:val="24"/>
                <w:szCs w:val="24"/>
              </w:rPr>
              <w:t>Aprimoramento redacional, sem alteração de mérito, para atender à melhor técnica normativa.</w:t>
            </w:r>
          </w:p>
          <w:p w14:paraId="665DF9D2" w14:textId="77777777" w:rsidR="009139A5" w:rsidRPr="217C2035" w:rsidRDefault="009139A5" w:rsidP="009139A5">
            <w:pPr>
              <w:spacing w:line="360" w:lineRule="auto"/>
              <w:jc w:val="both"/>
              <w:rPr>
                <w:rFonts w:asciiTheme="majorHAnsi" w:hAnsiTheme="majorHAnsi" w:cstheme="majorBidi"/>
                <w:sz w:val="24"/>
                <w:szCs w:val="24"/>
              </w:rPr>
            </w:pPr>
          </w:p>
        </w:tc>
      </w:tr>
      <w:tr w:rsidR="009139A5" w:rsidRPr="002C1A2C" w14:paraId="1C77ACD4" w14:textId="6BEA3120" w:rsidTr="7DE461B5">
        <w:trPr>
          <w:trHeight w:val="300"/>
        </w:trPr>
        <w:tc>
          <w:tcPr>
            <w:tcW w:w="1250" w:type="pct"/>
          </w:tcPr>
          <w:p w14:paraId="4C830737" w14:textId="7D11BA2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§3º  A EFPC deve revisar periodicamente os critérios de seleção de prestadores de serviço de administração de carteiras de valores mobiliários e de gestão de fundo de investimento exclusivo.</w:t>
            </w:r>
          </w:p>
        </w:tc>
        <w:tc>
          <w:tcPr>
            <w:tcW w:w="1250" w:type="pct"/>
          </w:tcPr>
          <w:p w14:paraId="3AC918EA" w14:textId="7537554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§3º  A EFPC deve revisar periodicamente os critérios de seleção de prestadores de </w:t>
            </w:r>
            <w:r w:rsidRPr="002C1A2C">
              <w:rPr>
                <w:rFonts w:asciiTheme="majorHAnsi" w:hAnsiTheme="majorHAnsi" w:cstheme="majorHAnsi"/>
                <w:strike/>
                <w:color w:val="EE0000"/>
                <w:sz w:val="24"/>
                <w:szCs w:val="24"/>
              </w:rPr>
              <w:t>serviço</w:t>
            </w:r>
            <w:r w:rsidRPr="002C1A2C">
              <w:rPr>
                <w:rFonts w:asciiTheme="majorHAnsi" w:hAnsiTheme="majorHAnsi" w:cstheme="majorHAnsi"/>
                <w:sz w:val="24"/>
                <w:szCs w:val="24"/>
              </w:rPr>
              <w:t xml:space="preserve"> serviços </w:t>
            </w:r>
            <w:r w:rsidRPr="002C1A2C">
              <w:rPr>
                <w:rFonts w:asciiTheme="majorHAnsi" w:hAnsiTheme="majorHAnsi" w:cstheme="majorHAnsi"/>
                <w:strike/>
                <w:color w:val="EE0000"/>
                <w:sz w:val="24"/>
                <w:szCs w:val="24"/>
              </w:rPr>
              <w:t>de administração de carteiras de valores mobiliários e</w:t>
            </w:r>
            <w:r w:rsidRPr="002C1A2C">
              <w:rPr>
                <w:rFonts w:asciiTheme="majorHAnsi" w:hAnsiTheme="majorHAnsi" w:cstheme="majorHAnsi"/>
                <w:color w:val="EE0000"/>
                <w:sz w:val="24"/>
                <w:szCs w:val="24"/>
              </w:rPr>
              <w:t xml:space="preserve"> </w:t>
            </w:r>
            <w:r w:rsidRPr="002C1A2C">
              <w:rPr>
                <w:rFonts w:asciiTheme="majorHAnsi" w:hAnsiTheme="majorHAnsi" w:cstheme="majorHAnsi"/>
                <w:strike/>
                <w:color w:val="EE0000"/>
                <w:sz w:val="24"/>
                <w:szCs w:val="24"/>
              </w:rPr>
              <w:t>gestão</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de fundo de investimento exclusivo.</w:t>
            </w:r>
          </w:p>
        </w:tc>
        <w:tc>
          <w:tcPr>
            <w:tcW w:w="1250" w:type="pct"/>
          </w:tcPr>
          <w:p w14:paraId="3452395D" w14:textId="22E689D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Ajuste redacional para alinhar às nomenclaturas adotadas pela Resolução CMN nº 5.202, de 2025, e pela Resolução CVM nº 175, de 2022.</w:t>
            </w:r>
          </w:p>
          <w:p w14:paraId="4FCD9270" w14:textId="5358E6C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9FA0546" w14:textId="69375957"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D97584" w:rsidRPr="00D97584">
              <w:rPr>
                <w:rFonts w:asciiTheme="majorHAnsi" w:hAnsiTheme="majorHAnsi" w:cstheme="majorHAnsi"/>
                <w:sz w:val="24"/>
                <w:szCs w:val="24"/>
              </w:rPr>
              <w:t xml:space="preserve"> - Mero aprimoramento redacional, sem alteração de mérito para eliminação de possíveis ambiguidades.</w:t>
            </w:r>
          </w:p>
        </w:tc>
      </w:tr>
      <w:tr w:rsidR="009139A5" w:rsidRPr="002C1A2C" w14:paraId="77E2BF6D" w14:textId="67426EFA" w:rsidTr="7DE461B5">
        <w:trPr>
          <w:trHeight w:val="300"/>
        </w:trPr>
        <w:tc>
          <w:tcPr>
            <w:tcW w:w="1250" w:type="pct"/>
          </w:tcPr>
          <w:p w14:paraId="15659317" w14:textId="48D31F95"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II</w:t>
            </w:r>
          </w:p>
          <w:p w14:paraId="1DDD6659" w14:textId="666F6B1F"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Seleção de Fundo de Investimento</w:t>
            </w:r>
          </w:p>
        </w:tc>
        <w:tc>
          <w:tcPr>
            <w:tcW w:w="1250" w:type="pct"/>
          </w:tcPr>
          <w:p w14:paraId="370A76A2" w14:textId="5B6D75DA"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Subseção II</w:t>
            </w:r>
          </w:p>
          <w:p w14:paraId="69E7B9EF" w14:textId="114F1420"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Seleção de Fundo de Investimento</w:t>
            </w:r>
          </w:p>
        </w:tc>
        <w:tc>
          <w:tcPr>
            <w:tcW w:w="1250" w:type="pct"/>
          </w:tcPr>
          <w:p w14:paraId="79D4E85A" w14:textId="21C3C0A1"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6685E787"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7C3530B" w14:textId="70629DE5" w:rsidTr="7DE461B5">
        <w:trPr>
          <w:trHeight w:val="300"/>
        </w:trPr>
        <w:tc>
          <w:tcPr>
            <w:tcW w:w="1250" w:type="pct"/>
          </w:tcPr>
          <w:p w14:paraId="54563822" w14:textId="608506C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221.  Na seleção e contratação de fundo de investimento, observados aspectos de concorrência e transparência, a EFPC deve, no mínimo, analisar:</w:t>
            </w:r>
          </w:p>
        </w:tc>
        <w:tc>
          <w:tcPr>
            <w:tcW w:w="1250" w:type="pct"/>
          </w:tcPr>
          <w:p w14:paraId="362E0833" w14:textId="66CF3C2A"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221.  </w:t>
            </w:r>
            <w:r>
              <w:rPr>
                <w:rFonts w:asciiTheme="majorHAnsi" w:hAnsiTheme="majorHAnsi" w:cstheme="majorHAnsi"/>
                <w:sz w:val="24"/>
                <w:szCs w:val="24"/>
              </w:rPr>
              <w:t>(...)</w:t>
            </w:r>
          </w:p>
        </w:tc>
        <w:tc>
          <w:tcPr>
            <w:tcW w:w="1250" w:type="pct"/>
          </w:tcPr>
          <w:p w14:paraId="1EFD556F" w14:textId="52C89F9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0CB61C0D"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522971EB" w14:textId="257A329C" w:rsidTr="7DE461B5">
        <w:trPr>
          <w:trHeight w:val="300"/>
        </w:trPr>
        <w:tc>
          <w:tcPr>
            <w:tcW w:w="1250" w:type="pct"/>
          </w:tcPr>
          <w:p w14:paraId="4512C2FE" w14:textId="6A60D11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 - o regulamento e demais documentos disponibilizados pelo gestor do fundo de investimento, previamente às alocações, identificando os riscos inerentes às operações previstas;</w:t>
            </w:r>
          </w:p>
        </w:tc>
        <w:tc>
          <w:tcPr>
            <w:tcW w:w="1250" w:type="pct"/>
          </w:tcPr>
          <w:p w14:paraId="1B55D764" w14:textId="44B29761"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 - o regulamento e demais documentos disponibilizados pelos </w:t>
            </w:r>
            <w:r w:rsidRPr="002C1A2C">
              <w:rPr>
                <w:rFonts w:asciiTheme="majorHAnsi" w:hAnsiTheme="majorHAnsi" w:cstheme="majorHAnsi"/>
                <w:color w:val="0070C0"/>
                <w:sz w:val="24"/>
                <w:szCs w:val="24"/>
              </w:rPr>
              <w:t xml:space="preserve">prestadores de serviços </w:t>
            </w:r>
            <w:r w:rsidRPr="002C1A2C">
              <w:rPr>
                <w:rFonts w:asciiTheme="majorHAnsi" w:hAnsiTheme="majorHAnsi" w:cstheme="majorHAnsi"/>
                <w:strike/>
                <w:color w:val="EE0000"/>
                <w:sz w:val="24"/>
                <w:szCs w:val="24"/>
              </w:rPr>
              <w:t>gestor do fundo de investimento</w:t>
            </w:r>
            <w:r w:rsidRPr="002C1A2C">
              <w:rPr>
                <w:rFonts w:asciiTheme="majorHAnsi" w:hAnsiTheme="majorHAnsi" w:cstheme="majorHAnsi"/>
                <w:sz w:val="24"/>
                <w:szCs w:val="24"/>
              </w:rPr>
              <w:t>, previamente às alocações, identificando os riscos inerentes às operações previstas;</w:t>
            </w:r>
          </w:p>
        </w:tc>
        <w:tc>
          <w:tcPr>
            <w:tcW w:w="1250" w:type="pct"/>
          </w:tcPr>
          <w:p w14:paraId="4734DDB0" w14:textId="0224F235"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Ajuste redacional para alinhar às nomenclaturas adotadas pela Resolução CMN nº 5.202, de 2025, e pela Resolução CVM nº 175, de 2022.</w:t>
            </w:r>
          </w:p>
        </w:tc>
        <w:tc>
          <w:tcPr>
            <w:tcW w:w="1250" w:type="pct"/>
          </w:tcPr>
          <w:p w14:paraId="515BA68F" w14:textId="2D07CC14"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E829A8" w:rsidRPr="00E829A8">
              <w:rPr>
                <w:rFonts w:asciiTheme="majorHAnsi" w:hAnsiTheme="majorHAnsi" w:cstheme="majorHAnsi"/>
                <w:sz w:val="24"/>
                <w:szCs w:val="24"/>
              </w:rPr>
              <w:t xml:space="preserve"> - Mero aprimoramento redacional, sem alteração de mérito para eliminação de possíveis ambiguidades.</w:t>
            </w:r>
          </w:p>
        </w:tc>
      </w:tr>
      <w:tr w:rsidR="002F0988" w:rsidRPr="002C1A2C" w14:paraId="47C1DB8C" w14:textId="77777777" w:rsidTr="7DE461B5">
        <w:trPr>
          <w:trHeight w:val="300"/>
        </w:trPr>
        <w:tc>
          <w:tcPr>
            <w:tcW w:w="1250" w:type="pct"/>
          </w:tcPr>
          <w:p w14:paraId="3CA75F38"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7BFCC1EE" w14:textId="1266487F" w:rsidR="002F0988" w:rsidRPr="002C1A2C" w:rsidRDefault="002F098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2AA8B874"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25B910AF" w14:textId="77777777" w:rsidR="002F0988" w:rsidRPr="00E829A8" w:rsidRDefault="002F0988" w:rsidP="009139A5">
            <w:pPr>
              <w:spacing w:line="360" w:lineRule="auto"/>
              <w:jc w:val="both"/>
              <w:rPr>
                <w:rFonts w:asciiTheme="majorHAnsi" w:hAnsiTheme="majorHAnsi" w:cstheme="majorHAnsi"/>
                <w:sz w:val="24"/>
                <w:szCs w:val="24"/>
              </w:rPr>
            </w:pPr>
          </w:p>
        </w:tc>
      </w:tr>
      <w:tr w:rsidR="009139A5" w:rsidRPr="002C1A2C" w14:paraId="0A011096" w14:textId="1C061CB0" w:rsidTr="7DE461B5">
        <w:trPr>
          <w:trHeight w:val="300"/>
        </w:trPr>
        <w:tc>
          <w:tcPr>
            <w:tcW w:w="1250" w:type="pct"/>
          </w:tcPr>
          <w:p w14:paraId="767F9558" w14:textId="7294134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VII - as taxas de administração, gestão e performance efetivas dos fundos, principalmente daqueles que possam adquirir cotas de outros fundos de investimento.</w:t>
            </w:r>
          </w:p>
        </w:tc>
        <w:tc>
          <w:tcPr>
            <w:tcW w:w="1250" w:type="pct"/>
          </w:tcPr>
          <w:p w14:paraId="7264A078" w14:textId="4584CBDB"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VII - as taxas de administração, gestão, </w:t>
            </w:r>
            <w:r w:rsidRPr="002C1A2C">
              <w:rPr>
                <w:rFonts w:asciiTheme="majorHAnsi" w:hAnsiTheme="majorHAnsi" w:cstheme="majorHAnsi"/>
                <w:color w:val="0070C0"/>
                <w:sz w:val="24"/>
                <w:szCs w:val="24"/>
              </w:rPr>
              <w:t xml:space="preserve">distribuição </w:t>
            </w:r>
            <w:r w:rsidRPr="002C1A2C">
              <w:rPr>
                <w:rFonts w:asciiTheme="majorHAnsi" w:hAnsiTheme="majorHAnsi" w:cstheme="majorHAnsi"/>
                <w:sz w:val="24"/>
                <w:szCs w:val="24"/>
              </w:rPr>
              <w:t xml:space="preserve">e performance efetivas </w:t>
            </w:r>
            <w:r w:rsidRPr="002C1A2C">
              <w:rPr>
                <w:rFonts w:asciiTheme="majorHAnsi" w:hAnsiTheme="majorHAnsi" w:cstheme="majorHAnsi"/>
                <w:strike/>
                <w:color w:val="EE0000"/>
                <w:sz w:val="24"/>
                <w:szCs w:val="24"/>
              </w:rPr>
              <w:t>dos fundos</w:t>
            </w:r>
            <w:r w:rsidRPr="002C1A2C">
              <w:rPr>
                <w:rFonts w:asciiTheme="majorHAnsi" w:hAnsiTheme="majorHAnsi" w:cstheme="majorHAnsi"/>
                <w:sz w:val="24"/>
                <w:szCs w:val="24"/>
              </w:rPr>
              <w:t xml:space="preserve">, principalmente </w:t>
            </w:r>
            <w:r w:rsidRPr="002C1A2C">
              <w:rPr>
                <w:rFonts w:asciiTheme="majorHAnsi" w:hAnsiTheme="majorHAnsi" w:cstheme="majorHAnsi"/>
                <w:color w:val="0070C0"/>
                <w:sz w:val="24"/>
                <w:szCs w:val="24"/>
              </w:rPr>
              <w:t xml:space="preserve">quando </w:t>
            </w:r>
            <w:r w:rsidRPr="002C1A2C">
              <w:rPr>
                <w:rFonts w:asciiTheme="majorHAnsi" w:hAnsiTheme="majorHAnsi" w:cstheme="majorHAnsi"/>
                <w:strike/>
                <w:color w:val="EE0000"/>
                <w:sz w:val="24"/>
                <w:szCs w:val="24"/>
              </w:rPr>
              <w:t>daqueles que</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possam adquirir cotas de outros fundos de investimento.</w:t>
            </w:r>
            <w:r>
              <w:rPr>
                <w:rFonts w:asciiTheme="majorHAnsi" w:hAnsiTheme="majorHAnsi" w:cstheme="majorHAnsi"/>
                <w:sz w:val="24"/>
                <w:szCs w:val="24"/>
              </w:rPr>
              <w:t xml:space="preserve"> </w:t>
            </w:r>
          </w:p>
        </w:tc>
        <w:tc>
          <w:tcPr>
            <w:tcW w:w="1250" w:type="pct"/>
          </w:tcPr>
          <w:p w14:paraId="196D1D13" w14:textId="7F0ECDFC"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Aprimoramento redacional e inclusão da necessidade de analisar também as taxas de distribuição dos fundos, considerando seu potencial impacto sobre a rentabilidade final do fundo de investimentos.</w:t>
            </w:r>
          </w:p>
        </w:tc>
        <w:tc>
          <w:tcPr>
            <w:tcW w:w="1250" w:type="pct"/>
          </w:tcPr>
          <w:p w14:paraId="0A42FB30" w14:textId="162673A3" w:rsidR="009139A5" w:rsidRPr="002C1A2C" w:rsidRDefault="008B0A7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Inciso IV do art. 4º do Decreto nº 10.411, de 2020</w:t>
            </w:r>
            <w:r w:rsidR="00E829A8" w:rsidRPr="00E829A8">
              <w:rPr>
                <w:rFonts w:asciiTheme="majorHAnsi" w:hAnsiTheme="majorHAnsi" w:cstheme="majorHAnsi"/>
                <w:sz w:val="24"/>
                <w:szCs w:val="24"/>
              </w:rPr>
              <w:t xml:space="preserve"> - Mero aprimoramento redacional, sem alteração de mérito para eliminação de possíveis ambiguidades.</w:t>
            </w:r>
          </w:p>
        </w:tc>
      </w:tr>
      <w:tr w:rsidR="002F0988" w:rsidRPr="002C1A2C" w14:paraId="44899E24" w14:textId="77777777" w:rsidTr="7DE461B5">
        <w:trPr>
          <w:trHeight w:val="300"/>
        </w:trPr>
        <w:tc>
          <w:tcPr>
            <w:tcW w:w="1250" w:type="pct"/>
          </w:tcPr>
          <w:p w14:paraId="0B4B9C60"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6EBACAD1" w14:textId="128D7C15" w:rsidR="002F0988" w:rsidRPr="002C1A2C" w:rsidRDefault="002F0988" w:rsidP="009139A5">
            <w:pPr>
              <w:spacing w:line="360" w:lineRule="auto"/>
              <w:jc w:val="both"/>
              <w:rPr>
                <w:rFonts w:asciiTheme="majorHAnsi" w:hAnsiTheme="majorHAnsi" w:cstheme="majorHAnsi"/>
                <w:color w:val="0070C0"/>
                <w:sz w:val="24"/>
                <w:szCs w:val="24"/>
              </w:rPr>
            </w:pPr>
            <w:r>
              <w:rPr>
                <w:rFonts w:asciiTheme="majorHAnsi" w:hAnsiTheme="majorHAnsi" w:cstheme="majorHAnsi"/>
                <w:sz w:val="24"/>
                <w:szCs w:val="24"/>
              </w:rPr>
              <w:t>(...)</w:t>
            </w:r>
          </w:p>
        </w:tc>
        <w:tc>
          <w:tcPr>
            <w:tcW w:w="1250" w:type="pct"/>
          </w:tcPr>
          <w:p w14:paraId="0F0399C2"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182E5543" w14:textId="77777777" w:rsidR="002F0988" w:rsidRPr="002C1A2C" w:rsidRDefault="002F0988" w:rsidP="00FC2623">
            <w:pPr>
              <w:spacing w:after="160" w:line="360" w:lineRule="auto"/>
              <w:jc w:val="both"/>
              <w:rPr>
                <w:rFonts w:asciiTheme="majorHAnsi" w:eastAsia="Calibri" w:hAnsiTheme="majorHAnsi" w:cstheme="majorHAnsi"/>
                <w:sz w:val="24"/>
                <w:szCs w:val="24"/>
              </w:rPr>
            </w:pPr>
          </w:p>
        </w:tc>
      </w:tr>
      <w:tr w:rsidR="009139A5" w:rsidRPr="002C1A2C" w14:paraId="2981E4D6" w14:textId="6492C3CD" w:rsidTr="7DE461B5">
        <w:trPr>
          <w:trHeight w:val="300"/>
        </w:trPr>
        <w:tc>
          <w:tcPr>
            <w:tcW w:w="1250" w:type="pct"/>
          </w:tcPr>
          <w:p w14:paraId="12D08166" w14:textId="71C598A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073AF247" w14:textId="1A31282D"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color w:val="0070C0"/>
                <w:sz w:val="24"/>
                <w:szCs w:val="24"/>
              </w:rPr>
              <w:t>IX – a possibilidade de a classe de cotas investir em cotas de outras classes e se existe limitação quanto ao número máximo de níveis na cadeia de investimento.</w:t>
            </w:r>
          </w:p>
        </w:tc>
        <w:tc>
          <w:tcPr>
            <w:tcW w:w="1250" w:type="pct"/>
          </w:tcPr>
          <w:p w14:paraId="28AD3333" w14:textId="316BEA4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Inserção de dispositivo normativo para que a EFPC avalie a possibilidade da cota de classes que está adquirindo poder investir em outras classes de cotas. Trata-se de indução regulatória no sentido de que as EFPC passem a avaliar estes aspectos em suas contratações, considerando o potencial impacto de rentabilidade e dificuldades de controle de estruturas de fundos de investimento com muitos níveis de aplicação.</w:t>
            </w:r>
          </w:p>
          <w:p w14:paraId="1791ED3E" w14:textId="77777777" w:rsidR="009139A5" w:rsidRPr="002C1A2C" w:rsidRDefault="009139A5" w:rsidP="009139A5">
            <w:pPr>
              <w:spacing w:line="360" w:lineRule="auto"/>
              <w:jc w:val="both"/>
              <w:rPr>
                <w:rFonts w:asciiTheme="majorHAnsi" w:hAnsiTheme="majorHAnsi" w:cstheme="majorHAnsi"/>
                <w:sz w:val="24"/>
                <w:szCs w:val="24"/>
              </w:rPr>
            </w:pPr>
          </w:p>
          <w:p w14:paraId="54472276"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Segue a orientação da IOSCO, cujo relatório de Boas Práticas (2023) recomenda que reguladores avaliem “natureza, novidade e complexidade” na estruturação de produtos e desestimulem configurações excessivamente complexas </w:t>
            </w:r>
          </w:p>
          <w:p w14:paraId="4801F8E3"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IOSCO.</w:t>
            </w:r>
          </w:p>
          <w:p w14:paraId="0EB5E526" w14:textId="77777777" w:rsidR="009139A5" w:rsidRPr="002C1A2C" w:rsidRDefault="009139A5" w:rsidP="009139A5">
            <w:pPr>
              <w:spacing w:line="360" w:lineRule="auto"/>
              <w:jc w:val="both"/>
              <w:rPr>
                <w:rFonts w:asciiTheme="majorHAnsi" w:hAnsiTheme="majorHAnsi" w:cstheme="majorHAnsi"/>
                <w:sz w:val="24"/>
                <w:szCs w:val="24"/>
              </w:rPr>
            </w:pPr>
          </w:p>
          <w:p w14:paraId="73249D9F" w14:textId="77777777"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Preserva flexibilidade regulatória – não impõe proibição; apenas exige que a EFPC reconheça os custos, riscos e dificuldade de governança de cadeias extensas e, quando optar por elas, o faça de forma consciente e justificada.</w:t>
            </w:r>
          </w:p>
          <w:p w14:paraId="5EBFCD27" w14:textId="77777777" w:rsidR="009139A5" w:rsidRPr="002C1A2C" w:rsidRDefault="009139A5" w:rsidP="009139A5">
            <w:pPr>
              <w:spacing w:line="360" w:lineRule="auto"/>
              <w:jc w:val="both"/>
              <w:rPr>
                <w:rFonts w:asciiTheme="majorHAnsi" w:hAnsiTheme="majorHAnsi" w:cstheme="majorHAnsi"/>
                <w:sz w:val="24"/>
                <w:szCs w:val="24"/>
              </w:rPr>
            </w:pPr>
          </w:p>
          <w:p w14:paraId="7B6D41CA" w14:textId="7F2E3CB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Melhora transparência e governança sem ônus relevante: a análise já integra o processo de </w:t>
            </w:r>
            <w:proofErr w:type="spellStart"/>
            <w:r w:rsidRPr="002C1A2C">
              <w:rPr>
                <w:rFonts w:asciiTheme="majorHAnsi" w:hAnsiTheme="majorHAnsi" w:cstheme="majorHAnsi"/>
                <w:sz w:val="24"/>
                <w:szCs w:val="24"/>
              </w:rPr>
              <w:t>due-diligence</w:t>
            </w:r>
            <w:proofErr w:type="spellEnd"/>
            <w:r w:rsidRPr="002C1A2C">
              <w:rPr>
                <w:rFonts w:asciiTheme="majorHAnsi" w:hAnsiTheme="majorHAnsi" w:cstheme="majorHAnsi"/>
                <w:sz w:val="24"/>
                <w:szCs w:val="24"/>
              </w:rPr>
              <w:t xml:space="preserve"> previsto no art. 221, acrescentando apenas a verificação do “número de níveis”, informação facilmente obtida dos documentos do fundo.</w:t>
            </w:r>
          </w:p>
        </w:tc>
        <w:tc>
          <w:tcPr>
            <w:tcW w:w="1250" w:type="pct"/>
          </w:tcPr>
          <w:p w14:paraId="1E8166F7" w14:textId="77777777" w:rsidR="00FC2623" w:rsidRPr="002C1A2C" w:rsidRDefault="00FC2623" w:rsidP="00FC2623">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Alínea “a” do Inciso V do art. 4º do Decreto nº 10.411, de 2020.</w:t>
            </w:r>
          </w:p>
          <w:p w14:paraId="2B1BAD92"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C6DC695" w14:textId="4C27A0B0" w:rsidTr="7DE461B5">
        <w:trPr>
          <w:trHeight w:val="300"/>
        </w:trPr>
        <w:tc>
          <w:tcPr>
            <w:tcW w:w="1250" w:type="pct"/>
          </w:tcPr>
          <w:p w14:paraId="11E7CE16" w14:textId="3DF0A8F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Parágrafo único.  Adicionalmente ao disposto neste artigo, a EFPC deve observar o disposto nos incisos I, II e VII do art. 220 na seleção de fundo de investimento não exclusivo.</w:t>
            </w:r>
          </w:p>
        </w:tc>
        <w:tc>
          <w:tcPr>
            <w:tcW w:w="1250" w:type="pct"/>
          </w:tcPr>
          <w:p w14:paraId="1E0F6CEE" w14:textId="228D5F7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trike/>
                <w:color w:val="EE0000"/>
                <w:sz w:val="24"/>
                <w:szCs w:val="24"/>
              </w:rPr>
              <w:t xml:space="preserve"> </w:t>
            </w:r>
            <w:r w:rsidRPr="002C1A2C">
              <w:rPr>
                <w:rFonts w:asciiTheme="majorHAnsi" w:hAnsiTheme="majorHAnsi" w:cstheme="majorHAnsi"/>
                <w:color w:val="0070C0"/>
                <w:sz w:val="24"/>
                <w:szCs w:val="24"/>
              </w:rPr>
              <w:t>§</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 xml:space="preserve">1º  </w:t>
            </w:r>
            <w:r w:rsidRPr="002C1A2C">
              <w:rPr>
                <w:rFonts w:asciiTheme="majorHAnsi" w:hAnsiTheme="majorHAnsi" w:cstheme="majorHAnsi"/>
                <w:sz w:val="24"/>
                <w:szCs w:val="24"/>
              </w:rPr>
              <w:t>Adicionalmente ao disposto neste artigo, a EFPC deve observar o disposto nos incisos I, II e VII do art. 220 na seleção de fundo de investimento não exclusivo.</w:t>
            </w:r>
          </w:p>
        </w:tc>
        <w:tc>
          <w:tcPr>
            <w:tcW w:w="1250" w:type="pct"/>
          </w:tcPr>
          <w:p w14:paraId="50D2A76C" w14:textId="291148A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Parágrafo único renumerado em função da inclusão do parágrafo 2º, abaixo. </w:t>
            </w:r>
          </w:p>
        </w:tc>
        <w:tc>
          <w:tcPr>
            <w:tcW w:w="1250" w:type="pct"/>
          </w:tcPr>
          <w:p w14:paraId="3176FB25"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1599079B" w14:textId="6D8021DE" w:rsidTr="7DE461B5">
        <w:trPr>
          <w:trHeight w:val="300"/>
        </w:trPr>
        <w:tc>
          <w:tcPr>
            <w:tcW w:w="1250" w:type="pct"/>
          </w:tcPr>
          <w:p w14:paraId="3626B403" w14:textId="77777777"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75D566A" w14:textId="3AD276DE"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color w:val="0070C0"/>
                <w:sz w:val="24"/>
                <w:szCs w:val="24"/>
              </w:rPr>
              <w:t>§</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2º  Na análise prevista no inciso I, a EFPC deve verificar se é permitida a realização de operações vedadas pela Resolução do Conselho Monetário Nacional que trata sobre aplicação dos recursos dos planos administrados pelas entidades fechadas de previdência complementar.</w:t>
            </w:r>
          </w:p>
          <w:p w14:paraId="0BE44CD0" w14:textId="455BA673" w:rsidR="009139A5" w:rsidRPr="002C1A2C" w:rsidRDefault="009139A5" w:rsidP="009139A5">
            <w:pPr>
              <w:spacing w:line="360" w:lineRule="auto"/>
              <w:jc w:val="both"/>
              <w:rPr>
                <w:rFonts w:asciiTheme="majorHAnsi" w:hAnsiTheme="majorHAnsi" w:cstheme="majorHAnsi"/>
                <w:color w:val="0070C0"/>
                <w:sz w:val="24"/>
                <w:szCs w:val="24"/>
              </w:rPr>
            </w:pPr>
          </w:p>
        </w:tc>
        <w:tc>
          <w:tcPr>
            <w:tcW w:w="1250" w:type="pct"/>
          </w:tcPr>
          <w:p w14:paraId="50638959" w14:textId="2E2BB26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Proposta de inserir dispositivo normativo para reforçar a necessidade de avaliação da possibilidade do fundo que será adquirido realizar operações vedadas pela Resolução CMN nº 4.994, de 2022. </w:t>
            </w:r>
          </w:p>
        </w:tc>
        <w:tc>
          <w:tcPr>
            <w:tcW w:w="1250" w:type="pct"/>
          </w:tcPr>
          <w:p w14:paraId="74CA9632" w14:textId="77777777" w:rsidR="00FC2623" w:rsidRPr="002C1A2C" w:rsidRDefault="00FC2623" w:rsidP="00FC2623">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0D97BFB3"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71CF3DF3" w14:textId="2DB8F28C" w:rsidTr="7DE461B5">
        <w:trPr>
          <w:trHeight w:val="300"/>
        </w:trPr>
        <w:tc>
          <w:tcPr>
            <w:tcW w:w="1250" w:type="pct"/>
          </w:tcPr>
          <w:p w14:paraId="412CFEE2" w14:textId="2F685204"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III</w:t>
            </w:r>
          </w:p>
          <w:p w14:paraId="4C9FC01B" w14:textId="501F3A4B"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Seleção de Fundo de Investimento em Participações</w:t>
            </w:r>
          </w:p>
        </w:tc>
        <w:tc>
          <w:tcPr>
            <w:tcW w:w="1250" w:type="pct"/>
          </w:tcPr>
          <w:p w14:paraId="39432F4E" w14:textId="590C3D17"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III</w:t>
            </w:r>
          </w:p>
          <w:p w14:paraId="07D23616" w14:textId="45908022" w:rsidR="009139A5" w:rsidRPr="002C1A2C" w:rsidRDefault="009139A5" w:rsidP="009139A5">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Seleção de Fundo de Investimento em Participações</w:t>
            </w:r>
          </w:p>
        </w:tc>
        <w:tc>
          <w:tcPr>
            <w:tcW w:w="1250" w:type="pct"/>
          </w:tcPr>
          <w:p w14:paraId="2671AB8E" w14:textId="53907DF4"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1AC1B126"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3995A881" w14:textId="386FA97C" w:rsidTr="7DE461B5">
        <w:trPr>
          <w:trHeight w:val="300"/>
        </w:trPr>
        <w:tc>
          <w:tcPr>
            <w:tcW w:w="1250" w:type="pct"/>
          </w:tcPr>
          <w:p w14:paraId="4C71C31B" w14:textId="04D9B3F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222.  Na seleção de fundo de investimento em participações (FIP), a EFPC deve, adicionalmente ao disposto no art. 221, analisar:</w:t>
            </w:r>
          </w:p>
        </w:tc>
        <w:tc>
          <w:tcPr>
            <w:tcW w:w="1250" w:type="pct"/>
          </w:tcPr>
          <w:p w14:paraId="7734A25B" w14:textId="2495249D"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222.  </w:t>
            </w:r>
            <w:r>
              <w:rPr>
                <w:rFonts w:asciiTheme="majorHAnsi" w:hAnsiTheme="majorHAnsi" w:cstheme="majorHAnsi"/>
                <w:sz w:val="24"/>
                <w:szCs w:val="24"/>
              </w:rPr>
              <w:t>(...)</w:t>
            </w:r>
          </w:p>
        </w:tc>
        <w:tc>
          <w:tcPr>
            <w:tcW w:w="1250" w:type="pct"/>
          </w:tcPr>
          <w:p w14:paraId="39457B3D" w14:textId="0A021839"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3BAD7988" w14:textId="77777777" w:rsidR="009139A5" w:rsidRPr="002C1A2C" w:rsidRDefault="009139A5" w:rsidP="009139A5">
            <w:pPr>
              <w:spacing w:line="360" w:lineRule="auto"/>
              <w:jc w:val="both"/>
              <w:rPr>
                <w:rFonts w:asciiTheme="majorHAnsi" w:hAnsiTheme="majorHAnsi" w:cstheme="majorHAnsi"/>
                <w:sz w:val="24"/>
                <w:szCs w:val="24"/>
              </w:rPr>
            </w:pPr>
          </w:p>
        </w:tc>
      </w:tr>
      <w:tr w:rsidR="002F43AE" w:rsidRPr="002C1A2C" w14:paraId="68FA67B9" w14:textId="64340424" w:rsidTr="7DE461B5">
        <w:trPr>
          <w:trHeight w:val="300"/>
        </w:trPr>
        <w:tc>
          <w:tcPr>
            <w:tcW w:w="1250" w:type="pct"/>
          </w:tcPr>
          <w:p w14:paraId="5186F69D" w14:textId="2C0382A8"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VII - os riscos envolvidos na participação da EFPC em comitê de investimento do fundo de investimento em participações;</w:t>
            </w:r>
          </w:p>
        </w:tc>
        <w:tc>
          <w:tcPr>
            <w:tcW w:w="1250" w:type="pct"/>
          </w:tcPr>
          <w:p w14:paraId="3573EF35" w14:textId="4693C7D9" w:rsidR="002F43AE" w:rsidRPr="002C1A2C" w:rsidRDefault="002F43AE" w:rsidP="002F43AE">
            <w:pPr>
              <w:spacing w:line="360" w:lineRule="auto"/>
              <w:jc w:val="both"/>
              <w:rPr>
                <w:rFonts w:asciiTheme="majorHAnsi" w:hAnsiTheme="majorHAnsi" w:cstheme="majorHAnsi"/>
                <w:strike/>
                <w:sz w:val="24"/>
                <w:szCs w:val="24"/>
              </w:rPr>
            </w:pPr>
            <w:r>
              <w:rPr>
                <w:rFonts w:asciiTheme="majorHAnsi" w:hAnsiTheme="majorHAnsi" w:cstheme="majorHAnsi"/>
                <w:strike/>
                <w:color w:val="EE0000"/>
                <w:sz w:val="24"/>
                <w:szCs w:val="24"/>
              </w:rPr>
              <w:t xml:space="preserve"> </w:t>
            </w:r>
            <w:r w:rsidRPr="00F43C57">
              <w:rPr>
                <w:rFonts w:asciiTheme="majorHAnsi" w:hAnsiTheme="majorHAnsi" w:cstheme="majorHAnsi"/>
                <w:color w:val="EE0000"/>
                <w:sz w:val="24"/>
                <w:szCs w:val="24"/>
              </w:rPr>
              <w:t>Revogado</w:t>
            </w:r>
          </w:p>
        </w:tc>
        <w:tc>
          <w:tcPr>
            <w:tcW w:w="1250" w:type="pct"/>
          </w:tcPr>
          <w:p w14:paraId="2CC46430" w14:textId="272F7433"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Revogar o inciso VII porque segundo entendimento do Voto do Conselheiro do CMN na aprovação da Resolução CMN nº 5.202, de 2025, a participação da EFPC em comitê de investimentos em FIP </w:t>
            </w:r>
            <w:r w:rsidRPr="002C1A2C">
              <w:rPr>
                <w:rFonts w:asciiTheme="majorHAnsi" w:hAnsiTheme="majorHAnsi" w:cstheme="majorHAnsi"/>
                <w:sz w:val="24"/>
                <w:szCs w:val="24"/>
              </w:rPr>
              <w:lastRenderedPageBreak/>
              <w:t>está vedada, por conseguinte lógico:</w:t>
            </w:r>
          </w:p>
          <w:p w14:paraId="592B4DAE" w14:textId="7777777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 Resolução CMN nº 5.202, de 2025, reforçou o conceito de FIP entidade de investimento contido na Resolução CMN nº 4.994, de 2022. Pois bem, a Resolução CMN nº 5.111, de 2023, regula que um FIP não será classificado como entidade de investimento se possuir cotista majoritários participem de comitê, veja:</w:t>
            </w:r>
          </w:p>
          <w:p w14:paraId="5A466D22" w14:textId="7777777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Resolução CMN nº 5.111, de 2023:</w:t>
            </w:r>
          </w:p>
          <w:p w14:paraId="2B05B929" w14:textId="7777777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2º ......</w:t>
            </w:r>
          </w:p>
          <w:p w14:paraId="713DB4A4" w14:textId="602D56A3"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w:t>
            </w:r>
          </w:p>
          <w:p w14:paraId="3EE4342D" w14:textId="7777777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2º  Não são classificados como entidades de investimento, em caráter exemplificativo, os fundos de investimento no país que:</w:t>
            </w:r>
          </w:p>
          <w:p w14:paraId="53B27717" w14:textId="7777777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 - possuam comitê de investimento ou outro órgão de governança deliberativo no qual cotistas majoritários pessoas físicas ou as pessoas por eles </w:t>
            </w:r>
            <w:r w:rsidRPr="002C1A2C">
              <w:rPr>
                <w:rFonts w:asciiTheme="majorHAnsi" w:hAnsiTheme="majorHAnsi" w:cstheme="majorHAnsi"/>
                <w:sz w:val="24"/>
                <w:szCs w:val="24"/>
              </w:rPr>
              <w:lastRenderedPageBreak/>
              <w:t>indicadas tomem decisões e enviem ordens ao gestor quanto à composição da carteira do fundo;</w:t>
            </w:r>
          </w:p>
          <w:p w14:paraId="36C53CB2" w14:textId="52629547"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w:t>
            </w:r>
          </w:p>
          <w:p w14:paraId="1B7F43F1" w14:textId="77777777" w:rsidR="002F43AE" w:rsidRPr="002C1A2C" w:rsidRDefault="002F43AE" w:rsidP="002F43AE">
            <w:pPr>
              <w:spacing w:line="360" w:lineRule="auto"/>
              <w:jc w:val="both"/>
              <w:rPr>
                <w:rFonts w:asciiTheme="majorHAnsi" w:hAnsiTheme="majorHAnsi" w:cstheme="majorHAnsi"/>
                <w:sz w:val="24"/>
                <w:szCs w:val="24"/>
              </w:rPr>
            </w:pPr>
          </w:p>
          <w:p w14:paraId="3BACA31D" w14:textId="71B3BEC0" w:rsidR="002F43AE" w:rsidRPr="002C1A2C" w:rsidRDefault="002F43AE" w:rsidP="002F43AE">
            <w:pPr>
              <w:spacing w:line="360" w:lineRule="auto"/>
              <w:jc w:val="both"/>
              <w:rPr>
                <w:rFonts w:asciiTheme="majorHAnsi" w:hAnsiTheme="majorHAnsi" w:cstheme="majorHAnsi"/>
                <w:sz w:val="24"/>
                <w:szCs w:val="24"/>
              </w:rPr>
            </w:pPr>
          </w:p>
        </w:tc>
        <w:tc>
          <w:tcPr>
            <w:tcW w:w="1250" w:type="pct"/>
          </w:tcPr>
          <w:p w14:paraId="0BC7F105" w14:textId="7C536AE1" w:rsidR="002F43AE" w:rsidRPr="002C1A2C" w:rsidRDefault="002F43AE" w:rsidP="002F43AE">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lastRenderedPageBreak/>
              <w:t xml:space="preserve">Inciso II do art. 4º - Revogação de dispositivo e inserção de parágrafo decorrente de entendimento normativo observado na Resolução CMN nº 5.111, de 2023, combinado com o disposto na Res. </w:t>
            </w:r>
            <w:r w:rsidRPr="002C1A2C">
              <w:rPr>
                <w:rFonts w:asciiTheme="majorHAnsi" w:eastAsia="Times New Roman" w:hAnsiTheme="majorHAnsi" w:cstheme="majorHAnsi"/>
                <w:sz w:val="24"/>
                <w:szCs w:val="24"/>
              </w:rPr>
              <w:lastRenderedPageBreak/>
              <w:t>CMN nº 4.994, de 2022, alterada pela Res. CMN nº 5.202, de 2025.</w:t>
            </w:r>
          </w:p>
        </w:tc>
      </w:tr>
      <w:tr w:rsidR="002F0988" w:rsidRPr="002C1A2C" w14:paraId="47A68CE7" w14:textId="77777777" w:rsidTr="7DE461B5">
        <w:trPr>
          <w:trHeight w:val="300"/>
        </w:trPr>
        <w:tc>
          <w:tcPr>
            <w:tcW w:w="1250" w:type="pct"/>
          </w:tcPr>
          <w:p w14:paraId="6CE42BC6"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08703123" w14:textId="32F538F6" w:rsidR="002F0988" w:rsidRPr="002C1A2C" w:rsidRDefault="002F0988" w:rsidP="009139A5">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5319B5E6" w14:textId="77777777" w:rsidR="002F0988" w:rsidRPr="002C1A2C" w:rsidRDefault="002F0988" w:rsidP="009139A5">
            <w:pPr>
              <w:spacing w:line="360" w:lineRule="auto"/>
              <w:jc w:val="both"/>
              <w:rPr>
                <w:rFonts w:asciiTheme="majorHAnsi" w:hAnsiTheme="majorHAnsi" w:cstheme="majorHAnsi"/>
                <w:sz w:val="24"/>
                <w:szCs w:val="24"/>
              </w:rPr>
            </w:pPr>
          </w:p>
        </w:tc>
        <w:tc>
          <w:tcPr>
            <w:tcW w:w="1250" w:type="pct"/>
          </w:tcPr>
          <w:p w14:paraId="1C641C83" w14:textId="77777777" w:rsidR="002F0988" w:rsidRPr="002C1A2C" w:rsidRDefault="002F0988" w:rsidP="00C21CDE">
            <w:pPr>
              <w:spacing w:after="160" w:line="360" w:lineRule="auto"/>
              <w:jc w:val="both"/>
              <w:rPr>
                <w:rFonts w:asciiTheme="majorHAnsi" w:eastAsia="Calibri" w:hAnsiTheme="majorHAnsi" w:cstheme="majorHAnsi"/>
                <w:sz w:val="24"/>
                <w:szCs w:val="24"/>
              </w:rPr>
            </w:pPr>
          </w:p>
        </w:tc>
      </w:tr>
      <w:tr w:rsidR="009139A5" w:rsidRPr="002C1A2C" w14:paraId="50A87486" w14:textId="306428EB" w:rsidTr="7DE461B5">
        <w:trPr>
          <w:trHeight w:val="300"/>
        </w:trPr>
        <w:tc>
          <w:tcPr>
            <w:tcW w:w="1250" w:type="pct"/>
          </w:tcPr>
          <w:p w14:paraId="603C78DA" w14:textId="52B1A952"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§1º  O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1250" w:type="pct"/>
          </w:tcPr>
          <w:p w14:paraId="6FF4FD13" w14:textId="5B672A0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§1º  O </w:t>
            </w:r>
            <w:r w:rsidRPr="00930E7B">
              <w:rPr>
                <w:rFonts w:asciiTheme="majorHAnsi" w:hAnsiTheme="majorHAnsi" w:cstheme="majorHAnsi"/>
                <w:sz w:val="24"/>
                <w:szCs w:val="24"/>
              </w:rPr>
              <w:t xml:space="preserve">fundo de investimento em participações </w:t>
            </w:r>
            <w:r w:rsidRPr="002C1A2C">
              <w:rPr>
                <w:rFonts w:asciiTheme="majorHAnsi" w:hAnsiTheme="majorHAnsi" w:cstheme="majorHAnsi"/>
                <w:sz w:val="24"/>
                <w:szCs w:val="24"/>
              </w:rPr>
              <w:t xml:space="preserve">deve prever em seu regulamento a determinação de que o gestor do fundo de investimento, ou gestoras ligadas ao seu respectivo grupo econômico, mantenha, no mínimo, 3% (três por cento) do capital subscrito da </w:t>
            </w:r>
            <w:r w:rsidRPr="002C1A2C">
              <w:rPr>
                <w:rFonts w:asciiTheme="majorHAnsi" w:hAnsiTheme="majorHAnsi" w:cstheme="majorHAnsi"/>
                <w:color w:val="0070C0"/>
                <w:sz w:val="24"/>
                <w:szCs w:val="24"/>
              </w:rPr>
              <w:t xml:space="preserve">classe ou da subclasse </w:t>
            </w:r>
            <w:r w:rsidRPr="002C1A2C">
              <w:rPr>
                <w:rFonts w:asciiTheme="majorHAnsi" w:hAnsiTheme="majorHAnsi" w:cstheme="majorHAnsi"/>
                <w:sz w:val="24"/>
                <w:szCs w:val="24"/>
              </w:rPr>
              <w:t xml:space="preserve">do fundo sob sua gestão, considerando as subscrições efetuadas por todos os cotistas </w:t>
            </w:r>
            <w:r w:rsidRPr="00354A18">
              <w:rPr>
                <w:rFonts w:asciiTheme="majorHAnsi" w:hAnsiTheme="majorHAnsi" w:cstheme="majorHAnsi"/>
                <w:sz w:val="24"/>
                <w:szCs w:val="24"/>
              </w:rPr>
              <w:t>do fundo</w:t>
            </w:r>
            <w:r w:rsidR="00354A18" w:rsidRPr="00354A18">
              <w:rPr>
                <w:rFonts w:asciiTheme="majorHAnsi" w:hAnsiTheme="majorHAnsi" w:cstheme="majorHAnsi"/>
                <w:sz w:val="24"/>
                <w:szCs w:val="24"/>
              </w:rPr>
              <w:t>.</w:t>
            </w:r>
            <w:r w:rsidRPr="00354A18">
              <w:rPr>
                <w:rFonts w:asciiTheme="majorHAnsi" w:hAnsiTheme="majorHAnsi" w:cstheme="majorHAnsi"/>
                <w:strike/>
                <w:color w:val="EE0000"/>
                <w:sz w:val="24"/>
                <w:szCs w:val="24"/>
              </w:rPr>
              <w:t xml:space="preserve"> </w:t>
            </w:r>
            <w:r w:rsidRPr="002C1A2C">
              <w:rPr>
                <w:rFonts w:asciiTheme="majorHAnsi" w:hAnsiTheme="majorHAnsi" w:cstheme="majorHAnsi"/>
                <w:strike/>
                <w:color w:val="EE0000"/>
                <w:sz w:val="24"/>
                <w:szCs w:val="24"/>
              </w:rPr>
              <w:t>de investimento em participaçõe</w:t>
            </w:r>
            <w:r w:rsidR="00354A18">
              <w:rPr>
                <w:rFonts w:asciiTheme="majorHAnsi" w:hAnsiTheme="majorHAnsi" w:cstheme="majorHAnsi"/>
                <w:strike/>
                <w:color w:val="EE0000"/>
                <w:sz w:val="24"/>
                <w:szCs w:val="24"/>
              </w:rPr>
              <w:t>s.</w:t>
            </w:r>
          </w:p>
        </w:tc>
        <w:tc>
          <w:tcPr>
            <w:tcW w:w="1250" w:type="pct"/>
          </w:tcPr>
          <w:p w14:paraId="1BB0D89C" w14:textId="3AAB5D2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Aprimoramento redacional com utilização da sigla e atualização da disposição normativa, tendo em vista a alteração de redação promovida pela Resolução CMN nº 5.202, de 2025, no inciso I do §2º do Art. 23 da Resolução CMN nº 4.994, de 2022.</w:t>
            </w:r>
          </w:p>
          <w:p w14:paraId="249DB153" w14:textId="5C48B055"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2444BC15" w14:textId="77777777" w:rsidR="00C21CDE" w:rsidRPr="002C1A2C" w:rsidRDefault="00C21CDE" w:rsidP="00C21CDE">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442677E3"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0DA8814B" w14:textId="19226400" w:rsidTr="7DE461B5">
        <w:trPr>
          <w:trHeight w:val="300"/>
        </w:trPr>
        <w:tc>
          <w:tcPr>
            <w:tcW w:w="1250" w:type="pct"/>
          </w:tcPr>
          <w:p w14:paraId="7C69E5C5" w14:textId="04B97EE4"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§2º  Para fins de composição do percentual do capital subscrito a que se refere o §1º, podem ser </w:t>
            </w:r>
            <w:r w:rsidRPr="002C1A2C">
              <w:rPr>
                <w:rFonts w:asciiTheme="majorHAnsi" w:hAnsiTheme="majorHAnsi" w:cstheme="majorHAnsi"/>
                <w:sz w:val="24"/>
                <w:szCs w:val="24"/>
              </w:rPr>
              <w:lastRenderedPageBreak/>
              <w:t>considerados os aportes efetuados por:</w:t>
            </w:r>
          </w:p>
        </w:tc>
        <w:tc>
          <w:tcPr>
            <w:tcW w:w="1250" w:type="pct"/>
          </w:tcPr>
          <w:p w14:paraId="698B1B6F" w14:textId="33867388"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§2º  </w:t>
            </w:r>
            <w:r>
              <w:rPr>
                <w:rFonts w:asciiTheme="majorHAnsi" w:hAnsiTheme="majorHAnsi" w:cstheme="majorHAnsi"/>
                <w:sz w:val="24"/>
                <w:szCs w:val="24"/>
              </w:rPr>
              <w:t>(...)</w:t>
            </w:r>
          </w:p>
        </w:tc>
        <w:tc>
          <w:tcPr>
            <w:tcW w:w="1250" w:type="pct"/>
          </w:tcPr>
          <w:p w14:paraId="18A85A9A" w14:textId="2C84E4BA" w:rsidR="009139A5" w:rsidRPr="002C1A2C" w:rsidRDefault="009139A5" w:rsidP="009139A5">
            <w:pPr>
              <w:spacing w:line="360" w:lineRule="auto"/>
              <w:jc w:val="both"/>
              <w:rPr>
                <w:rFonts w:asciiTheme="majorHAnsi" w:hAnsiTheme="majorHAnsi" w:cstheme="majorHAnsi"/>
                <w:sz w:val="24"/>
                <w:szCs w:val="24"/>
              </w:rPr>
            </w:pPr>
          </w:p>
        </w:tc>
        <w:tc>
          <w:tcPr>
            <w:tcW w:w="1250" w:type="pct"/>
          </w:tcPr>
          <w:p w14:paraId="373A708F" w14:textId="77777777" w:rsidR="009139A5" w:rsidRPr="002C1A2C" w:rsidRDefault="009139A5" w:rsidP="009139A5">
            <w:pPr>
              <w:spacing w:line="360" w:lineRule="auto"/>
              <w:jc w:val="both"/>
              <w:rPr>
                <w:rFonts w:asciiTheme="majorHAnsi" w:hAnsiTheme="majorHAnsi" w:cstheme="majorHAnsi"/>
                <w:sz w:val="24"/>
                <w:szCs w:val="24"/>
              </w:rPr>
            </w:pPr>
          </w:p>
        </w:tc>
      </w:tr>
      <w:tr w:rsidR="009139A5" w:rsidRPr="002C1A2C" w14:paraId="048D7404" w14:textId="780DDBE9" w:rsidTr="7DE461B5">
        <w:trPr>
          <w:trHeight w:val="300"/>
        </w:trPr>
        <w:tc>
          <w:tcPr>
            <w:tcW w:w="1250" w:type="pct"/>
          </w:tcPr>
          <w:p w14:paraId="5BE093DE" w14:textId="1ABCEA8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II - fundo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1250" w:type="pct"/>
          </w:tcPr>
          <w:p w14:paraId="4B32399D" w14:textId="537DD2B6"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 – </w:t>
            </w:r>
            <w:r w:rsidRPr="002C1A2C">
              <w:rPr>
                <w:rFonts w:asciiTheme="majorHAnsi" w:hAnsiTheme="majorHAnsi" w:cstheme="majorHAnsi"/>
                <w:color w:val="0070C0"/>
                <w:sz w:val="24"/>
                <w:szCs w:val="24"/>
              </w:rPr>
              <w:t xml:space="preserve">classe de cota de </w:t>
            </w:r>
            <w:r w:rsidRPr="002C1A2C">
              <w:rPr>
                <w:rFonts w:asciiTheme="majorHAnsi" w:hAnsiTheme="majorHAnsi" w:cstheme="majorHAnsi"/>
                <w:sz w:val="24"/>
                <w:szCs w:val="24"/>
              </w:rPr>
              <w:t xml:space="preserve">fundo de investimento constituído no Brasil que seja restrita ao gestor referido no inciso I ou, desde que seja pessoa natural domiciliada no Brasil, a sócio, diretor ou membros da equipe-chave, responsáveis pela gestão do </w:t>
            </w:r>
            <w:r w:rsidRPr="00F43C57">
              <w:rPr>
                <w:rFonts w:asciiTheme="majorHAnsi" w:hAnsiTheme="majorHAnsi" w:cstheme="majorHAnsi"/>
                <w:sz w:val="24"/>
                <w:szCs w:val="24"/>
              </w:rPr>
              <w:t>fundo de investimento em participações</w:t>
            </w:r>
            <w:r w:rsidRPr="002C1A2C">
              <w:rPr>
                <w:rFonts w:asciiTheme="majorHAnsi" w:hAnsiTheme="majorHAnsi" w:cstheme="majorHAnsi"/>
                <w:sz w:val="24"/>
                <w:szCs w:val="24"/>
              </w:rPr>
              <w:t>, vinculados ao referido gestor da carteira do fundo de investimento em participações; ou</w:t>
            </w:r>
          </w:p>
        </w:tc>
        <w:tc>
          <w:tcPr>
            <w:tcW w:w="1250" w:type="pct"/>
          </w:tcPr>
          <w:p w14:paraId="60D91F2A" w14:textId="54A7DA70" w:rsidR="009139A5" w:rsidRPr="002C1A2C" w:rsidRDefault="009139A5" w:rsidP="009139A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Aprimoramento redacional com utilização da sigla e adaptação do texto, considerando que a característica de exclusividade recai sobre a cota de classe e não sobre o fundo, a partir das alterações da Resolução CVM nº 175, de 2022. Assim, a alteração proposta busca manter inalterada a essência da regra anterior.</w:t>
            </w:r>
          </w:p>
        </w:tc>
        <w:tc>
          <w:tcPr>
            <w:tcW w:w="1250" w:type="pct"/>
          </w:tcPr>
          <w:p w14:paraId="2145A1C7" w14:textId="77777777" w:rsidR="00C21CDE" w:rsidRPr="002C1A2C" w:rsidRDefault="00C21CDE" w:rsidP="00C21CDE">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 xml:space="preserve">Alínea “a” do </w:t>
            </w:r>
            <w:r w:rsidRPr="002C1A2C">
              <w:rPr>
                <w:rFonts w:asciiTheme="majorHAnsi" w:eastAsia="Times New Roman" w:hAnsiTheme="majorHAnsi" w:cstheme="majorHAnsi"/>
                <w:sz w:val="24"/>
                <w:szCs w:val="24"/>
              </w:rPr>
              <w:t xml:space="preserve">Inciso </w:t>
            </w:r>
            <w:r w:rsidRPr="002C1A2C">
              <w:rPr>
                <w:rFonts w:asciiTheme="majorHAnsi" w:eastAsia="Calibri" w:hAnsiTheme="majorHAnsi" w:cstheme="majorHAnsi"/>
                <w:sz w:val="24"/>
                <w:szCs w:val="24"/>
              </w:rPr>
              <w:t>V</w:t>
            </w:r>
            <w:r w:rsidRPr="002C1A2C">
              <w:rPr>
                <w:rFonts w:asciiTheme="majorHAnsi" w:eastAsia="Times New Roman" w:hAnsiTheme="majorHAnsi" w:cstheme="majorHAnsi"/>
                <w:sz w:val="24"/>
                <w:szCs w:val="24"/>
              </w:rPr>
              <w:t xml:space="preserve"> do art. </w:t>
            </w:r>
            <w:r w:rsidRPr="002C1A2C">
              <w:rPr>
                <w:rFonts w:asciiTheme="majorHAnsi" w:eastAsia="Calibri" w:hAnsiTheme="majorHAnsi" w:cstheme="majorHAnsi"/>
                <w:sz w:val="24"/>
                <w:szCs w:val="24"/>
              </w:rPr>
              <w:t>4º do Decreto nº 10.411, de 2020.</w:t>
            </w:r>
          </w:p>
          <w:p w14:paraId="446DD991" w14:textId="54822EAE" w:rsidR="009139A5" w:rsidRPr="002C1A2C" w:rsidRDefault="009139A5" w:rsidP="009139A5">
            <w:pPr>
              <w:spacing w:line="360" w:lineRule="auto"/>
              <w:jc w:val="both"/>
              <w:rPr>
                <w:rFonts w:asciiTheme="majorHAnsi" w:hAnsiTheme="majorHAnsi" w:cstheme="majorHAnsi"/>
                <w:sz w:val="24"/>
                <w:szCs w:val="24"/>
              </w:rPr>
            </w:pPr>
          </w:p>
        </w:tc>
      </w:tr>
      <w:tr w:rsidR="00AC3175" w:rsidRPr="002C1A2C" w14:paraId="0665724E" w14:textId="63636144" w:rsidTr="7DE461B5">
        <w:trPr>
          <w:trHeight w:val="300"/>
        </w:trPr>
        <w:tc>
          <w:tcPr>
            <w:tcW w:w="1250" w:type="pct"/>
          </w:tcPr>
          <w:p w14:paraId="08D30B44" w14:textId="77777777" w:rsidR="00AC3175" w:rsidRPr="002C1A2C" w:rsidRDefault="00AC3175" w:rsidP="00AC3175">
            <w:pPr>
              <w:spacing w:line="360" w:lineRule="auto"/>
              <w:jc w:val="both"/>
              <w:rPr>
                <w:rFonts w:asciiTheme="majorHAnsi" w:hAnsiTheme="majorHAnsi" w:cstheme="majorHAnsi"/>
                <w:sz w:val="24"/>
                <w:szCs w:val="24"/>
              </w:rPr>
            </w:pPr>
          </w:p>
        </w:tc>
        <w:tc>
          <w:tcPr>
            <w:tcW w:w="1250" w:type="pct"/>
          </w:tcPr>
          <w:p w14:paraId="2CC6B705" w14:textId="41BFD1F3" w:rsidR="00AC3175" w:rsidRPr="002C1A2C" w:rsidRDefault="00AC3175" w:rsidP="00AC317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5º  É vedada a participação de representante da EFPC em comitê de investimentos de FIP.</w:t>
            </w:r>
          </w:p>
          <w:p w14:paraId="2363DD7D" w14:textId="77777777" w:rsidR="00AC3175" w:rsidRPr="002C1A2C" w:rsidRDefault="00AC3175" w:rsidP="00AC3175">
            <w:pPr>
              <w:spacing w:line="360" w:lineRule="auto"/>
              <w:jc w:val="both"/>
              <w:rPr>
                <w:rFonts w:asciiTheme="majorHAnsi" w:hAnsiTheme="majorHAnsi" w:cstheme="majorHAnsi"/>
                <w:color w:val="0070C0"/>
                <w:sz w:val="24"/>
                <w:szCs w:val="24"/>
              </w:rPr>
            </w:pPr>
          </w:p>
        </w:tc>
        <w:tc>
          <w:tcPr>
            <w:tcW w:w="1250" w:type="pct"/>
          </w:tcPr>
          <w:p w14:paraId="14C83855" w14:textId="77777777" w:rsidR="00AC3175" w:rsidRPr="002C1A2C" w:rsidRDefault="00AC3175" w:rsidP="00AC317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 justificativa para alteração pode ser encontrada no inciso VII do Art. 222.</w:t>
            </w:r>
          </w:p>
          <w:p w14:paraId="4934B736" w14:textId="77777777" w:rsidR="00AC3175" w:rsidRPr="002C1A2C" w:rsidRDefault="00AC3175" w:rsidP="00AC3175">
            <w:pPr>
              <w:spacing w:line="360" w:lineRule="auto"/>
              <w:jc w:val="both"/>
              <w:rPr>
                <w:rFonts w:asciiTheme="majorHAnsi" w:hAnsiTheme="majorHAnsi" w:cstheme="majorHAnsi"/>
                <w:sz w:val="24"/>
                <w:szCs w:val="24"/>
              </w:rPr>
            </w:pPr>
          </w:p>
        </w:tc>
        <w:tc>
          <w:tcPr>
            <w:tcW w:w="1250" w:type="pct"/>
          </w:tcPr>
          <w:p w14:paraId="003F57CB" w14:textId="3E6B07D7" w:rsidR="00AC3175" w:rsidRPr="002C1A2C" w:rsidRDefault="00AC3175" w:rsidP="00AC317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t>Inciso II do art. 4º</w:t>
            </w:r>
            <w:r>
              <w:rPr>
                <w:rFonts w:asciiTheme="majorHAnsi" w:eastAsia="Times New Roman" w:hAnsiTheme="majorHAnsi" w:cstheme="majorHAnsi"/>
                <w:sz w:val="24"/>
                <w:szCs w:val="24"/>
              </w:rPr>
              <w:t xml:space="preserve"> do Decreto nº 10.411, de 2020</w:t>
            </w:r>
            <w:r w:rsidRPr="002C1A2C">
              <w:rPr>
                <w:rFonts w:asciiTheme="majorHAnsi" w:eastAsia="Times New Roman" w:hAnsiTheme="majorHAnsi" w:cstheme="majorHAnsi"/>
                <w:sz w:val="24"/>
                <w:szCs w:val="24"/>
              </w:rPr>
              <w:t xml:space="preserve"> - Inserção de dispositivo para definir prazo máximo de atendimento do disposto em norma hierarquicamente superior.  </w:t>
            </w:r>
          </w:p>
        </w:tc>
      </w:tr>
      <w:tr w:rsidR="00AC3175" w:rsidRPr="002C1A2C" w14:paraId="60267833" w14:textId="0A8033F9" w:rsidTr="7DE461B5">
        <w:trPr>
          <w:trHeight w:val="300"/>
        </w:trPr>
        <w:tc>
          <w:tcPr>
            <w:tcW w:w="1250" w:type="pct"/>
          </w:tcPr>
          <w:p w14:paraId="6739A785" w14:textId="77777777" w:rsidR="00AC3175" w:rsidRPr="002C1A2C" w:rsidRDefault="00AC3175" w:rsidP="00AC3175">
            <w:pPr>
              <w:spacing w:line="360" w:lineRule="auto"/>
              <w:jc w:val="both"/>
              <w:rPr>
                <w:rFonts w:asciiTheme="majorHAnsi" w:hAnsiTheme="majorHAnsi" w:cstheme="majorHAnsi"/>
                <w:sz w:val="24"/>
                <w:szCs w:val="24"/>
              </w:rPr>
            </w:pPr>
          </w:p>
        </w:tc>
        <w:tc>
          <w:tcPr>
            <w:tcW w:w="1250" w:type="pct"/>
          </w:tcPr>
          <w:p w14:paraId="08B64709" w14:textId="222D9286" w:rsidR="00AC3175" w:rsidRPr="002C1A2C" w:rsidRDefault="00AC3175" w:rsidP="00AC3175">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6º  As EFPC com representantes em comitês de investimento de FIP devem deixar os comitês até 30/06/2026.</w:t>
            </w:r>
          </w:p>
          <w:p w14:paraId="29DC90AE" w14:textId="77777777" w:rsidR="00AC3175" w:rsidRPr="002C1A2C" w:rsidRDefault="00AC3175" w:rsidP="00AC3175">
            <w:pPr>
              <w:spacing w:line="360" w:lineRule="auto"/>
              <w:jc w:val="both"/>
              <w:rPr>
                <w:rFonts w:asciiTheme="majorHAnsi" w:hAnsiTheme="majorHAnsi" w:cstheme="majorHAnsi"/>
                <w:color w:val="0070C0"/>
                <w:sz w:val="24"/>
                <w:szCs w:val="24"/>
              </w:rPr>
            </w:pPr>
          </w:p>
        </w:tc>
        <w:tc>
          <w:tcPr>
            <w:tcW w:w="1250" w:type="pct"/>
          </w:tcPr>
          <w:p w14:paraId="0DA72441" w14:textId="25DEA3BB" w:rsidR="00AC3175" w:rsidRPr="002C1A2C" w:rsidRDefault="00AC3175" w:rsidP="00AC3175">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Considerando a impossibilidade de participação no comitê de investimentos de FIP, o dispositivo normativo busca facultar prazo </w:t>
            </w:r>
            <w:r w:rsidRPr="002C1A2C">
              <w:rPr>
                <w:rFonts w:asciiTheme="majorHAnsi" w:hAnsiTheme="majorHAnsi" w:cstheme="majorHAnsi"/>
                <w:sz w:val="24"/>
                <w:szCs w:val="24"/>
              </w:rPr>
              <w:lastRenderedPageBreak/>
              <w:t>para que as EFPC deixem de participar do comitê de investimento de FIPs no qual já investem.</w:t>
            </w:r>
          </w:p>
        </w:tc>
        <w:tc>
          <w:tcPr>
            <w:tcW w:w="1250" w:type="pct"/>
          </w:tcPr>
          <w:p w14:paraId="52685B89" w14:textId="2E8A9A3B" w:rsidR="00AC3175" w:rsidRPr="002C1A2C" w:rsidRDefault="00AC3175" w:rsidP="00AC3175">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lastRenderedPageBreak/>
              <w:t>Inciso II do art. 4º</w:t>
            </w:r>
            <w:r>
              <w:rPr>
                <w:rFonts w:asciiTheme="majorHAnsi" w:eastAsia="Times New Roman" w:hAnsiTheme="majorHAnsi" w:cstheme="majorHAnsi"/>
                <w:sz w:val="24"/>
                <w:szCs w:val="24"/>
              </w:rPr>
              <w:t xml:space="preserve"> do Decreto nº 10.411, de 2020</w:t>
            </w:r>
            <w:r w:rsidRPr="002C1A2C">
              <w:rPr>
                <w:rFonts w:asciiTheme="majorHAnsi" w:eastAsia="Times New Roman" w:hAnsiTheme="majorHAnsi" w:cstheme="majorHAnsi"/>
                <w:sz w:val="24"/>
                <w:szCs w:val="24"/>
              </w:rPr>
              <w:t xml:space="preserve"> - Inserção de dispositivo para definir prazo máximo de atendimento do </w:t>
            </w:r>
            <w:r w:rsidRPr="002C1A2C">
              <w:rPr>
                <w:rFonts w:asciiTheme="majorHAnsi" w:eastAsia="Times New Roman" w:hAnsiTheme="majorHAnsi" w:cstheme="majorHAnsi"/>
                <w:sz w:val="24"/>
                <w:szCs w:val="24"/>
              </w:rPr>
              <w:lastRenderedPageBreak/>
              <w:t xml:space="preserve">disposto em norma hierarquicamente superior.  </w:t>
            </w:r>
          </w:p>
        </w:tc>
      </w:tr>
      <w:tr w:rsidR="006D6628" w:rsidRPr="002C1A2C" w14:paraId="0D9A7285" w14:textId="72447A3A" w:rsidTr="7DE461B5">
        <w:trPr>
          <w:trHeight w:val="300"/>
        </w:trPr>
        <w:tc>
          <w:tcPr>
            <w:tcW w:w="1250" w:type="pct"/>
          </w:tcPr>
          <w:p w14:paraId="32D17A75" w14:textId="0B5F22C8" w:rsidR="006D6628" w:rsidRPr="002C1A2C" w:rsidRDefault="006D6628"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lastRenderedPageBreak/>
              <w:t>Subseção IV</w:t>
            </w:r>
          </w:p>
          <w:p w14:paraId="79868B07" w14:textId="5BC5FC64" w:rsidR="006D6628" w:rsidRPr="002C1A2C" w:rsidRDefault="006D6628"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Seleção de Fundo de Investimento em Direitos Creditórios</w:t>
            </w:r>
          </w:p>
        </w:tc>
        <w:tc>
          <w:tcPr>
            <w:tcW w:w="1250" w:type="pct"/>
          </w:tcPr>
          <w:p w14:paraId="136284FF" w14:textId="557068D6" w:rsidR="006D6628" w:rsidRPr="002C1A2C" w:rsidRDefault="006D6628"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IV</w:t>
            </w:r>
          </w:p>
          <w:p w14:paraId="4548635A" w14:textId="5472B1C8" w:rsidR="006D6628" w:rsidRPr="002C1A2C" w:rsidRDefault="006D6628"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Seleção de Fundo de Investimento em Direitos Creditórios</w:t>
            </w:r>
          </w:p>
        </w:tc>
        <w:tc>
          <w:tcPr>
            <w:tcW w:w="1250" w:type="pct"/>
          </w:tcPr>
          <w:p w14:paraId="05183AF5" w14:textId="4F1B2FE7"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43785461" w14:textId="0FD6505A"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722D1708" w14:textId="37624D90" w:rsidTr="7DE461B5">
        <w:trPr>
          <w:trHeight w:val="300"/>
        </w:trPr>
        <w:tc>
          <w:tcPr>
            <w:tcW w:w="1250" w:type="pct"/>
          </w:tcPr>
          <w:p w14:paraId="75967ADD" w14:textId="79DC41AE"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223.  Na seleção de fundo de investimento em direitos creditórios (FIDC), a EFPC deve, adicionalmente ao disposto no art. 221, analisar:</w:t>
            </w:r>
          </w:p>
        </w:tc>
        <w:tc>
          <w:tcPr>
            <w:tcW w:w="1250" w:type="pct"/>
          </w:tcPr>
          <w:p w14:paraId="7927FD8D" w14:textId="035CD74C"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223.  </w:t>
            </w:r>
            <w:r>
              <w:rPr>
                <w:rFonts w:asciiTheme="majorHAnsi" w:hAnsiTheme="majorHAnsi" w:cstheme="majorHAnsi"/>
                <w:sz w:val="24"/>
                <w:szCs w:val="24"/>
              </w:rPr>
              <w:t xml:space="preserve"> (...)</w:t>
            </w:r>
          </w:p>
        </w:tc>
        <w:tc>
          <w:tcPr>
            <w:tcW w:w="1250" w:type="pct"/>
          </w:tcPr>
          <w:p w14:paraId="0E3714FE" w14:textId="5F16B5D6"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64BBDF07" w14:textId="2BD54BB6"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43320B75" w14:textId="4AD57761" w:rsidTr="7DE461B5">
        <w:trPr>
          <w:trHeight w:val="300"/>
        </w:trPr>
        <w:tc>
          <w:tcPr>
            <w:tcW w:w="1250" w:type="pct"/>
          </w:tcPr>
          <w:p w14:paraId="41EE7B5D" w14:textId="11D0B7D6"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1250" w:type="pct"/>
          </w:tcPr>
          <w:p w14:paraId="46D9880A" w14:textId="633595DB"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 - a estrutura da carteira, o cedente, o nível de subordinação, a inadimplência e a perda que a classificação de risco e a subordinação deveriam suportar, </w:t>
            </w:r>
            <w:r w:rsidRPr="002C1A2C">
              <w:rPr>
                <w:rFonts w:asciiTheme="majorHAnsi" w:hAnsiTheme="majorHAnsi" w:cstheme="majorHAnsi"/>
                <w:strike/>
                <w:color w:val="EE0000"/>
                <w:sz w:val="24"/>
                <w:szCs w:val="24"/>
              </w:rPr>
              <w:t>comparando-se</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comparada </w:t>
            </w:r>
            <w:r w:rsidRPr="002C1A2C">
              <w:rPr>
                <w:rFonts w:asciiTheme="majorHAnsi" w:hAnsiTheme="majorHAnsi" w:cstheme="majorHAnsi"/>
                <w:sz w:val="24"/>
                <w:szCs w:val="24"/>
              </w:rPr>
              <w:t>com a perda estimada, e a classificação de risco no Sistema de Informações de Crédito do Banco Central, quando disponível;</w:t>
            </w:r>
          </w:p>
        </w:tc>
        <w:tc>
          <w:tcPr>
            <w:tcW w:w="1250" w:type="pct"/>
          </w:tcPr>
          <w:p w14:paraId="2244C479" w14:textId="168139DC"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Ajuste redacional para dar maior clareza.</w:t>
            </w:r>
          </w:p>
        </w:tc>
        <w:tc>
          <w:tcPr>
            <w:tcW w:w="1250" w:type="pct"/>
          </w:tcPr>
          <w:p w14:paraId="36803626" w14:textId="75D771F4"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t>Inciso IV do art. 4º</w:t>
            </w:r>
            <w:r>
              <w:rPr>
                <w:rFonts w:asciiTheme="majorHAnsi" w:eastAsia="Times New Roman" w:hAnsiTheme="majorHAnsi" w:cstheme="majorHAnsi"/>
                <w:sz w:val="24"/>
                <w:szCs w:val="24"/>
              </w:rPr>
              <w:t xml:space="preserve"> do Decreto 10.411, de 2020.</w:t>
            </w:r>
          </w:p>
        </w:tc>
      </w:tr>
      <w:tr w:rsidR="006D6628" w:rsidRPr="002C1A2C" w14:paraId="53F73B7C" w14:textId="3AE4E967" w:rsidTr="7DE461B5">
        <w:trPr>
          <w:trHeight w:val="300"/>
        </w:trPr>
        <w:tc>
          <w:tcPr>
            <w:tcW w:w="1250" w:type="pct"/>
          </w:tcPr>
          <w:p w14:paraId="2547850F" w14:textId="01E84A89"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44AE473F" w14:textId="43437321" w:rsidR="006D6628" w:rsidRPr="002C1A2C" w:rsidRDefault="006D6628" w:rsidP="006D6628">
            <w:pPr>
              <w:spacing w:line="360" w:lineRule="auto"/>
              <w:jc w:val="center"/>
              <w:rPr>
                <w:rFonts w:asciiTheme="majorHAnsi" w:hAnsiTheme="majorHAnsi" w:cstheme="majorBidi"/>
                <w:b/>
                <w:bCs/>
                <w:color w:val="0070C0"/>
                <w:sz w:val="24"/>
                <w:szCs w:val="24"/>
              </w:rPr>
            </w:pPr>
            <w:r w:rsidRPr="6A13D3E3">
              <w:rPr>
                <w:rFonts w:asciiTheme="majorHAnsi" w:hAnsiTheme="majorHAnsi" w:cstheme="majorBidi"/>
                <w:b/>
                <w:bCs/>
                <w:color w:val="0070C0"/>
                <w:sz w:val="24"/>
                <w:szCs w:val="24"/>
              </w:rPr>
              <w:t>Subseção IV-A –</w:t>
            </w:r>
          </w:p>
          <w:p w14:paraId="679777B4" w14:textId="529F4F33" w:rsidR="006D6628" w:rsidRPr="002C1A2C" w:rsidRDefault="006D6628" w:rsidP="006D6628">
            <w:pPr>
              <w:spacing w:line="360" w:lineRule="auto"/>
              <w:jc w:val="center"/>
              <w:rPr>
                <w:rFonts w:asciiTheme="majorHAnsi" w:hAnsiTheme="majorHAnsi" w:cstheme="majorHAnsi"/>
                <w:color w:val="0070C0"/>
                <w:sz w:val="24"/>
                <w:szCs w:val="24"/>
              </w:rPr>
            </w:pPr>
            <w:r w:rsidRPr="002C1A2C">
              <w:rPr>
                <w:rFonts w:asciiTheme="majorHAnsi" w:hAnsiTheme="majorHAnsi" w:cstheme="majorHAnsi"/>
                <w:b/>
                <w:bCs/>
                <w:color w:val="0070C0"/>
                <w:sz w:val="24"/>
                <w:szCs w:val="24"/>
              </w:rPr>
              <w:t>Seleção de Fundo de Investimento nas Cadeias Agroindustriais</w:t>
            </w:r>
          </w:p>
        </w:tc>
        <w:tc>
          <w:tcPr>
            <w:tcW w:w="1250" w:type="pct"/>
          </w:tcPr>
          <w:p w14:paraId="38D81054" w14:textId="1D21DC6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Subseção criada para abranger a regulamentação necessária para a aquisição de Fundo de Investimento nas Cadeias Agroindustriais –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De acordo com a técnica legislativa, como a Seção VI já existe na regulamentação atual, deve-se numerar a nova seção com o número anterior acrescido da letra do alfabeto.</w:t>
            </w:r>
          </w:p>
        </w:tc>
        <w:tc>
          <w:tcPr>
            <w:tcW w:w="1250" w:type="pct"/>
          </w:tcPr>
          <w:p w14:paraId="49DB4E3D"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025564A3" w14:textId="7D554DA0"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t xml:space="preserve"> - Inserção de dispositivo para regulamentar ativo que passou ter menção expressa na Res. CMN 4.994, de 2022, após a alteração advinda com a Res. CMN nº 5.202, de 2025. A proposta replicou a lógica  dos demais tipos de fundos existentes para FII, FIP e FIDC, considerando a complexidade e polivalência do fundo.</w:t>
            </w:r>
          </w:p>
        </w:tc>
      </w:tr>
      <w:tr w:rsidR="006D6628" w:rsidRPr="002C1A2C" w14:paraId="5977A649" w14:textId="45C70BB3" w:rsidTr="7DE461B5">
        <w:trPr>
          <w:trHeight w:val="300"/>
        </w:trPr>
        <w:tc>
          <w:tcPr>
            <w:tcW w:w="1250" w:type="pct"/>
          </w:tcPr>
          <w:p w14:paraId="79497A12" w14:textId="6501CC66"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2B107A44" w14:textId="4A4730D2" w:rsidR="006D6628" w:rsidRPr="002C1A2C" w:rsidRDefault="006D6628" w:rsidP="006D6628">
            <w:pPr>
              <w:spacing w:line="360" w:lineRule="auto"/>
              <w:jc w:val="both"/>
              <w:rPr>
                <w:rFonts w:asciiTheme="majorHAnsi" w:hAnsiTheme="majorHAnsi" w:cstheme="majorBidi"/>
                <w:color w:val="0070C0"/>
                <w:sz w:val="24"/>
                <w:szCs w:val="24"/>
              </w:rPr>
            </w:pPr>
            <w:r w:rsidRPr="6A13D3E3">
              <w:rPr>
                <w:rFonts w:asciiTheme="majorHAnsi" w:hAnsiTheme="majorHAnsi" w:cstheme="majorBidi"/>
                <w:color w:val="0070C0"/>
                <w:sz w:val="24"/>
                <w:szCs w:val="24"/>
              </w:rPr>
              <w:t>Art. 224-A. Na seleção de Fundo de Investimento nas Cadeias Agroindustriais</w:t>
            </w:r>
            <w:r w:rsidR="003F6076">
              <w:rPr>
                <w:rFonts w:asciiTheme="majorHAnsi" w:hAnsiTheme="majorHAnsi" w:cstheme="majorBidi"/>
                <w:color w:val="0070C0"/>
                <w:sz w:val="24"/>
                <w:szCs w:val="24"/>
              </w:rPr>
              <w:t xml:space="preserve">, </w:t>
            </w:r>
            <w:r w:rsidRPr="6A13D3E3">
              <w:rPr>
                <w:rFonts w:asciiTheme="majorHAnsi" w:hAnsiTheme="majorHAnsi" w:cstheme="majorBidi"/>
                <w:color w:val="0070C0"/>
                <w:sz w:val="24"/>
                <w:szCs w:val="24"/>
              </w:rPr>
              <w:t>a EFPC deve, adicionalmente ao disposto no art. 221, analisar:</w:t>
            </w:r>
          </w:p>
        </w:tc>
        <w:tc>
          <w:tcPr>
            <w:tcW w:w="1250" w:type="pct"/>
          </w:tcPr>
          <w:p w14:paraId="591FD892" w14:textId="2828CC5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Sugestão de artigo para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xml:space="preserve"> semelhante aos demais existentes para FII, FIP e FIDC, considerando a complexidade e polivalência do fundo.</w:t>
            </w:r>
          </w:p>
          <w:p w14:paraId="751C57C4" w14:textId="40332C1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Estabelece os critérios específicos de análise que as EFPC devem observar na seleção de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xml:space="preserve">, complementando </w:t>
            </w:r>
            <w:r w:rsidRPr="002C1A2C">
              <w:rPr>
                <w:rFonts w:asciiTheme="majorHAnsi" w:hAnsiTheme="majorHAnsi" w:cstheme="majorHAnsi"/>
                <w:sz w:val="24"/>
                <w:szCs w:val="24"/>
              </w:rPr>
              <w:lastRenderedPageBreak/>
              <w:t>as disposições gerais do art. 221, considerando as características particulares desses fundos voltados às cadeias produtivas agroindustriais, conforme Lei nº 14.130/2021</w:t>
            </w:r>
          </w:p>
          <w:p w14:paraId="322F3E59" w14:textId="24882E0D"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2F75461C"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Alínea “a” do Inciso V do art. 4º do Decreto nº 10.411, de 2020.</w:t>
            </w:r>
          </w:p>
          <w:p w14:paraId="67A5CB76" w14:textId="5709D676"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3C8D5746" w14:textId="7576F908" w:rsidTr="7DE461B5">
        <w:trPr>
          <w:trHeight w:val="300"/>
        </w:trPr>
        <w:tc>
          <w:tcPr>
            <w:tcW w:w="1250" w:type="pct"/>
          </w:tcPr>
          <w:p w14:paraId="435986CA" w14:textId="74E6A4DC"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1B9F10AC" w14:textId="2430A562"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I – as regras específicas de subscrição e integralização das cotas, incluindo prazos, chamadas de capital, classes de cotas e eventuais restrições a investidores, nos termos da Lei nº 14.130, de 2021, e da regulamentação da Comissão de Valores Mobiliários;</w:t>
            </w:r>
          </w:p>
        </w:tc>
        <w:tc>
          <w:tcPr>
            <w:tcW w:w="1250" w:type="pct"/>
          </w:tcPr>
          <w:p w14:paraId="404F4816" w14:textId="062E96EB"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Assegura que a EFPC compreenda adequadamente as regras específicas de captação e integralização dos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incluindo eventuais chamadas de capital e diferentes classes de cotas, elementos essenciais para o planejamento de fluxo de caixa e compatibilidade com o passivo atuarial dos planos previdenciários.</w:t>
            </w:r>
          </w:p>
        </w:tc>
        <w:tc>
          <w:tcPr>
            <w:tcW w:w="1250" w:type="pct"/>
          </w:tcPr>
          <w:p w14:paraId="329B40A3"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0FBBA021" w14:textId="7723C721"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6B8BA85B" w14:textId="0DFB0BD9" w:rsidTr="7DE461B5">
        <w:trPr>
          <w:trHeight w:val="300"/>
        </w:trPr>
        <w:tc>
          <w:tcPr>
            <w:tcW w:w="1250" w:type="pct"/>
          </w:tcPr>
          <w:p w14:paraId="5297C0A1" w14:textId="28B4DD5A"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33089ED5" w14:textId="59EE5955"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 – a política de distribuição de rendimentos e, quando aplicável, de amortização ordinária de cotas, explicitando periodicidade, </w:t>
            </w:r>
            <w:r w:rsidRPr="002C1A2C">
              <w:rPr>
                <w:rFonts w:asciiTheme="majorHAnsi" w:hAnsiTheme="majorHAnsi" w:cstheme="majorHAnsi"/>
                <w:color w:val="0070C0"/>
                <w:sz w:val="24"/>
                <w:szCs w:val="24"/>
              </w:rPr>
              <w:lastRenderedPageBreak/>
              <w:t>critérios de retenção e prioridades de pagamento;</w:t>
            </w:r>
          </w:p>
        </w:tc>
        <w:tc>
          <w:tcPr>
            <w:tcW w:w="1250" w:type="pct"/>
          </w:tcPr>
          <w:p w14:paraId="6CC20D78" w14:textId="446069D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Permite à EFPC avaliar a regularidade e previsibilidade dos rendimentos do </w:t>
            </w:r>
            <w:r w:rsidR="003F6076">
              <w:rPr>
                <w:rFonts w:asciiTheme="majorHAnsi" w:hAnsiTheme="majorHAnsi" w:cstheme="majorHAnsi"/>
                <w:sz w:val="24"/>
                <w:szCs w:val="24"/>
              </w:rPr>
              <w:t xml:space="preserve">Fundo de Investimento nas Cadeias </w:t>
            </w:r>
            <w:r w:rsidR="003F6076">
              <w:rPr>
                <w:rFonts w:asciiTheme="majorHAnsi" w:hAnsiTheme="majorHAnsi" w:cstheme="majorHAnsi"/>
                <w:sz w:val="24"/>
                <w:szCs w:val="24"/>
              </w:rPr>
              <w:lastRenderedPageBreak/>
              <w:t>Agroindustriais</w:t>
            </w:r>
            <w:r w:rsidRPr="002C1A2C">
              <w:rPr>
                <w:rFonts w:asciiTheme="majorHAnsi" w:hAnsiTheme="majorHAnsi" w:cstheme="majorHAnsi"/>
                <w:sz w:val="24"/>
                <w:szCs w:val="24"/>
              </w:rPr>
              <w:t>, informação fundamental para o gerenciamento de liquidez e cumprimento dos compromissos previdenciários com os participantes e assistidos</w:t>
            </w:r>
          </w:p>
        </w:tc>
        <w:tc>
          <w:tcPr>
            <w:tcW w:w="1250" w:type="pct"/>
          </w:tcPr>
          <w:p w14:paraId="188A477C"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Alínea “a” do Inciso V do art. 4º do Decreto nº 10.411, de 2020.</w:t>
            </w:r>
          </w:p>
          <w:p w14:paraId="787AAE92" w14:textId="6DFCDBD4"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7CDC34E1" w14:textId="51FC23AE" w:rsidTr="7DE461B5">
        <w:trPr>
          <w:trHeight w:val="300"/>
        </w:trPr>
        <w:tc>
          <w:tcPr>
            <w:tcW w:w="1250" w:type="pct"/>
          </w:tcPr>
          <w:p w14:paraId="18758413" w14:textId="75E536DD"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F6E366F" w14:textId="39B36D79"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III – a política de divulgação de informações, garantindo tempestividade e escopo mínimo de relatórios gerenciais, demonstrações financeiras, atas de assembleia e laudos de avaliação;</w:t>
            </w:r>
          </w:p>
        </w:tc>
        <w:tc>
          <w:tcPr>
            <w:tcW w:w="1250" w:type="pct"/>
          </w:tcPr>
          <w:p w14:paraId="722B294C" w14:textId="67A98393"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Garante que a EFPC tenha acesso tempestivo às informações necessárias para o monitoramento contínuo do investimento, em linha com os deveres de transparência e prestação de contas previstos na regulamentação da previdência complementar.</w:t>
            </w:r>
          </w:p>
        </w:tc>
        <w:tc>
          <w:tcPr>
            <w:tcW w:w="1250" w:type="pct"/>
          </w:tcPr>
          <w:p w14:paraId="5A8E7F3F"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66E2A9E0" w14:textId="11829B5A"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23CB1B7D" w14:textId="53573B94" w:rsidTr="7DE461B5">
        <w:trPr>
          <w:trHeight w:val="300"/>
        </w:trPr>
        <w:tc>
          <w:tcPr>
            <w:tcW w:w="1250" w:type="pct"/>
          </w:tcPr>
          <w:p w14:paraId="34D111EA" w14:textId="7576B451"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26E587B6" w14:textId="41C87CD3" w:rsidR="006D6628" w:rsidRPr="002C1A2C" w:rsidRDefault="006D6628" w:rsidP="42C6684A">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IV – </w:t>
            </w:r>
            <w:proofErr w:type="gramStart"/>
            <w:r w:rsidRPr="002C1A2C">
              <w:rPr>
                <w:rFonts w:asciiTheme="majorHAnsi" w:hAnsiTheme="majorHAnsi" w:cstheme="majorHAnsi"/>
                <w:color w:val="0070C0"/>
                <w:sz w:val="24"/>
                <w:szCs w:val="24"/>
              </w:rPr>
              <w:t>a</w:t>
            </w:r>
            <w:proofErr w:type="gramEnd"/>
            <w:r w:rsidRPr="002C1A2C">
              <w:rPr>
                <w:rFonts w:asciiTheme="majorHAnsi" w:hAnsiTheme="majorHAnsi" w:cstheme="majorHAnsi"/>
                <w:color w:val="0070C0"/>
                <w:sz w:val="24"/>
                <w:szCs w:val="24"/>
              </w:rPr>
              <w:t xml:space="preserve"> participação financeira do gestor, administrador e demais partes relacionadas no </w:t>
            </w:r>
            <w:r w:rsidR="003F6076">
              <w:rPr>
                <w:rFonts w:asciiTheme="majorHAnsi" w:hAnsiTheme="majorHAnsi" w:cstheme="majorHAnsi"/>
                <w:color w:val="0070C0"/>
                <w:sz w:val="24"/>
                <w:szCs w:val="24"/>
              </w:rPr>
              <w:t>FUNDO DE INVESTIMENTO NAS CADEIAS AGROINDUSTRIAIS</w:t>
            </w:r>
            <w:r w:rsidRPr="002C1A2C">
              <w:rPr>
                <w:rFonts w:asciiTheme="majorHAnsi" w:hAnsiTheme="majorHAnsi" w:cstheme="majorHAnsi"/>
                <w:color w:val="0070C0"/>
                <w:sz w:val="24"/>
                <w:szCs w:val="24"/>
              </w:rPr>
              <w:t>, a fim de aferir o alinhamento de interesses entre gestores e cotistas;</w:t>
            </w:r>
          </w:p>
        </w:tc>
        <w:tc>
          <w:tcPr>
            <w:tcW w:w="1250" w:type="pct"/>
          </w:tcPr>
          <w:p w14:paraId="4E942137" w14:textId="0EACD3AA"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Verifica o alinhamento de interesses entre gestores e cotistas, mitigando potenciais conflitos de agência e assegurando que a gestão do fundo seja conduzida com foco na maximização de valor para os investidores</w:t>
            </w:r>
          </w:p>
        </w:tc>
        <w:tc>
          <w:tcPr>
            <w:tcW w:w="1250" w:type="pct"/>
          </w:tcPr>
          <w:p w14:paraId="29518D57"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3755A86B" w14:textId="53E23D2B"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580695BF" w14:textId="195641CB" w:rsidTr="7DE461B5">
        <w:trPr>
          <w:trHeight w:val="300"/>
        </w:trPr>
        <w:tc>
          <w:tcPr>
            <w:tcW w:w="1250" w:type="pct"/>
          </w:tcPr>
          <w:p w14:paraId="18A8B5A5" w14:textId="65F08754"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41EA6273" w14:textId="4EA02E8D"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V – a duração do fundo, bem como os períodos de investimento e de desinvestimento previstos;</w:t>
            </w:r>
          </w:p>
        </w:tc>
        <w:tc>
          <w:tcPr>
            <w:tcW w:w="1250" w:type="pct"/>
          </w:tcPr>
          <w:p w14:paraId="57CFC006" w14:textId="436974D5"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Permite à EFPC avaliar a compatibilidade do horizonte de investimento do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xml:space="preserve"> com o perfil de longo prazo dos planos de benefícios, considerando os períodos de carência e diferimento dos benefícios previdenciários</w:t>
            </w:r>
          </w:p>
        </w:tc>
        <w:tc>
          <w:tcPr>
            <w:tcW w:w="1250" w:type="pct"/>
          </w:tcPr>
          <w:p w14:paraId="3DF7DFC4" w14:textId="77777777" w:rsidR="006D6628" w:rsidRPr="002C1A2C" w:rsidRDefault="006D6628" w:rsidP="006D6628">
            <w:pPr>
              <w:spacing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p w14:paraId="1EC61408" w14:textId="68BB3B91"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338BBAD3" w14:textId="6F714845" w:rsidTr="7DE461B5">
        <w:trPr>
          <w:trHeight w:val="300"/>
        </w:trPr>
        <w:tc>
          <w:tcPr>
            <w:tcW w:w="1250" w:type="pct"/>
          </w:tcPr>
          <w:p w14:paraId="1EFBE58F" w14:textId="749DD2D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B3C1C97" w14:textId="79455C3E"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VIII – os critérios, metodologias e periodicidade de avaliação dos ativos a valor justo, realizados pelo gestor ou por avaliador independente, assegurando aderência às normas da Comissão de Valores Mobiliários;</w:t>
            </w:r>
          </w:p>
        </w:tc>
        <w:tc>
          <w:tcPr>
            <w:tcW w:w="1250" w:type="pct"/>
          </w:tcPr>
          <w:p w14:paraId="7C21B0E2" w14:textId="3FB3E27A"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Assegura que a avaliação dos ativos do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xml:space="preserve"> seja realizada de forma adequada e em conformidade com as normas da CVM, permitindo precificação justa das cotas e transparência na valoração dos investimentos</w:t>
            </w:r>
          </w:p>
        </w:tc>
        <w:tc>
          <w:tcPr>
            <w:tcW w:w="1250" w:type="pct"/>
          </w:tcPr>
          <w:p w14:paraId="5388433D" w14:textId="3F56E3DA" w:rsidR="006D6628" w:rsidRPr="002C1A2C" w:rsidRDefault="006D6628" w:rsidP="006D6628">
            <w:pPr>
              <w:spacing w:after="160"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Alínea “a” do Inciso V do art. 4º do Decreto nº 10.411, de 2020.</w:t>
            </w:r>
          </w:p>
        </w:tc>
      </w:tr>
      <w:tr w:rsidR="006D6628" w:rsidRPr="002C1A2C" w14:paraId="0E066D5E" w14:textId="024E8177" w:rsidTr="7DE461B5">
        <w:trPr>
          <w:trHeight w:val="300"/>
        </w:trPr>
        <w:tc>
          <w:tcPr>
            <w:tcW w:w="1250" w:type="pct"/>
          </w:tcPr>
          <w:p w14:paraId="331219CA" w14:textId="65ADC2DD"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0A9B0990" w14:textId="730426A7"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IX – </w:t>
            </w:r>
            <w:proofErr w:type="gramStart"/>
            <w:r w:rsidRPr="002C1A2C">
              <w:rPr>
                <w:rFonts w:asciiTheme="majorHAnsi" w:hAnsiTheme="majorHAnsi" w:cstheme="majorHAnsi"/>
                <w:color w:val="0070C0"/>
                <w:sz w:val="24"/>
                <w:szCs w:val="24"/>
              </w:rPr>
              <w:t>a</w:t>
            </w:r>
            <w:proofErr w:type="gramEnd"/>
            <w:r w:rsidRPr="002C1A2C">
              <w:rPr>
                <w:rFonts w:asciiTheme="majorHAnsi" w:hAnsiTheme="majorHAnsi" w:cstheme="majorHAnsi"/>
                <w:color w:val="0070C0"/>
                <w:sz w:val="24"/>
                <w:szCs w:val="24"/>
              </w:rPr>
              <w:t xml:space="preserve"> política de contratação de consultores e terceiros para apoio na gestão do </w:t>
            </w:r>
            <w:r w:rsidR="003F6076">
              <w:rPr>
                <w:rFonts w:asciiTheme="majorHAnsi" w:hAnsiTheme="majorHAnsi" w:cstheme="majorHAnsi"/>
                <w:color w:val="0070C0"/>
                <w:sz w:val="24"/>
                <w:szCs w:val="24"/>
              </w:rPr>
              <w:t>FUNDO DE INVESTIMENTO NAS CADEIAS AGROINDUSTRIAIS</w:t>
            </w:r>
            <w:r w:rsidRPr="002C1A2C">
              <w:rPr>
                <w:rFonts w:asciiTheme="majorHAnsi" w:hAnsiTheme="majorHAnsi" w:cstheme="majorHAnsi"/>
                <w:color w:val="0070C0"/>
                <w:sz w:val="24"/>
                <w:szCs w:val="24"/>
              </w:rPr>
              <w:t xml:space="preserve"> ou de seus ativos-alvo; </w:t>
            </w:r>
          </w:p>
        </w:tc>
        <w:tc>
          <w:tcPr>
            <w:tcW w:w="1250" w:type="pct"/>
          </w:tcPr>
          <w:p w14:paraId="78CA9015" w14:textId="014BC7B0"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Permite à EFPC compreender a estrutura de custos e a qualidade dos prestadores de serviços contratados pelo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xml:space="preserve">, aspectos que impactam diretamente na </w:t>
            </w:r>
            <w:r w:rsidRPr="002C1A2C">
              <w:rPr>
                <w:rFonts w:asciiTheme="majorHAnsi" w:hAnsiTheme="majorHAnsi" w:cstheme="majorHAnsi"/>
                <w:sz w:val="24"/>
                <w:szCs w:val="24"/>
              </w:rPr>
              <w:lastRenderedPageBreak/>
              <w:t>rentabilidade líquida do investimento</w:t>
            </w:r>
          </w:p>
        </w:tc>
        <w:tc>
          <w:tcPr>
            <w:tcW w:w="1250" w:type="pct"/>
          </w:tcPr>
          <w:p w14:paraId="1D1281C4" w14:textId="23189799" w:rsidR="006D6628" w:rsidRPr="002C1A2C" w:rsidRDefault="006D6628" w:rsidP="006D6628">
            <w:pPr>
              <w:spacing w:line="360" w:lineRule="auto"/>
              <w:jc w:val="both"/>
              <w:rPr>
                <w:rFonts w:asciiTheme="majorHAnsi" w:hAnsiTheme="majorHAnsi" w:cstheme="majorHAnsi"/>
                <w:sz w:val="24"/>
                <w:szCs w:val="24"/>
              </w:rPr>
            </w:pPr>
            <w:r w:rsidRPr="008A09DA">
              <w:rPr>
                <w:rFonts w:asciiTheme="majorHAnsi" w:eastAsia="Calibri" w:hAnsiTheme="majorHAnsi" w:cstheme="majorHAnsi"/>
                <w:sz w:val="24"/>
                <w:szCs w:val="24"/>
              </w:rPr>
              <w:lastRenderedPageBreak/>
              <w:t xml:space="preserve">Alínea “a” do </w:t>
            </w:r>
            <w:r w:rsidRPr="002C1A2C">
              <w:rPr>
                <w:rFonts w:asciiTheme="majorHAnsi" w:eastAsia="Times New Roman" w:hAnsiTheme="majorHAnsi" w:cstheme="majorHAnsi"/>
                <w:sz w:val="24"/>
                <w:szCs w:val="24"/>
              </w:rPr>
              <w:t xml:space="preserve">Inciso </w:t>
            </w:r>
            <w:r w:rsidRPr="008A09DA">
              <w:rPr>
                <w:rFonts w:asciiTheme="majorHAnsi" w:eastAsia="Calibri" w:hAnsiTheme="majorHAnsi" w:cstheme="majorHAnsi"/>
                <w:sz w:val="24"/>
                <w:szCs w:val="24"/>
              </w:rPr>
              <w:t>V</w:t>
            </w:r>
            <w:r w:rsidRPr="002C1A2C">
              <w:rPr>
                <w:rFonts w:asciiTheme="majorHAnsi" w:eastAsia="Times New Roman" w:hAnsiTheme="majorHAnsi" w:cstheme="majorHAnsi"/>
                <w:sz w:val="24"/>
                <w:szCs w:val="24"/>
              </w:rPr>
              <w:t xml:space="preserve"> do art. </w:t>
            </w:r>
            <w:r w:rsidRPr="008A09DA">
              <w:rPr>
                <w:rFonts w:asciiTheme="majorHAnsi" w:eastAsia="Calibri" w:hAnsiTheme="majorHAnsi" w:cstheme="majorHAnsi"/>
                <w:sz w:val="24"/>
                <w:szCs w:val="24"/>
              </w:rPr>
              <w:t>4º do Decreto nº 10.411, de 2020.</w:t>
            </w:r>
          </w:p>
        </w:tc>
      </w:tr>
      <w:tr w:rsidR="006D6628" w:rsidRPr="002C1A2C" w14:paraId="2AC85DA1" w14:textId="1589B9AC" w:rsidTr="7DE461B5">
        <w:trPr>
          <w:trHeight w:val="300"/>
        </w:trPr>
        <w:tc>
          <w:tcPr>
            <w:tcW w:w="1250" w:type="pct"/>
          </w:tcPr>
          <w:p w14:paraId="7C7766B6" w14:textId="56198CCC"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279E6CD1" w14:textId="1D00CF64"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 – a composição e estrutura da carteira, abrangendo origem e características de direitos creditórios, imóveis rurais, participações societárias e demais ativos, perfil de cedentes ou emissores, níveis de subordinação e histórico de inadimplência;</w:t>
            </w:r>
          </w:p>
        </w:tc>
        <w:tc>
          <w:tcPr>
            <w:tcW w:w="1250" w:type="pct"/>
          </w:tcPr>
          <w:p w14:paraId="03C15436" w14:textId="53385785"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Proporciona entendimento detalhado sobre a composição e diversificação da carteira do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permitindo análise adequada dos riscos de concentração e crédito inerentes aos ativos agroindustriais</w:t>
            </w:r>
          </w:p>
        </w:tc>
        <w:tc>
          <w:tcPr>
            <w:tcW w:w="1250" w:type="pct"/>
          </w:tcPr>
          <w:p w14:paraId="0D7EB190" w14:textId="017C7FBC" w:rsidR="006D6628" w:rsidRPr="002C1A2C" w:rsidRDefault="006D6628" w:rsidP="006D6628">
            <w:pPr>
              <w:spacing w:line="360" w:lineRule="auto"/>
              <w:jc w:val="both"/>
              <w:rPr>
                <w:rFonts w:asciiTheme="majorHAnsi" w:hAnsiTheme="majorHAnsi" w:cstheme="majorHAnsi"/>
                <w:sz w:val="24"/>
                <w:szCs w:val="24"/>
              </w:rPr>
            </w:pPr>
            <w:r w:rsidRPr="008A09DA">
              <w:rPr>
                <w:rFonts w:asciiTheme="majorHAnsi" w:eastAsia="Calibri" w:hAnsiTheme="majorHAnsi" w:cstheme="majorHAnsi"/>
                <w:sz w:val="24"/>
                <w:szCs w:val="24"/>
              </w:rPr>
              <w:t>Alínea “a” do Inciso V do art. 4º do Decreto nº 10.411, de 2020.</w:t>
            </w:r>
          </w:p>
        </w:tc>
      </w:tr>
      <w:tr w:rsidR="006D6628" w:rsidRPr="002C1A2C" w14:paraId="7A7E4E67" w14:textId="51110885" w:rsidTr="7DE461B5">
        <w:trPr>
          <w:trHeight w:val="300"/>
        </w:trPr>
        <w:tc>
          <w:tcPr>
            <w:tcW w:w="1250" w:type="pct"/>
          </w:tcPr>
          <w:p w14:paraId="6E9E6EC6" w14:textId="2D3B594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3BCC44D" w14:textId="74F0A6D7"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XI – os mecanismos de proteção previstos no regulamento;</w:t>
            </w:r>
          </w:p>
        </w:tc>
        <w:tc>
          <w:tcPr>
            <w:tcW w:w="1250" w:type="pct"/>
          </w:tcPr>
          <w:p w14:paraId="5BC39D81" w14:textId="2A1145D0"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Identifica os mecanismos de proteção disponíveis no fundo, elementos cruciais para a análise de risco-retorno e adequação do investimento ao perfil conservador tradicionalmente requerido para as EFPC</w:t>
            </w:r>
          </w:p>
        </w:tc>
        <w:tc>
          <w:tcPr>
            <w:tcW w:w="1250" w:type="pct"/>
          </w:tcPr>
          <w:p w14:paraId="39B10147" w14:textId="203CF6C9" w:rsidR="006D6628" w:rsidRPr="002C1A2C" w:rsidRDefault="006D6628" w:rsidP="006D6628">
            <w:pPr>
              <w:spacing w:line="360" w:lineRule="auto"/>
              <w:jc w:val="both"/>
              <w:rPr>
                <w:rFonts w:asciiTheme="majorHAnsi" w:hAnsiTheme="majorHAnsi" w:cstheme="majorHAnsi"/>
                <w:sz w:val="24"/>
                <w:szCs w:val="24"/>
              </w:rPr>
            </w:pPr>
            <w:r w:rsidRPr="008A09DA">
              <w:rPr>
                <w:rFonts w:asciiTheme="majorHAnsi" w:eastAsia="Calibri" w:hAnsiTheme="majorHAnsi" w:cstheme="majorHAnsi"/>
                <w:sz w:val="24"/>
                <w:szCs w:val="24"/>
              </w:rPr>
              <w:t>Alínea “a” do Inciso V do art. 4º do Decreto nº 10.411, de 2020.</w:t>
            </w:r>
          </w:p>
        </w:tc>
      </w:tr>
      <w:tr w:rsidR="006D6628" w:rsidRPr="002C1A2C" w14:paraId="16DABF6D" w14:textId="7D26EEED" w:rsidTr="7DE461B5">
        <w:trPr>
          <w:trHeight w:val="300"/>
        </w:trPr>
        <w:tc>
          <w:tcPr>
            <w:tcW w:w="1250" w:type="pct"/>
          </w:tcPr>
          <w:p w14:paraId="33755B82" w14:textId="0BF528EF"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A92BEE0" w14:textId="1AF9920F"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XII – as características e riscos específicos dos ativos-alvo, incluindo aspectos fundiários, ambientais, climáticos e de mercado que possam afetar tais ativos;</w:t>
            </w:r>
          </w:p>
        </w:tc>
        <w:tc>
          <w:tcPr>
            <w:tcW w:w="1250" w:type="pct"/>
          </w:tcPr>
          <w:p w14:paraId="4AB18226" w14:textId="7035AB21"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Reconhece as especificidades e riscos inerentes aos ativos do agronegócio, incluindo riscos climáticos, ambientais e regulatórios específicos do setor, permitindo avaliação adequada do perfil de risco do investimento</w:t>
            </w:r>
          </w:p>
        </w:tc>
        <w:tc>
          <w:tcPr>
            <w:tcW w:w="1250" w:type="pct"/>
          </w:tcPr>
          <w:p w14:paraId="44938FF9" w14:textId="15A73FFB" w:rsidR="006D6628" w:rsidRPr="002C1A2C" w:rsidRDefault="006D6628" w:rsidP="006D6628">
            <w:pPr>
              <w:spacing w:line="360" w:lineRule="auto"/>
              <w:jc w:val="both"/>
              <w:rPr>
                <w:rFonts w:asciiTheme="majorHAnsi" w:hAnsiTheme="majorHAnsi" w:cstheme="majorHAnsi"/>
                <w:sz w:val="24"/>
                <w:szCs w:val="24"/>
              </w:rPr>
            </w:pPr>
            <w:r w:rsidRPr="00632F38">
              <w:rPr>
                <w:rFonts w:asciiTheme="majorHAnsi" w:eastAsia="Calibri" w:hAnsiTheme="majorHAnsi" w:cstheme="majorHAnsi"/>
                <w:sz w:val="24"/>
                <w:szCs w:val="24"/>
              </w:rPr>
              <w:t>Alínea “a” do Inciso V do art. 4º do Decreto nº 10.411, de 2020.</w:t>
            </w:r>
          </w:p>
        </w:tc>
      </w:tr>
      <w:tr w:rsidR="006D6628" w:rsidRPr="002C1A2C" w14:paraId="441CFEFE" w14:textId="7B03FEF9" w:rsidTr="7DE461B5">
        <w:trPr>
          <w:trHeight w:val="300"/>
        </w:trPr>
        <w:tc>
          <w:tcPr>
            <w:tcW w:w="1250" w:type="pct"/>
          </w:tcPr>
          <w:p w14:paraId="33A2C7A2" w14:textId="5730197C"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60EE8758" w14:textId="24DD23B2"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XIII – o laudo de avaliação dos ativos relevantes, elaborado por avaliador independente, e as metodologias empregadas;</w:t>
            </w:r>
          </w:p>
        </w:tc>
        <w:tc>
          <w:tcPr>
            <w:tcW w:w="1250" w:type="pct"/>
          </w:tcPr>
          <w:p w14:paraId="39CB3780" w14:textId="33826614"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Assegura que a EFPC tenha acesso a avaliações técnicas independentes dos principais ativos do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fornecendo base sólida para a análise de risco e tomada de decisão de investimento</w:t>
            </w:r>
          </w:p>
        </w:tc>
        <w:tc>
          <w:tcPr>
            <w:tcW w:w="1250" w:type="pct"/>
          </w:tcPr>
          <w:p w14:paraId="0D66A3CD" w14:textId="4C4E3A8D" w:rsidR="006D6628" w:rsidRPr="002C1A2C" w:rsidRDefault="006D6628" w:rsidP="006D6628">
            <w:pPr>
              <w:spacing w:line="360" w:lineRule="auto"/>
              <w:jc w:val="both"/>
              <w:rPr>
                <w:rFonts w:asciiTheme="majorHAnsi" w:hAnsiTheme="majorHAnsi" w:cstheme="majorHAnsi"/>
                <w:sz w:val="24"/>
                <w:szCs w:val="24"/>
              </w:rPr>
            </w:pPr>
            <w:r w:rsidRPr="00632F38">
              <w:rPr>
                <w:rFonts w:asciiTheme="majorHAnsi" w:eastAsia="Calibri" w:hAnsiTheme="majorHAnsi" w:cstheme="majorHAnsi"/>
                <w:sz w:val="24"/>
                <w:szCs w:val="24"/>
              </w:rPr>
              <w:t>Alínea “a” do Inciso V do art. 4º do Decreto nº 10.411, de 2020.</w:t>
            </w:r>
          </w:p>
        </w:tc>
      </w:tr>
      <w:tr w:rsidR="006D6628" w:rsidRPr="002C1A2C" w14:paraId="6AC51889" w14:textId="62D3D0F7" w:rsidTr="7DE461B5">
        <w:trPr>
          <w:trHeight w:val="300"/>
        </w:trPr>
        <w:tc>
          <w:tcPr>
            <w:tcW w:w="1250" w:type="pct"/>
          </w:tcPr>
          <w:p w14:paraId="284037F4" w14:textId="6B4EA0E1"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276F39C8" w14:textId="2C92EDA0"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XIV – quaisquer eventos ou fatos relevantes relativos ao </w:t>
            </w:r>
            <w:r w:rsidR="003F6076">
              <w:rPr>
                <w:rFonts w:asciiTheme="majorHAnsi" w:hAnsiTheme="majorHAnsi" w:cstheme="majorHAnsi"/>
                <w:color w:val="0070C0"/>
                <w:sz w:val="24"/>
                <w:szCs w:val="24"/>
              </w:rPr>
              <w:t>FUNDO DE INVESTIMENTO NAS CADEIAS AGROINDUSTRIAIS</w:t>
            </w:r>
            <w:r w:rsidRPr="002C1A2C">
              <w:rPr>
                <w:rFonts w:asciiTheme="majorHAnsi" w:hAnsiTheme="majorHAnsi" w:cstheme="majorHAnsi"/>
                <w:color w:val="0070C0"/>
                <w:sz w:val="24"/>
                <w:szCs w:val="24"/>
              </w:rPr>
              <w:t xml:space="preserve"> ou a seus ativos que possam impactar significativamente a decisão de investimento ou a rentabilidade das cotas;</w:t>
            </w:r>
          </w:p>
        </w:tc>
        <w:tc>
          <w:tcPr>
            <w:tcW w:w="1250" w:type="pct"/>
          </w:tcPr>
          <w:p w14:paraId="71086985" w14:textId="176588FE"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Garante que eventos materiais que possam afetar significativamente o desempenho do fundo sejam adequadamente considerados na análise de investimento, permitindo decisões mais informadas</w:t>
            </w:r>
          </w:p>
        </w:tc>
        <w:tc>
          <w:tcPr>
            <w:tcW w:w="1250" w:type="pct"/>
          </w:tcPr>
          <w:p w14:paraId="30102878" w14:textId="74C3EF81" w:rsidR="006D6628" w:rsidRPr="002C1A2C" w:rsidRDefault="006D6628" w:rsidP="006D6628">
            <w:pPr>
              <w:spacing w:line="360" w:lineRule="auto"/>
              <w:jc w:val="both"/>
              <w:rPr>
                <w:rFonts w:asciiTheme="majorHAnsi" w:hAnsiTheme="majorHAnsi" w:cstheme="majorHAnsi"/>
                <w:sz w:val="24"/>
                <w:szCs w:val="24"/>
              </w:rPr>
            </w:pPr>
            <w:r w:rsidRPr="00632F38">
              <w:rPr>
                <w:rFonts w:asciiTheme="majorHAnsi" w:eastAsia="Calibri" w:hAnsiTheme="majorHAnsi" w:cstheme="majorHAnsi"/>
                <w:sz w:val="24"/>
                <w:szCs w:val="24"/>
              </w:rPr>
              <w:t xml:space="preserve">Alínea “a” do </w:t>
            </w:r>
            <w:r w:rsidRPr="002C1A2C">
              <w:rPr>
                <w:rFonts w:asciiTheme="majorHAnsi" w:hAnsiTheme="majorHAnsi" w:cstheme="majorHAnsi"/>
                <w:sz w:val="24"/>
                <w:szCs w:val="24"/>
              </w:rPr>
              <w:t xml:space="preserve">Inciso </w:t>
            </w:r>
            <w:r w:rsidRPr="00632F38">
              <w:rPr>
                <w:rFonts w:asciiTheme="majorHAnsi" w:eastAsia="Calibri" w:hAnsiTheme="majorHAnsi" w:cstheme="majorHAnsi"/>
                <w:sz w:val="24"/>
                <w:szCs w:val="24"/>
              </w:rPr>
              <w:t>V</w:t>
            </w:r>
            <w:r w:rsidRPr="002C1A2C">
              <w:rPr>
                <w:rFonts w:asciiTheme="majorHAnsi" w:hAnsiTheme="majorHAnsi" w:cstheme="majorHAnsi"/>
                <w:sz w:val="24"/>
                <w:szCs w:val="24"/>
              </w:rPr>
              <w:t xml:space="preserve"> do art. </w:t>
            </w:r>
            <w:r w:rsidRPr="00632F38">
              <w:rPr>
                <w:rFonts w:asciiTheme="majorHAnsi" w:eastAsia="Calibri" w:hAnsiTheme="majorHAnsi" w:cstheme="majorHAnsi"/>
                <w:sz w:val="24"/>
                <w:szCs w:val="24"/>
              </w:rPr>
              <w:t>4º do Decreto nº 10.411, de 2020.</w:t>
            </w:r>
          </w:p>
        </w:tc>
      </w:tr>
      <w:tr w:rsidR="006D6628" w:rsidRPr="002C1A2C" w14:paraId="0F18D48D" w14:textId="4288A7AC" w:rsidTr="7DE461B5">
        <w:trPr>
          <w:trHeight w:val="300"/>
        </w:trPr>
        <w:tc>
          <w:tcPr>
            <w:tcW w:w="1250" w:type="pct"/>
          </w:tcPr>
          <w:p w14:paraId="5A45BA5A" w14:textId="427EDB16"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1ADD4924" w14:textId="2CEE5100"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XV – a estrutura de governança do fundo, contemplando composição e independência dos órgãos de administração e fiscalização, controles internos e políticas de compliance; e</w:t>
            </w:r>
          </w:p>
        </w:tc>
        <w:tc>
          <w:tcPr>
            <w:tcW w:w="1250" w:type="pct"/>
          </w:tcPr>
          <w:p w14:paraId="364BA57F" w14:textId="1BB2DD3B"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Avalia a qualidade da governança do </w:t>
            </w:r>
            <w:r w:rsidR="003F6076">
              <w:rPr>
                <w:rFonts w:asciiTheme="majorHAnsi" w:hAnsiTheme="majorHAnsi" w:cstheme="majorHAnsi"/>
                <w:sz w:val="24"/>
                <w:szCs w:val="24"/>
              </w:rPr>
              <w:t>Fundo de Investimento nas Cadeias Agroindustriais</w:t>
            </w:r>
            <w:r w:rsidRPr="002C1A2C">
              <w:rPr>
                <w:rFonts w:asciiTheme="majorHAnsi" w:hAnsiTheme="majorHAnsi" w:cstheme="majorHAnsi"/>
                <w:sz w:val="24"/>
                <w:szCs w:val="24"/>
              </w:rPr>
              <w:t>, aspecto fundamental para a gestão adequada dos recursos e proteção dos interesses dos cotistas, em linha com as melhores práticas de investimento das EFPC</w:t>
            </w:r>
          </w:p>
        </w:tc>
        <w:tc>
          <w:tcPr>
            <w:tcW w:w="1250" w:type="pct"/>
          </w:tcPr>
          <w:p w14:paraId="30ED45A0" w14:textId="75323EF4" w:rsidR="006D6628" w:rsidRPr="002C1A2C" w:rsidRDefault="006D6628" w:rsidP="006D6628">
            <w:pPr>
              <w:spacing w:line="360" w:lineRule="auto"/>
              <w:jc w:val="both"/>
              <w:rPr>
                <w:rFonts w:asciiTheme="majorHAnsi" w:hAnsiTheme="majorHAnsi" w:cstheme="majorHAnsi"/>
                <w:sz w:val="24"/>
                <w:szCs w:val="24"/>
              </w:rPr>
            </w:pPr>
            <w:r w:rsidRPr="00DA2F82">
              <w:rPr>
                <w:rFonts w:asciiTheme="majorHAnsi" w:eastAsia="Calibri" w:hAnsiTheme="majorHAnsi" w:cstheme="majorHAnsi"/>
                <w:sz w:val="24"/>
                <w:szCs w:val="24"/>
              </w:rPr>
              <w:t xml:space="preserve">Alínea “a” do </w:t>
            </w:r>
            <w:r w:rsidRPr="002C1A2C">
              <w:rPr>
                <w:rFonts w:asciiTheme="majorHAnsi" w:hAnsiTheme="majorHAnsi" w:cstheme="majorHAnsi"/>
                <w:sz w:val="24"/>
                <w:szCs w:val="24"/>
              </w:rPr>
              <w:t xml:space="preserve">Inciso </w:t>
            </w:r>
            <w:r w:rsidRPr="00DA2F82">
              <w:rPr>
                <w:rFonts w:asciiTheme="majorHAnsi" w:eastAsia="Calibri" w:hAnsiTheme="majorHAnsi" w:cstheme="majorHAnsi"/>
                <w:sz w:val="24"/>
                <w:szCs w:val="24"/>
              </w:rPr>
              <w:t>V</w:t>
            </w:r>
            <w:r w:rsidRPr="002C1A2C">
              <w:rPr>
                <w:rFonts w:asciiTheme="majorHAnsi" w:hAnsiTheme="majorHAnsi" w:cstheme="majorHAnsi"/>
                <w:sz w:val="24"/>
                <w:szCs w:val="24"/>
              </w:rPr>
              <w:t xml:space="preserve"> do art. </w:t>
            </w:r>
            <w:r w:rsidRPr="00DA2F82">
              <w:rPr>
                <w:rFonts w:asciiTheme="majorHAnsi" w:eastAsia="Calibri" w:hAnsiTheme="majorHAnsi" w:cstheme="majorHAnsi"/>
                <w:sz w:val="24"/>
                <w:szCs w:val="24"/>
              </w:rPr>
              <w:t>4º do Decreto nº 10.411, de 2020.</w:t>
            </w:r>
          </w:p>
        </w:tc>
      </w:tr>
      <w:tr w:rsidR="006D6628" w:rsidRPr="002C1A2C" w14:paraId="67CD3EBD" w14:textId="73B2E70F" w:rsidTr="7DE461B5">
        <w:trPr>
          <w:trHeight w:val="300"/>
        </w:trPr>
        <w:tc>
          <w:tcPr>
            <w:tcW w:w="1250" w:type="pct"/>
          </w:tcPr>
          <w:p w14:paraId="7DC3FEB9" w14:textId="17A7C4DE"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469EEFC7" w14:textId="6FAFD6F7" w:rsidR="006D6628" w:rsidRPr="002C1A2C" w:rsidRDefault="006D6628"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XVI – as estratégias de mitigação dos principais riscos identificados.</w:t>
            </w:r>
          </w:p>
        </w:tc>
        <w:tc>
          <w:tcPr>
            <w:tcW w:w="1250" w:type="pct"/>
          </w:tcPr>
          <w:p w14:paraId="5A6174DE" w14:textId="411E3A7A"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Identifica as estratégias de mitigação de riscos implementadas pelo fundo, permitindo à EFPC avaliar a adequação dessas medidas ao perfil de risco aceitável para os recursos previdenciários</w:t>
            </w:r>
          </w:p>
        </w:tc>
        <w:tc>
          <w:tcPr>
            <w:tcW w:w="1250" w:type="pct"/>
          </w:tcPr>
          <w:p w14:paraId="1D8B176A" w14:textId="23A5FD98" w:rsidR="006D6628" w:rsidRPr="002C1A2C" w:rsidRDefault="006D6628" w:rsidP="006D6628">
            <w:pPr>
              <w:spacing w:line="360" w:lineRule="auto"/>
              <w:jc w:val="both"/>
              <w:rPr>
                <w:rFonts w:asciiTheme="majorHAnsi" w:hAnsiTheme="majorHAnsi" w:cstheme="majorHAnsi"/>
                <w:sz w:val="24"/>
                <w:szCs w:val="24"/>
              </w:rPr>
            </w:pPr>
            <w:r w:rsidRPr="00DA2F82">
              <w:rPr>
                <w:rFonts w:asciiTheme="majorHAnsi" w:eastAsia="Calibri" w:hAnsiTheme="majorHAnsi" w:cstheme="majorHAnsi"/>
                <w:sz w:val="24"/>
                <w:szCs w:val="24"/>
              </w:rPr>
              <w:t>Alínea “a” do Inciso V do art. 4º do Decreto nº 10.411, de 2020.</w:t>
            </w:r>
          </w:p>
        </w:tc>
      </w:tr>
      <w:tr w:rsidR="006D6628" w:rsidRPr="002C1A2C" w14:paraId="38497DD5" w14:textId="5436B387" w:rsidTr="7DE461B5">
        <w:trPr>
          <w:trHeight w:val="300"/>
        </w:trPr>
        <w:tc>
          <w:tcPr>
            <w:tcW w:w="1250" w:type="pct"/>
          </w:tcPr>
          <w:p w14:paraId="42FE426E" w14:textId="2BD9B7D7" w:rsidR="006D6628" w:rsidRPr="0085363D" w:rsidRDefault="006D6628" w:rsidP="006D6628">
            <w:pPr>
              <w:spacing w:line="360" w:lineRule="auto"/>
              <w:jc w:val="center"/>
              <w:rPr>
                <w:rFonts w:asciiTheme="majorHAnsi" w:hAnsiTheme="majorHAnsi" w:cstheme="majorHAnsi"/>
                <w:b/>
                <w:bCs/>
                <w:sz w:val="24"/>
                <w:szCs w:val="24"/>
              </w:rPr>
            </w:pPr>
            <w:r w:rsidRPr="0085363D">
              <w:rPr>
                <w:rFonts w:asciiTheme="majorHAnsi" w:hAnsiTheme="majorHAnsi" w:cstheme="majorHAnsi"/>
                <w:b/>
                <w:bCs/>
                <w:sz w:val="24"/>
                <w:szCs w:val="24"/>
              </w:rPr>
              <w:t>Subseção VI</w:t>
            </w:r>
          </w:p>
          <w:p w14:paraId="402F398D" w14:textId="5B72178C" w:rsidR="006D6628" w:rsidRPr="0085363D" w:rsidRDefault="006D6628" w:rsidP="006D6628">
            <w:pPr>
              <w:spacing w:line="360" w:lineRule="auto"/>
              <w:jc w:val="center"/>
              <w:rPr>
                <w:rFonts w:asciiTheme="majorHAnsi" w:hAnsiTheme="majorHAnsi" w:cstheme="majorHAnsi"/>
                <w:b/>
                <w:bCs/>
                <w:sz w:val="24"/>
                <w:szCs w:val="24"/>
              </w:rPr>
            </w:pPr>
            <w:r w:rsidRPr="0085363D">
              <w:rPr>
                <w:rFonts w:asciiTheme="majorHAnsi" w:hAnsiTheme="majorHAnsi" w:cstheme="majorHAnsi"/>
                <w:b/>
                <w:bCs/>
                <w:sz w:val="24"/>
                <w:szCs w:val="24"/>
              </w:rPr>
              <w:t>Monitoramento de Prestador de Serviço de Administração de Carteiras de Valores Mobiliários</w:t>
            </w:r>
          </w:p>
        </w:tc>
        <w:tc>
          <w:tcPr>
            <w:tcW w:w="1250" w:type="pct"/>
          </w:tcPr>
          <w:p w14:paraId="1B5132DE" w14:textId="5A6E8274" w:rsidR="006D6628" w:rsidRPr="0085363D" w:rsidRDefault="006D6628" w:rsidP="006D6628">
            <w:pPr>
              <w:spacing w:line="360" w:lineRule="auto"/>
              <w:jc w:val="center"/>
              <w:rPr>
                <w:rFonts w:asciiTheme="majorHAnsi" w:hAnsiTheme="majorHAnsi" w:cstheme="majorHAnsi"/>
                <w:b/>
                <w:bCs/>
                <w:sz w:val="24"/>
                <w:szCs w:val="24"/>
              </w:rPr>
            </w:pPr>
            <w:r w:rsidRPr="0085363D">
              <w:rPr>
                <w:rFonts w:asciiTheme="majorHAnsi" w:hAnsiTheme="majorHAnsi" w:cstheme="majorHAnsi"/>
                <w:b/>
                <w:bCs/>
                <w:sz w:val="24"/>
                <w:szCs w:val="24"/>
              </w:rPr>
              <w:t>Subseção VI</w:t>
            </w:r>
          </w:p>
          <w:p w14:paraId="4FBB6E94" w14:textId="5BA9C757" w:rsidR="006D6628" w:rsidRPr="0085363D" w:rsidRDefault="006D6628" w:rsidP="006D6628">
            <w:pPr>
              <w:spacing w:line="360" w:lineRule="auto"/>
              <w:jc w:val="center"/>
              <w:rPr>
                <w:rFonts w:asciiTheme="majorHAnsi" w:hAnsiTheme="majorHAnsi" w:cstheme="majorHAnsi"/>
                <w:b/>
                <w:bCs/>
                <w:sz w:val="24"/>
                <w:szCs w:val="24"/>
              </w:rPr>
            </w:pPr>
            <w:r w:rsidRPr="0085363D">
              <w:rPr>
                <w:rFonts w:asciiTheme="majorHAnsi" w:hAnsiTheme="majorHAnsi" w:cstheme="majorHAnsi"/>
                <w:b/>
                <w:bCs/>
                <w:sz w:val="24"/>
                <w:szCs w:val="24"/>
              </w:rPr>
              <w:t>Monitoramento de Prestador de Serviço de Administração de Carteiras de Valores Mobiliários</w:t>
            </w:r>
          </w:p>
        </w:tc>
        <w:tc>
          <w:tcPr>
            <w:tcW w:w="1250" w:type="pct"/>
          </w:tcPr>
          <w:p w14:paraId="648E0B04" w14:textId="4BE7BEE3"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7894A5E7" w14:textId="6C71E398"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14EC3F2C" w14:textId="3266F01A" w:rsidTr="7DE461B5">
        <w:trPr>
          <w:trHeight w:val="300"/>
        </w:trPr>
        <w:tc>
          <w:tcPr>
            <w:tcW w:w="1250" w:type="pct"/>
          </w:tcPr>
          <w:p w14:paraId="0528BE3A" w14:textId="3DC07663"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226.  No monitoramento de fundo de investimento, a EFPC deve, no mínimo:</w:t>
            </w:r>
          </w:p>
        </w:tc>
        <w:tc>
          <w:tcPr>
            <w:tcW w:w="1250" w:type="pct"/>
          </w:tcPr>
          <w:p w14:paraId="01D8B8E0" w14:textId="0EA7B308"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226.  </w:t>
            </w:r>
            <w:r>
              <w:rPr>
                <w:rFonts w:asciiTheme="majorHAnsi" w:hAnsiTheme="majorHAnsi" w:cstheme="majorHAnsi"/>
                <w:sz w:val="24"/>
                <w:szCs w:val="24"/>
              </w:rPr>
              <w:t xml:space="preserve"> (...)</w:t>
            </w:r>
          </w:p>
        </w:tc>
        <w:tc>
          <w:tcPr>
            <w:tcW w:w="1250" w:type="pct"/>
          </w:tcPr>
          <w:p w14:paraId="72392278" w14:textId="57BEC663"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2A0ED9ED" w14:textId="6C5B4112" w:rsidR="006D6628" w:rsidRPr="002C1A2C" w:rsidRDefault="006D6628" w:rsidP="006D6628">
            <w:pPr>
              <w:spacing w:line="360" w:lineRule="auto"/>
              <w:jc w:val="both"/>
              <w:rPr>
                <w:rFonts w:asciiTheme="majorHAnsi" w:hAnsiTheme="majorHAnsi" w:cstheme="majorHAnsi"/>
                <w:sz w:val="24"/>
                <w:szCs w:val="24"/>
              </w:rPr>
            </w:pPr>
          </w:p>
        </w:tc>
      </w:tr>
      <w:tr w:rsidR="006D6628" w:rsidRPr="002C1A2C" w14:paraId="7FC0B6CC" w14:textId="229BE0A3" w:rsidTr="7DE461B5">
        <w:trPr>
          <w:trHeight w:val="300"/>
        </w:trPr>
        <w:tc>
          <w:tcPr>
            <w:tcW w:w="1250" w:type="pct"/>
          </w:tcPr>
          <w:p w14:paraId="01BAB1FF" w14:textId="162BEF0B"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II - monitorar o risco e o retorno esperado dos investimentos, considerando as taxas de administração, gestão e performance efetivas dos fundos, principalmente daqueles que possam adquirir cotas de outros fundos de investimento;</w:t>
            </w:r>
          </w:p>
        </w:tc>
        <w:tc>
          <w:tcPr>
            <w:tcW w:w="1250" w:type="pct"/>
          </w:tcPr>
          <w:p w14:paraId="2E118B0F" w14:textId="70524BC1"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 - monitorar o risco e o retorno esperado dos investimentos, considerando as taxas de administração, </w:t>
            </w:r>
            <w:r w:rsidRPr="002C1A2C">
              <w:rPr>
                <w:rFonts w:asciiTheme="majorHAnsi" w:hAnsiTheme="majorHAnsi" w:cstheme="majorHAnsi"/>
                <w:color w:val="0070C0"/>
                <w:sz w:val="24"/>
                <w:szCs w:val="24"/>
              </w:rPr>
              <w:t xml:space="preserve">distribuição, </w:t>
            </w:r>
            <w:r w:rsidRPr="002C1A2C">
              <w:rPr>
                <w:rFonts w:asciiTheme="majorHAnsi" w:hAnsiTheme="majorHAnsi" w:cstheme="majorHAnsi"/>
                <w:sz w:val="24"/>
                <w:szCs w:val="24"/>
              </w:rPr>
              <w:t>gestão e performance efetivas dos fundos, principalmente daqueles que possam adquirir cotas de outros fundos de investimento;</w:t>
            </w:r>
          </w:p>
        </w:tc>
        <w:tc>
          <w:tcPr>
            <w:tcW w:w="1250" w:type="pct"/>
          </w:tcPr>
          <w:p w14:paraId="72108B66" w14:textId="4CCDB3C2"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Inserção da necessidade de consideração também da taxa de distribuição.</w:t>
            </w:r>
          </w:p>
        </w:tc>
        <w:tc>
          <w:tcPr>
            <w:tcW w:w="1250" w:type="pct"/>
          </w:tcPr>
          <w:p w14:paraId="2EB66942" w14:textId="5EB34905" w:rsidR="006D6628" w:rsidRPr="002C1A2C" w:rsidRDefault="008B0A78" w:rsidP="006D6628">
            <w:pPr>
              <w:spacing w:line="360" w:lineRule="auto"/>
              <w:jc w:val="both"/>
              <w:rPr>
                <w:rFonts w:asciiTheme="majorHAnsi" w:hAnsiTheme="majorHAnsi" w:cstheme="majorHAnsi"/>
                <w:sz w:val="24"/>
                <w:szCs w:val="24"/>
              </w:rPr>
            </w:pPr>
            <w:r>
              <w:rPr>
                <w:rFonts w:asciiTheme="majorHAnsi" w:eastAsia="Calibri" w:hAnsiTheme="majorHAnsi" w:cstheme="majorHAnsi"/>
                <w:color w:val="000000" w:themeColor="text1"/>
                <w:sz w:val="24"/>
                <w:szCs w:val="24"/>
              </w:rPr>
              <w:t>Inciso IV do art. 4º do Decreto nº 10.411, de 2020</w:t>
            </w:r>
            <w:r w:rsidR="00AD1033">
              <w:rPr>
                <w:rFonts w:asciiTheme="majorHAnsi" w:eastAsia="Calibri" w:hAnsiTheme="majorHAnsi" w:cstheme="majorHAnsi"/>
                <w:color w:val="000000" w:themeColor="text1"/>
                <w:sz w:val="24"/>
                <w:szCs w:val="24"/>
              </w:rPr>
              <w:t xml:space="preserve"> do Decreto nº 10.411, de 2020</w:t>
            </w:r>
            <w:r w:rsidR="00AD1033" w:rsidRPr="002C1A2C">
              <w:rPr>
                <w:rFonts w:asciiTheme="majorHAnsi" w:eastAsia="Calibri" w:hAnsiTheme="majorHAnsi" w:cstheme="majorHAnsi"/>
                <w:color w:val="000000" w:themeColor="text1"/>
                <w:sz w:val="24"/>
                <w:szCs w:val="24"/>
              </w:rPr>
              <w:t xml:space="preserve"> - </w:t>
            </w:r>
            <w:r w:rsidR="00AD1033" w:rsidRPr="002C1A2C">
              <w:rPr>
                <w:rFonts w:asciiTheme="majorHAnsi" w:eastAsia="Calibri" w:hAnsiTheme="majorHAnsi" w:cstheme="majorHAnsi"/>
                <w:sz w:val="24"/>
                <w:szCs w:val="24"/>
              </w:rPr>
              <w:t>Ajuste redacional para contemplar taxa de distribuição.</w:t>
            </w:r>
          </w:p>
        </w:tc>
      </w:tr>
      <w:tr w:rsidR="006D6628" w:rsidRPr="002C1A2C" w14:paraId="73E5694B" w14:textId="71435C29" w:rsidTr="7DE461B5">
        <w:trPr>
          <w:trHeight w:val="300"/>
        </w:trPr>
        <w:tc>
          <w:tcPr>
            <w:tcW w:w="1250" w:type="pct"/>
          </w:tcPr>
          <w:p w14:paraId="4CD2CB16" w14:textId="38B3B8AF" w:rsidR="006D6628" w:rsidRPr="002C1A2C" w:rsidRDefault="006D6628"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III - analisar os relatórios divulgados pelo fundo de </w:t>
            </w:r>
            <w:r w:rsidRPr="002C1A2C">
              <w:rPr>
                <w:rFonts w:asciiTheme="majorHAnsi" w:hAnsiTheme="majorHAnsi" w:cstheme="majorHAnsi"/>
                <w:sz w:val="24"/>
                <w:szCs w:val="24"/>
              </w:rPr>
              <w:lastRenderedPageBreak/>
              <w:t>investimento, observando a ocorrência de fatos relevantes; e</w:t>
            </w:r>
          </w:p>
        </w:tc>
        <w:tc>
          <w:tcPr>
            <w:tcW w:w="1250" w:type="pct"/>
          </w:tcPr>
          <w:p w14:paraId="1F319BEF" w14:textId="0E4F59CC" w:rsidR="006D6628" w:rsidRPr="002C1A2C" w:rsidRDefault="00AD1033" w:rsidP="006D6628">
            <w:pPr>
              <w:spacing w:line="360" w:lineRule="auto"/>
              <w:jc w:val="both"/>
              <w:rPr>
                <w:rFonts w:asciiTheme="majorHAnsi" w:hAnsiTheme="majorHAnsi" w:cstheme="majorHAnsi"/>
                <w:sz w:val="24"/>
                <w:szCs w:val="24"/>
              </w:rPr>
            </w:pPr>
            <w:r>
              <w:rPr>
                <w:rFonts w:asciiTheme="majorHAnsi" w:hAnsiTheme="majorHAnsi" w:cstheme="majorHAnsi"/>
                <w:sz w:val="24"/>
                <w:szCs w:val="24"/>
              </w:rPr>
              <w:lastRenderedPageBreak/>
              <w:t>(...)</w:t>
            </w:r>
          </w:p>
        </w:tc>
        <w:tc>
          <w:tcPr>
            <w:tcW w:w="1250" w:type="pct"/>
          </w:tcPr>
          <w:p w14:paraId="4D37E1FC" w14:textId="0A75F39E" w:rsidR="006D6628" w:rsidRPr="002C1A2C" w:rsidRDefault="006D6628" w:rsidP="006D6628">
            <w:pPr>
              <w:spacing w:line="360" w:lineRule="auto"/>
              <w:jc w:val="both"/>
              <w:rPr>
                <w:rFonts w:asciiTheme="majorHAnsi" w:hAnsiTheme="majorHAnsi" w:cstheme="majorHAnsi"/>
                <w:sz w:val="24"/>
                <w:szCs w:val="24"/>
              </w:rPr>
            </w:pPr>
          </w:p>
        </w:tc>
        <w:tc>
          <w:tcPr>
            <w:tcW w:w="1250" w:type="pct"/>
          </w:tcPr>
          <w:p w14:paraId="342EADA1" w14:textId="780B4724" w:rsidR="006D6628" w:rsidRPr="002C1A2C" w:rsidRDefault="006D6628" w:rsidP="006D6628">
            <w:pPr>
              <w:spacing w:line="360" w:lineRule="auto"/>
              <w:jc w:val="both"/>
              <w:rPr>
                <w:rFonts w:asciiTheme="majorHAnsi" w:hAnsiTheme="majorHAnsi" w:cstheme="majorHAnsi"/>
                <w:sz w:val="24"/>
                <w:szCs w:val="24"/>
              </w:rPr>
            </w:pPr>
          </w:p>
        </w:tc>
      </w:tr>
      <w:tr w:rsidR="000C3567" w:rsidRPr="002C1A2C" w14:paraId="69B43430" w14:textId="7EE935EE" w:rsidTr="7DE461B5">
        <w:trPr>
          <w:trHeight w:val="300"/>
        </w:trPr>
        <w:tc>
          <w:tcPr>
            <w:tcW w:w="1250" w:type="pct"/>
          </w:tcPr>
          <w:p w14:paraId="329B4F33" w14:textId="7044F59B"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364.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1250" w:type="pct"/>
          </w:tcPr>
          <w:p w14:paraId="5D75E30D" w14:textId="1316C6B0"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364.  </w:t>
            </w:r>
            <w:r>
              <w:rPr>
                <w:rFonts w:asciiTheme="majorHAnsi" w:hAnsiTheme="majorHAnsi" w:cstheme="majorHAnsi"/>
                <w:sz w:val="24"/>
                <w:szCs w:val="24"/>
              </w:rPr>
              <w:t>(...)</w:t>
            </w:r>
          </w:p>
        </w:tc>
        <w:tc>
          <w:tcPr>
            <w:tcW w:w="1250" w:type="pct"/>
          </w:tcPr>
          <w:p w14:paraId="0E9448A9" w14:textId="69218BE0" w:rsidR="000C3567" w:rsidRPr="002C1A2C" w:rsidRDefault="000C3567" w:rsidP="006D6628">
            <w:pPr>
              <w:spacing w:line="360" w:lineRule="auto"/>
              <w:jc w:val="both"/>
              <w:rPr>
                <w:rFonts w:asciiTheme="majorHAnsi" w:hAnsiTheme="majorHAnsi" w:cstheme="majorHAnsi"/>
                <w:sz w:val="24"/>
                <w:szCs w:val="24"/>
              </w:rPr>
            </w:pPr>
          </w:p>
        </w:tc>
        <w:tc>
          <w:tcPr>
            <w:tcW w:w="1250" w:type="pct"/>
          </w:tcPr>
          <w:p w14:paraId="1F937057" w14:textId="77777777" w:rsidR="000C3567" w:rsidRPr="002C1A2C" w:rsidRDefault="000C3567" w:rsidP="006D6628">
            <w:pPr>
              <w:spacing w:line="360" w:lineRule="auto"/>
              <w:jc w:val="both"/>
              <w:rPr>
                <w:rFonts w:asciiTheme="majorHAnsi" w:hAnsiTheme="majorHAnsi" w:cstheme="majorHAnsi"/>
                <w:sz w:val="24"/>
                <w:szCs w:val="24"/>
              </w:rPr>
            </w:pPr>
          </w:p>
        </w:tc>
      </w:tr>
      <w:tr w:rsidR="000C3567" w:rsidRPr="002C1A2C" w14:paraId="2B479C5B" w14:textId="0A147911" w:rsidTr="7DE461B5">
        <w:trPr>
          <w:trHeight w:val="300"/>
        </w:trPr>
        <w:tc>
          <w:tcPr>
            <w:tcW w:w="1250" w:type="pct"/>
          </w:tcPr>
          <w:p w14:paraId="4E8B229A" w14:textId="307DD2B0"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1º  O envio a que se refere o caput inclui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1250" w:type="pct"/>
          </w:tcPr>
          <w:p w14:paraId="41430980" w14:textId="78BEDD19"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1º  O envio a que se refere o caput inclui as informações de </w:t>
            </w:r>
            <w:r w:rsidRPr="002C1A2C">
              <w:rPr>
                <w:rFonts w:asciiTheme="majorHAnsi" w:hAnsiTheme="majorHAnsi" w:cstheme="majorHAnsi"/>
                <w:strike/>
                <w:color w:val="EE0000"/>
                <w:sz w:val="24"/>
                <w:szCs w:val="24"/>
              </w:rPr>
              <w:t>todos os</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todas as classes de cotas de </w:t>
            </w:r>
            <w:r w:rsidRPr="002C1A2C">
              <w:rPr>
                <w:rFonts w:asciiTheme="majorHAnsi" w:hAnsiTheme="majorHAnsi" w:cstheme="majorHAnsi"/>
                <w:sz w:val="24"/>
                <w:szCs w:val="24"/>
              </w:rPr>
              <w:t xml:space="preserve">fundos de investimento </w:t>
            </w:r>
            <w:r w:rsidRPr="002C1A2C">
              <w:rPr>
                <w:rFonts w:asciiTheme="majorHAnsi" w:hAnsiTheme="majorHAnsi" w:cstheme="majorHAnsi"/>
                <w:strike/>
                <w:color w:val="EE0000"/>
                <w:sz w:val="24"/>
                <w:szCs w:val="24"/>
              </w:rPr>
              <w:t>e fundos de investimento em cotas de fundos de investimento</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 xml:space="preserve">constituídos no Brasil dos quais a EFPC seja cotista, direta ou indiretamente, </w:t>
            </w:r>
            <w:r w:rsidRPr="002C1A2C">
              <w:rPr>
                <w:rFonts w:asciiTheme="majorHAnsi" w:hAnsiTheme="majorHAnsi" w:cstheme="majorHAnsi"/>
                <w:color w:val="0070C0"/>
                <w:sz w:val="24"/>
                <w:szCs w:val="24"/>
              </w:rPr>
              <w:t>independentemente do nível na cadeia de investimentos</w:t>
            </w:r>
            <w:r w:rsidRPr="002C1A2C">
              <w:rPr>
                <w:rFonts w:asciiTheme="majorHAnsi" w:hAnsiTheme="majorHAnsi" w:cstheme="majorHAnsi"/>
                <w:sz w:val="24"/>
                <w:szCs w:val="24"/>
              </w:rPr>
              <w:t xml:space="preserve">, </w:t>
            </w:r>
            <w:r w:rsidRPr="002C1A2C">
              <w:rPr>
                <w:rFonts w:asciiTheme="majorHAnsi" w:hAnsiTheme="majorHAnsi" w:cstheme="majorHAnsi"/>
                <w:sz w:val="24"/>
                <w:szCs w:val="24"/>
              </w:rPr>
              <w:lastRenderedPageBreak/>
              <w:t>considerando a regulamentação da Comissão de Valores Mobiliários.</w:t>
            </w:r>
          </w:p>
        </w:tc>
        <w:tc>
          <w:tcPr>
            <w:tcW w:w="1250" w:type="pct"/>
          </w:tcPr>
          <w:p w14:paraId="19884778" w14:textId="448738CE"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Proposta de aprimoramento redacional sem alterações materiais em relação à redação anterior. Apenas é feita a atualização da nomenclatura para atender a CVM 175 e clarificação da redação, para deixar claro que se incluem informações de todos os níveis, tendo em vista as corriqueiras dúvidas que chegam sobre o assunto. </w:t>
            </w:r>
          </w:p>
          <w:p w14:paraId="43D05B33" w14:textId="3F155D31" w:rsidR="000C3567" w:rsidRPr="002C1A2C" w:rsidRDefault="000C3567" w:rsidP="006D6628">
            <w:pPr>
              <w:spacing w:line="360" w:lineRule="auto"/>
              <w:jc w:val="both"/>
              <w:rPr>
                <w:rFonts w:asciiTheme="majorHAnsi" w:hAnsiTheme="majorHAnsi" w:cstheme="majorHAnsi"/>
                <w:sz w:val="24"/>
                <w:szCs w:val="24"/>
              </w:rPr>
            </w:pPr>
          </w:p>
        </w:tc>
        <w:tc>
          <w:tcPr>
            <w:tcW w:w="1250" w:type="pct"/>
          </w:tcPr>
          <w:p w14:paraId="5CEA1243" w14:textId="77777777"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Alínea “a” do Inciso V do art. 4º do Decreto nº 10.411, de 2020.</w:t>
            </w:r>
          </w:p>
          <w:p w14:paraId="04D576C9" w14:textId="77777777" w:rsidR="000C3567" w:rsidRPr="002C1A2C" w:rsidRDefault="000C3567" w:rsidP="006D6628">
            <w:pPr>
              <w:spacing w:line="360" w:lineRule="auto"/>
              <w:jc w:val="both"/>
              <w:rPr>
                <w:rFonts w:asciiTheme="majorHAnsi" w:hAnsiTheme="majorHAnsi" w:cstheme="majorHAnsi"/>
                <w:sz w:val="24"/>
                <w:szCs w:val="24"/>
              </w:rPr>
            </w:pPr>
          </w:p>
        </w:tc>
      </w:tr>
      <w:tr w:rsidR="000C3567" w:rsidRPr="002C1A2C" w14:paraId="399B9C29" w14:textId="7B875744" w:rsidTr="7DE461B5">
        <w:trPr>
          <w:trHeight w:val="300"/>
        </w:trPr>
        <w:tc>
          <w:tcPr>
            <w:tcW w:w="1250" w:type="pct"/>
          </w:tcPr>
          <w:p w14:paraId="34717F48" w14:textId="0DCA6EEB"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365.  A EFPC deve elaborar o demonstrativo mensal de investimentos dos planos por ela administrados, inclusive do programa de gestão administrativa, e enviar à Previc até o último dia do mês subsequente ao trimestre de referência.</w:t>
            </w:r>
          </w:p>
        </w:tc>
        <w:tc>
          <w:tcPr>
            <w:tcW w:w="1250" w:type="pct"/>
          </w:tcPr>
          <w:p w14:paraId="1BC256F3" w14:textId="7A51DB2E" w:rsidR="000C3567" w:rsidRPr="002C1A2C" w:rsidRDefault="000C356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365.  </w:t>
            </w:r>
            <w:r>
              <w:rPr>
                <w:rFonts w:asciiTheme="majorHAnsi" w:hAnsiTheme="majorHAnsi" w:cstheme="majorHAnsi"/>
                <w:sz w:val="24"/>
                <w:szCs w:val="24"/>
              </w:rPr>
              <w:t>(...)</w:t>
            </w:r>
          </w:p>
        </w:tc>
        <w:tc>
          <w:tcPr>
            <w:tcW w:w="1250" w:type="pct"/>
          </w:tcPr>
          <w:p w14:paraId="098E77EE" w14:textId="34439AE1" w:rsidR="000C3567" w:rsidRPr="002C1A2C" w:rsidRDefault="000C3567" w:rsidP="006D6628">
            <w:pPr>
              <w:spacing w:line="360" w:lineRule="auto"/>
              <w:jc w:val="both"/>
              <w:rPr>
                <w:rFonts w:asciiTheme="majorHAnsi" w:hAnsiTheme="majorHAnsi" w:cstheme="majorHAnsi"/>
                <w:sz w:val="24"/>
                <w:szCs w:val="24"/>
              </w:rPr>
            </w:pPr>
          </w:p>
        </w:tc>
        <w:tc>
          <w:tcPr>
            <w:tcW w:w="1250" w:type="pct"/>
          </w:tcPr>
          <w:p w14:paraId="10B3C9B7" w14:textId="77777777" w:rsidR="000C3567" w:rsidRPr="002C1A2C" w:rsidRDefault="000C3567" w:rsidP="006D6628">
            <w:pPr>
              <w:spacing w:line="360" w:lineRule="auto"/>
              <w:jc w:val="both"/>
              <w:rPr>
                <w:rFonts w:asciiTheme="majorHAnsi" w:hAnsiTheme="majorHAnsi" w:cstheme="majorHAnsi"/>
                <w:sz w:val="24"/>
                <w:szCs w:val="24"/>
              </w:rPr>
            </w:pPr>
          </w:p>
        </w:tc>
      </w:tr>
      <w:tr w:rsidR="009D6D27" w:rsidRPr="002C1A2C" w14:paraId="61543101" w14:textId="1A42CA0C" w:rsidTr="7DE461B5">
        <w:trPr>
          <w:trHeight w:val="300"/>
        </w:trPr>
        <w:tc>
          <w:tcPr>
            <w:tcW w:w="1250" w:type="pct"/>
          </w:tcPr>
          <w:p w14:paraId="2A711DA0" w14:textId="7399DDEE" w:rsidR="009D6D27" w:rsidRPr="002C1A2C" w:rsidRDefault="009D6D2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1250" w:type="pct"/>
          </w:tcPr>
          <w:p w14:paraId="21C29B4D" w14:textId="13F69D05" w:rsidR="009D6D27" w:rsidRPr="002C1A2C" w:rsidRDefault="009D6D2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1º  O demonstrativo de investimentos é composto por todos os ativos pertencentes à carteira própria, à carteira administrada </w:t>
            </w:r>
            <w:r w:rsidRPr="002C1A2C">
              <w:rPr>
                <w:rFonts w:asciiTheme="majorHAnsi" w:hAnsiTheme="majorHAnsi" w:cstheme="majorHAnsi"/>
                <w:color w:val="0070C0"/>
                <w:sz w:val="24"/>
                <w:szCs w:val="24"/>
              </w:rPr>
              <w:t xml:space="preserve">e às classes de cotas de </w:t>
            </w:r>
            <w:r w:rsidRPr="002C1A2C">
              <w:rPr>
                <w:rFonts w:asciiTheme="majorHAnsi" w:hAnsiTheme="majorHAnsi" w:cstheme="majorHAnsi"/>
                <w:strike/>
                <w:color w:val="EE0000"/>
                <w:sz w:val="24"/>
                <w:szCs w:val="24"/>
              </w:rPr>
              <w:t>aos</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 xml:space="preserve">fundos de </w:t>
            </w:r>
            <w:proofErr w:type="spellStart"/>
            <w:r w:rsidRPr="002C1A2C">
              <w:rPr>
                <w:rFonts w:asciiTheme="majorHAnsi" w:hAnsiTheme="majorHAnsi" w:cstheme="majorHAnsi"/>
                <w:sz w:val="24"/>
                <w:szCs w:val="24"/>
              </w:rPr>
              <w:t>investimento</w:t>
            </w:r>
            <w:r w:rsidRPr="002C1A2C">
              <w:rPr>
                <w:rFonts w:asciiTheme="majorHAnsi" w:hAnsiTheme="majorHAnsi" w:cstheme="majorHAnsi"/>
                <w:strike/>
                <w:color w:val="EE0000"/>
                <w:sz w:val="24"/>
                <w:szCs w:val="24"/>
              </w:rPr>
              <w:t>e</w:t>
            </w:r>
            <w:proofErr w:type="spellEnd"/>
            <w:r w:rsidRPr="002C1A2C">
              <w:rPr>
                <w:rFonts w:asciiTheme="majorHAnsi" w:hAnsiTheme="majorHAnsi" w:cstheme="majorHAnsi"/>
                <w:strike/>
                <w:color w:val="EE0000"/>
                <w:sz w:val="24"/>
                <w:szCs w:val="24"/>
              </w:rPr>
              <w:t xml:space="preserve"> aos fundos de investimento em cotas de fundos de investimento</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 xml:space="preserve">dos quais a EFPC seja direta ou indiretamente cotista, </w:t>
            </w:r>
            <w:r w:rsidRPr="002C1A2C">
              <w:rPr>
                <w:rFonts w:asciiTheme="majorHAnsi" w:hAnsiTheme="majorHAnsi" w:cstheme="majorHAnsi"/>
                <w:color w:val="0070C0"/>
                <w:sz w:val="24"/>
                <w:szCs w:val="24"/>
              </w:rPr>
              <w:t>independentemente do nível na cadeia de investimentos.</w:t>
            </w:r>
          </w:p>
        </w:tc>
        <w:tc>
          <w:tcPr>
            <w:tcW w:w="1250" w:type="pct"/>
          </w:tcPr>
          <w:p w14:paraId="41CC9A9C" w14:textId="7E895D0E" w:rsidR="009D6D27" w:rsidRPr="002C1A2C" w:rsidRDefault="009D6D2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alterações materiais em relação à redação anterior. Apenas atualização da nomenclatura para atender a CVM 175 e clarificação da redação, para deixar claro que se incluem informações de todos os níveis, tendo em vista as corriqueiras dúvidas que chegam sobre o assunto.</w:t>
            </w:r>
          </w:p>
        </w:tc>
        <w:tc>
          <w:tcPr>
            <w:tcW w:w="1250" w:type="pct"/>
          </w:tcPr>
          <w:p w14:paraId="483E39A8" w14:textId="77777777" w:rsidR="009D6D27" w:rsidRPr="002C1A2C" w:rsidRDefault="009D6D27"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Alínea “a” do Inciso V do art. 4º do Decreto nº 10.411, de 2020.</w:t>
            </w:r>
          </w:p>
          <w:p w14:paraId="2AFBA484" w14:textId="77777777" w:rsidR="009D6D27" w:rsidRPr="002C1A2C" w:rsidRDefault="009D6D27" w:rsidP="006D6628">
            <w:pPr>
              <w:spacing w:line="360" w:lineRule="auto"/>
              <w:jc w:val="both"/>
              <w:rPr>
                <w:rFonts w:asciiTheme="majorHAnsi" w:hAnsiTheme="majorHAnsi" w:cstheme="majorHAnsi"/>
                <w:sz w:val="24"/>
                <w:szCs w:val="24"/>
              </w:rPr>
            </w:pPr>
          </w:p>
        </w:tc>
      </w:tr>
      <w:tr w:rsidR="002F0988" w:rsidRPr="002F0988" w14:paraId="24F2DC35" w14:textId="77777777" w:rsidTr="7DE461B5">
        <w:trPr>
          <w:trHeight w:val="300"/>
        </w:trPr>
        <w:tc>
          <w:tcPr>
            <w:tcW w:w="1250" w:type="pct"/>
          </w:tcPr>
          <w:p w14:paraId="49052BC5" w14:textId="77777777" w:rsidR="002F0988" w:rsidRPr="002F0988" w:rsidRDefault="002F0988" w:rsidP="006D6628">
            <w:pPr>
              <w:spacing w:line="360" w:lineRule="auto"/>
              <w:jc w:val="both"/>
              <w:rPr>
                <w:rFonts w:asciiTheme="majorHAnsi" w:hAnsiTheme="majorHAnsi" w:cstheme="majorHAnsi"/>
                <w:sz w:val="24"/>
                <w:szCs w:val="24"/>
              </w:rPr>
            </w:pPr>
          </w:p>
        </w:tc>
        <w:tc>
          <w:tcPr>
            <w:tcW w:w="1250" w:type="pct"/>
          </w:tcPr>
          <w:p w14:paraId="666D134F" w14:textId="14CC8CAD" w:rsidR="002F0988" w:rsidRPr="002F0988" w:rsidRDefault="002F0988" w:rsidP="006D6628">
            <w:pPr>
              <w:spacing w:line="360" w:lineRule="auto"/>
              <w:jc w:val="both"/>
              <w:rPr>
                <w:rFonts w:asciiTheme="majorHAnsi" w:hAnsiTheme="majorHAnsi" w:cstheme="majorHAnsi"/>
                <w:sz w:val="24"/>
                <w:szCs w:val="24"/>
              </w:rPr>
            </w:pPr>
            <w:r w:rsidRPr="002F0988">
              <w:rPr>
                <w:rFonts w:asciiTheme="majorHAnsi" w:hAnsiTheme="majorHAnsi" w:cstheme="majorHAnsi"/>
                <w:sz w:val="24"/>
                <w:szCs w:val="24"/>
              </w:rPr>
              <w:t>(...)</w:t>
            </w:r>
          </w:p>
        </w:tc>
        <w:tc>
          <w:tcPr>
            <w:tcW w:w="1250" w:type="pct"/>
          </w:tcPr>
          <w:p w14:paraId="018AA960" w14:textId="77777777" w:rsidR="002F0988" w:rsidRPr="002F0988" w:rsidRDefault="002F0988" w:rsidP="006D6628">
            <w:pPr>
              <w:spacing w:line="360" w:lineRule="auto"/>
              <w:jc w:val="both"/>
              <w:rPr>
                <w:rFonts w:asciiTheme="majorHAnsi" w:hAnsiTheme="majorHAnsi" w:cstheme="majorHAnsi"/>
                <w:sz w:val="24"/>
                <w:szCs w:val="24"/>
              </w:rPr>
            </w:pPr>
          </w:p>
        </w:tc>
        <w:tc>
          <w:tcPr>
            <w:tcW w:w="1250" w:type="pct"/>
          </w:tcPr>
          <w:p w14:paraId="3F907C07" w14:textId="77777777" w:rsidR="002F0988" w:rsidRPr="002F0988" w:rsidRDefault="002F0988" w:rsidP="006D6628">
            <w:pPr>
              <w:spacing w:line="360" w:lineRule="auto"/>
              <w:jc w:val="both"/>
              <w:rPr>
                <w:rFonts w:asciiTheme="majorHAnsi" w:eastAsia="Calibri" w:hAnsiTheme="majorHAnsi" w:cstheme="majorHAnsi"/>
                <w:sz w:val="24"/>
                <w:szCs w:val="24"/>
              </w:rPr>
            </w:pPr>
          </w:p>
        </w:tc>
      </w:tr>
      <w:tr w:rsidR="00C52470" w:rsidRPr="002C1A2C" w14:paraId="46CE03AC" w14:textId="43DC3547" w:rsidTr="7DE461B5">
        <w:trPr>
          <w:trHeight w:val="300"/>
        </w:trPr>
        <w:tc>
          <w:tcPr>
            <w:tcW w:w="1250" w:type="pct"/>
          </w:tcPr>
          <w:p w14:paraId="4CD0AABE"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23B79E0B" w14:textId="00FF6082"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w:t>
            </w:r>
            <w:r w:rsidR="002F0988">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 xml:space="preserve">4º </w:t>
            </w:r>
            <w:r w:rsidR="002F0988">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As cotas de classe de fundo de investimento que se utilizem da faculdade de ocultação temporária de ativos financeiros, podem observar os prazos da Comissão de Valores Mobiliários para realização do envio das informações à Previc em relação ao conteúdo ocultado.</w:t>
            </w:r>
          </w:p>
          <w:p w14:paraId="7C3318D5"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4F4C8D1A" w14:textId="0582574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Considerando a faculdade de ocultação de ativos de gestores de fundos terceirizados com base nas regras da CVM, é comum que as EFPC enfrentem dificuldades na prestação tempestiva de informações à Previc. Esta regra busca preservar as EFPC no sentido de não serem obrigadas a fornecer a à Previc informações que ainda não tiveram acesso porque o gestor terceirizado do fundo investido pela EFPC optou por ocultar a carteira. Assim, as EFPC passam a ser obrigadas a reportar as informações ocultadas, apenas quando tiverem acesso a elas.</w:t>
            </w:r>
          </w:p>
        </w:tc>
        <w:tc>
          <w:tcPr>
            <w:tcW w:w="1250" w:type="pct"/>
          </w:tcPr>
          <w:p w14:paraId="258A325B" w14:textId="6CB020A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color w:val="000000" w:themeColor="text1"/>
                <w:sz w:val="24"/>
                <w:szCs w:val="24"/>
              </w:rPr>
              <w:t>Inciso VII do art. 4º - A medida visa reduzir custos de observância da EFPC, a qual poderá deixar de enviar dados à Previc, se assim o fizer para a CVM.</w:t>
            </w:r>
          </w:p>
        </w:tc>
      </w:tr>
      <w:tr w:rsidR="00C52470" w:rsidRPr="002C1A2C" w14:paraId="7B01CB99" w14:textId="3C56C84E" w:rsidTr="7DE461B5">
        <w:trPr>
          <w:trHeight w:val="300"/>
        </w:trPr>
        <w:tc>
          <w:tcPr>
            <w:tcW w:w="1250" w:type="pct"/>
          </w:tcPr>
          <w:p w14:paraId="2FB2D3BE" w14:textId="70CC7F0E"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366.  A EFPC deve manter cadastro atualizado dos fundos de investimento e dos fundos de investimento em cotas de fundos de investimento constituídos no Brasil:</w:t>
            </w:r>
          </w:p>
        </w:tc>
        <w:tc>
          <w:tcPr>
            <w:tcW w:w="1250" w:type="pct"/>
          </w:tcPr>
          <w:p w14:paraId="68D29C57" w14:textId="2D1D974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366.  A EFPC deve manter cadastro atualizado </w:t>
            </w:r>
            <w:r w:rsidRPr="002C1A2C">
              <w:rPr>
                <w:rFonts w:asciiTheme="majorHAnsi" w:hAnsiTheme="majorHAnsi" w:cstheme="majorHAnsi"/>
                <w:strike/>
                <w:color w:val="EE0000"/>
                <w:sz w:val="24"/>
                <w:szCs w:val="24"/>
              </w:rPr>
              <w:t>dos</w:t>
            </w:r>
            <w:r w:rsidRPr="002C1A2C">
              <w:rPr>
                <w:rFonts w:asciiTheme="majorHAnsi" w:hAnsiTheme="majorHAnsi" w:cstheme="majorHAnsi"/>
                <w:color w:val="EE0000"/>
                <w:sz w:val="24"/>
                <w:szCs w:val="24"/>
              </w:rPr>
              <w:t xml:space="preserve"> </w:t>
            </w:r>
            <w:r w:rsidRPr="002C1A2C">
              <w:rPr>
                <w:rFonts w:asciiTheme="majorHAnsi" w:hAnsiTheme="majorHAnsi" w:cstheme="majorHAnsi"/>
                <w:color w:val="0070C0"/>
                <w:sz w:val="24"/>
                <w:szCs w:val="24"/>
              </w:rPr>
              <w:t>das</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classes de cotas de </w:t>
            </w:r>
            <w:r w:rsidRPr="002C1A2C">
              <w:rPr>
                <w:rFonts w:asciiTheme="majorHAnsi" w:hAnsiTheme="majorHAnsi" w:cstheme="majorHAnsi"/>
                <w:sz w:val="24"/>
                <w:szCs w:val="24"/>
              </w:rPr>
              <w:t xml:space="preserve">fundos de investimento </w:t>
            </w:r>
            <w:r w:rsidRPr="002C1A2C">
              <w:rPr>
                <w:rFonts w:asciiTheme="majorHAnsi" w:hAnsiTheme="majorHAnsi" w:cstheme="majorHAnsi"/>
                <w:strike/>
                <w:color w:val="EE0000"/>
                <w:sz w:val="24"/>
                <w:szCs w:val="24"/>
              </w:rPr>
              <w:t xml:space="preserve">dos fundos de investimento em cotas de fundos </w:t>
            </w:r>
            <w:r w:rsidRPr="002C1A2C">
              <w:rPr>
                <w:rFonts w:asciiTheme="majorHAnsi" w:hAnsiTheme="majorHAnsi" w:cstheme="majorHAnsi"/>
                <w:strike/>
                <w:color w:val="EE0000"/>
                <w:sz w:val="24"/>
                <w:szCs w:val="24"/>
              </w:rPr>
              <w:lastRenderedPageBreak/>
              <w:t>de investimento</w:t>
            </w:r>
            <w:r w:rsidRPr="002C1A2C">
              <w:rPr>
                <w:rFonts w:asciiTheme="majorHAnsi" w:hAnsiTheme="majorHAnsi" w:cstheme="majorHAnsi"/>
                <w:color w:val="EE0000"/>
                <w:sz w:val="24"/>
                <w:szCs w:val="24"/>
              </w:rPr>
              <w:t xml:space="preserve"> </w:t>
            </w:r>
            <w:r w:rsidRPr="002C1A2C">
              <w:rPr>
                <w:rFonts w:asciiTheme="majorHAnsi" w:hAnsiTheme="majorHAnsi" w:cstheme="majorHAnsi"/>
                <w:sz w:val="24"/>
                <w:szCs w:val="24"/>
              </w:rPr>
              <w:t>constituídos no Brasil:</w:t>
            </w:r>
          </w:p>
        </w:tc>
        <w:tc>
          <w:tcPr>
            <w:tcW w:w="1250" w:type="pct"/>
          </w:tcPr>
          <w:p w14:paraId="72C497D5" w14:textId="61987038"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Adaptação Resolução CMN nº 5202 e Resolução CVM nº175 - sem alteração material.</w:t>
            </w:r>
          </w:p>
        </w:tc>
        <w:tc>
          <w:tcPr>
            <w:tcW w:w="1250" w:type="pct"/>
          </w:tcPr>
          <w:p w14:paraId="3C8D9684" w14:textId="16B5D43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t xml:space="preserve">Inciso IV do art. 4º </w:t>
            </w:r>
            <w:r>
              <w:rPr>
                <w:rFonts w:asciiTheme="majorHAnsi" w:eastAsia="Times New Roman" w:hAnsiTheme="majorHAnsi" w:cstheme="majorHAnsi"/>
                <w:sz w:val="24"/>
                <w:szCs w:val="24"/>
              </w:rPr>
              <w:t>do Decreto nº 10.411, de 2020.</w:t>
            </w:r>
            <w:r w:rsidRPr="002C1A2C">
              <w:rPr>
                <w:rFonts w:asciiTheme="majorHAnsi" w:eastAsia="Times New Roman" w:hAnsiTheme="majorHAnsi" w:cstheme="majorHAnsi"/>
                <w:sz w:val="24"/>
                <w:szCs w:val="24"/>
              </w:rPr>
              <w:t xml:space="preserve"> </w:t>
            </w:r>
          </w:p>
        </w:tc>
      </w:tr>
      <w:tr w:rsidR="002F0988" w:rsidRPr="002C1A2C" w14:paraId="02AC7553" w14:textId="77777777" w:rsidTr="7DE461B5">
        <w:trPr>
          <w:trHeight w:val="300"/>
        </w:trPr>
        <w:tc>
          <w:tcPr>
            <w:tcW w:w="1250" w:type="pct"/>
          </w:tcPr>
          <w:p w14:paraId="65653588" w14:textId="77777777" w:rsidR="002F0988" w:rsidRPr="002C1A2C" w:rsidRDefault="002F0988" w:rsidP="00C52470">
            <w:pPr>
              <w:spacing w:line="360" w:lineRule="auto"/>
              <w:jc w:val="both"/>
              <w:rPr>
                <w:rFonts w:asciiTheme="majorHAnsi" w:hAnsiTheme="majorHAnsi" w:cstheme="majorHAnsi"/>
                <w:sz w:val="24"/>
                <w:szCs w:val="24"/>
              </w:rPr>
            </w:pPr>
          </w:p>
        </w:tc>
        <w:tc>
          <w:tcPr>
            <w:tcW w:w="1250" w:type="pct"/>
          </w:tcPr>
          <w:p w14:paraId="76C37F51" w14:textId="5FE3DE5C" w:rsidR="002F0988" w:rsidRPr="002C1A2C" w:rsidRDefault="002F0988" w:rsidP="00C52470">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44F84042" w14:textId="77777777" w:rsidR="002F0988" w:rsidRPr="002C1A2C" w:rsidRDefault="002F0988" w:rsidP="00C52470">
            <w:pPr>
              <w:spacing w:line="360" w:lineRule="auto"/>
              <w:jc w:val="both"/>
              <w:rPr>
                <w:rFonts w:asciiTheme="majorHAnsi" w:hAnsiTheme="majorHAnsi" w:cstheme="majorHAnsi"/>
                <w:sz w:val="24"/>
                <w:szCs w:val="24"/>
              </w:rPr>
            </w:pPr>
          </w:p>
        </w:tc>
        <w:tc>
          <w:tcPr>
            <w:tcW w:w="1250" w:type="pct"/>
          </w:tcPr>
          <w:p w14:paraId="02C60B4F" w14:textId="77777777" w:rsidR="002F0988" w:rsidRPr="0022451D" w:rsidRDefault="002F0988" w:rsidP="00C52470">
            <w:pPr>
              <w:spacing w:line="360" w:lineRule="auto"/>
              <w:jc w:val="both"/>
              <w:rPr>
                <w:rFonts w:asciiTheme="majorHAnsi" w:eastAsia="Times New Roman" w:hAnsiTheme="majorHAnsi" w:cstheme="majorHAnsi"/>
                <w:sz w:val="24"/>
                <w:szCs w:val="24"/>
              </w:rPr>
            </w:pPr>
          </w:p>
        </w:tc>
      </w:tr>
      <w:tr w:rsidR="00C52470" w:rsidRPr="002C1A2C" w14:paraId="559D3B52" w14:textId="362E9725" w:rsidTr="7DE461B5">
        <w:trPr>
          <w:trHeight w:val="300"/>
        </w:trPr>
        <w:tc>
          <w:tcPr>
            <w:tcW w:w="1250" w:type="pct"/>
          </w:tcPr>
          <w:p w14:paraId="17A8D636" w14:textId="54F6EAD1"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 - em que a EFPC seja cotista e o fundo classificado como multimercado, no segmento estruturado. </w:t>
            </w:r>
          </w:p>
        </w:tc>
        <w:tc>
          <w:tcPr>
            <w:tcW w:w="1250" w:type="pct"/>
          </w:tcPr>
          <w:p w14:paraId="09C4C95D" w14:textId="7C4405EA"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II - em que a EFPC seja cotista e </w:t>
            </w:r>
            <w:r w:rsidRPr="002C1A2C">
              <w:rPr>
                <w:rFonts w:asciiTheme="majorHAnsi" w:hAnsiTheme="majorHAnsi" w:cstheme="majorHAnsi"/>
                <w:strike/>
                <w:color w:val="EE0000"/>
                <w:sz w:val="24"/>
                <w:szCs w:val="24"/>
              </w:rPr>
              <w:t>o</w:t>
            </w:r>
            <w:r w:rsidRPr="002C1A2C">
              <w:rPr>
                <w:rFonts w:asciiTheme="majorHAnsi" w:hAnsiTheme="majorHAnsi" w:cstheme="majorHAnsi"/>
                <w:sz w:val="24"/>
                <w:szCs w:val="24"/>
              </w:rPr>
              <w:t xml:space="preserve"> </w:t>
            </w:r>
            <w:r w:rsidRPr="002C1A2C">
              <w:rPr>
                <w:rFonts w:asciiTheme="majorHAnsi" w:hAnsiTheme="majorHAnsi" w:cstheme="majorHAnsi"/>
                <w:color w:val="0070C0"/>
                <w:sz w:val="24"/>
                <w:szCs w:val="24"/>
              </w:rPr>
              <w:t xml:space="preserve">a cota de classe de </w:t>
            </w:r>
            <w:r w:rsidRPr="002C1A2C">
              <w:rPr>
                <w:rFonts w:asciiTheme="majorHAnsi" w:hAnsiTheme="majorHAnsi" w:cstheme="majorHAnsi"/>
                <w:sz w:val="24"/>
                <w:szCs w:val="24"/>
              </w:rPr>
              <w:t xml:space="preserve">fundo </w:t>
            </w:r>
            <w:r w:rsidRPr="002C1A2C">
              <w:rPr>
                <w:rFonts w:asciiTheme="majorHAnsi" w:hAnsiTheme="majorHAnsi" w:cstheme="majorHAnsi"/>
                <w:color w:val="0070C0"/>
                <w:sz w:val="24"/>
                <w:szCs w:val="24"/>
              </w:rPr>
              <w:t xml:space="preserve">de investimento </w:t>
            </w:r>
            <w:r w:rsidRPr="002C1A2C">
              <w:rPr>
                <w:rFonts w:asciiTheme="majorHAnsi" w:hAnsiTheme="majorHAnsi" w:cstheme="majorHAnsi"/>
                <w:sz w:val="24"/>
                <w:szCs w:val="24"/>
              </w:rPr>
              <w:t xml:space="preserve">classificado como multimercado, no segmento estruturado. </w:t>
            </w:r>
          </w:p>
        </w:tc>
        <w:tc>
          <w:tcPr>
            <w:tcW w:w="1250" w:type="pct"/>
          </w:tcPr>
          <w:p w14:paraId="67F7FDB1" w14:textId="4C293654"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Adaptação Resolução CMN nº 5202 e Resolução CVM nº175 - sem alteração material.</w:t>
            </w:r>
          </w:p>
          <w:p w14:paraId="5D6DBA9F" w14:textId="657F60B7" w:rsidR="00C52470" w:rsidRPr="002C1A2C" w:rsidRDefault="00C52470" w:rsidP="00C52470">
            <w:pPr>
              <w:spacing w:line="360" w:lineRule="auto"/>
              <w:jc w:val="both"/>
              <w:rPr>
                <w:rFonts w:asciiTheme="majorHAnsi" w:hAnsiTheme="majorHAnsi" w:cstheme="majorHAnsi"/>
                <w:sz w:val="24"/>
                <w:szCs w:val="24"/>
              </w:rPr>
            </w:pPr>
          </w:p>
        </w:tc>
        <w:tc>
          <w:tcPr>
            <w:tcW w:w="1250" w:type="pct"/>
          </w:tcPr>
          <w:p w14:paraId="2023666B" w14:textId="0A2DEDB1" w:rsidR="00C52470" w:rsidRPr="002C1A2C" w:rsidRDefault="00C52470" w:rsidP="00C52470">
            <w:pPr>
              <w:spacing w:line="360" w:lineRule="auto"/>
              <w:jc w:val="both"/>
              <w:rPr>
                <w:rFonts w:asciiTheme="majorHAnsi" w:hAnsiTheme="majorHAnsi" w:cstheme="majorHAnsi"/>
                <w:sz w:val="24"/>
                <w:szCs w:val="24"/>
              </w:rPr>
            </w:pPr>
            <w:r w:rsidRPr="0022451D">
              <w:rPr>
                <w:rFonts w:asciiTheme="majorHAnsi" w:eastAsia="Times New Roman" w:hAnsiTheme="majorHAnsi" w:cstheme="majorHAnsi"/>
                <w:sz w:val="24"/>
                <w:szCs w:val="24"/>
              </w:rPr>
              <w:t xml:space="preserve">Inciso IV do art. 4º do Decreto nº 10.411, de 2020. </w:t>
            </w:r>
          </w:p>
        </w:tc>
      </w:tr>
      <w:tr w:rsidR="00C52470" w:rsidRPr="002C1A2C" w14:paraId="4A1BFC51" w14:textId="4922C36C" w:rsidTr="7DE461B5">
        <w:trPr>
          <w:trHeight w:val="300"/>
        </w:trPr>
        <w:tc>
          <w:tcPr>
            <w:tcW w:w="1250" w:type="pct"/>
          </w:tcPr>
          <w:p w14:paraId="6BB88A9A" w14:textId="1E8831C4"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Parágrafo único.  O cadastro a que se refere o caput deve ser realizado até dez dias da data de aquisição do primeiro lote de cotas de fundo de investimento ou de fundo de investimento em cotas de fundos de investimento.</w:t>
            </w:r>
          </w:p>
        </w:tc>
        <w:tc>
          <w:tcPr>
            <w:tcW w:w="1250" w:type="pct"/>
          </w:tcPr>
          <w:p w14:paraId="0BF993FB" w14:textId="54057BDE"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Parágrafo único.  O cadastro a que se refere o caput deve ser realizado até dez dias da data de aquisição do primeiro lote de cotas de </w:t>
            </w:r>
            <w:r w:rsidRPr="002C1A2C">
              <w:rPr>
                <w:rFonts w:asciiTheme="majorHAnsi" w:hAnsiTheme="majorHAnsi" w:cstheme="majorHAnsi"/>
                <w:color w:val="0070C0"/>
                <w:sz w:val="24"/>
                <w:szCs w:val="24"/>
              </w:rPr>
              <w:t xml:space="preserve">classe de </w:t>
            </w:r>
            <w:r w:rsidRPr="002C1A2C">
              <w:rPr>
                <w:rFonts w:asciiTheme="majorHAnsi" w:hAnsiTheme="majorHAnsi" w:cstheme="majorHAnsi"/>
                <w:sz w:val="24"/>
                <w:szCs w:val="24"/>
              </w:rPr>
              <w:t xml:space="preserve">fundo de </w:t>
            </w:r>
            <w:proofErr w:type="spellStart"/>
            <w:r w:rsidRPr="002C1A2C">
              <w:rPr>
                <w:rFonts w:asciiTheme="majorHAnsi" w:hAnsiTheme="majorHAnsi" w:cstheme="majorHAnsi"/>
                <w:sz w:val="24"/>
                <w:szCs w:val="24"/>
              </w:rPr>
              <w:t>investimento</w:t>
            </w:r>
            <w:r w:rsidRPr="002C1A2C">
              <w:rPr>
                <w:rFonts w:asciiTheme="majorHAnsi" w:hAnsiTheme="majorHAnsi" w:cstheme="majorHAnsi"/>
                <w:strike/>
                <w:color w:val="EE0000"/>
                <w:sz w:val="24"/>
                <w:szCs w:val="24"/>
              </w:rPr>
              <w:t>ou</w:t>
            </w:r>
            <w:proofErr w:type="spellEnd"/>
            <w:r w:rsidRPr="002C1A2C">
              <w:rPr>
                <w:rFonts w:asciiTheme="majorHAnsi" w:hAnsiTheme="majorHAnsi" w:cstheme="majorHAnsi"/>
                <w:strike/>
                <w:color w:val="EE0000"/>
                <w:sz w:val="24"/>
                <w:szCs w:val="24"/>
              </w:rPr>
              <w:t xml:space="preserve"> de fundo de investimento em cotas de fundos de investimento</w:t>
            </w:r>
            <w:r w:rsidRPr="002C1A2C">
              <w:rPr>
                <w:rFonts w:asciiTheme="majorHAnsi" w:hAnsiTheme="majorHAnsi" w:cstheme="majorHAnsi"/>
                <w:sz w:val="24"/>
                <w:szCs w:val="24"/>
              </w:rPr>
              <w:t>.</w:t>
            </w:r>
          </w:p>
        </w:tc>
        <w:tc>
          <w:tcPr>
            <w:tcW w:w="1250" w:type="pct"/>
          </w:tcPr>
          <w:p w14:paraId="2F7E9E12" w14:textId="6416012A" w:rsidR="00C52470" w:rsidRPr="002C1A2C" w:rsidRDefault="00C52470" w:rsidP="00C52470">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Adaptação Resolução CMN nº 5202 e Resolução CVM nº175 - sem alteração material.</w:t>
            </w:r>
          </w:p>
          <w:p w14:paraId="00AEB9D6" w14:textId="16963289" w:rsidR="00C52470" w:rsidRPr="002C1A2C" w:rsidRDefault="00C52470" w:rsidP="00C52470">
            <w:pPr>
              <w:spacing w:line="360" w:lineRule="auto"/>
              <w:jc w:val="both"/>
              <w:rPr>
                <w:rFonts w:asciiTheme="majorHAnsi" w:hAnsiTheme="majorHAnsi" w:cstheme="majorHAnsi"/>
                <w:sz w:val="24"/>
                <w:szCs w:val="24"/>
              </w:rPr>
            </w:pPr>
          </w:p>
        </w:tc>
        <w:tc>
          <w:tcPr>
            <w:tcW w:w="1250" w:type="pct"/>
          </w:tcPr>
          <w:p w14:paraId="51D04399" w14:textId="05D6D7BA" w:rsidR="00C52470" w:rsidRPr="002C1A2C" w:rsidRDefault="00C52470" w:rsidP="00C52470">
            <w:pPr>
              <w:spacing w:line="360" w:lineRule="auto"/>
              <w:jc w:val="both"/>
              <w:rPr>
                <w:rFonts w:asciiTheme="majorHAnsi" w:hAnsiTheme="majorHAnsi" w:cstheme="majorHAnsi"/>
                <w:sz w:val="24"/>
                <w:szCs w:val="24"/>
              </w:rPr>
            </w:pPr>
            <w:r w:rsidRPr="0022451D">
              <w:rPr>
                <w:rFonts w:asciiTheme="majorHAnsi" w:eastAsia="Times New Roman" w:hAnsiTheme="majorHAnsi" w:cstheme="majorHAnsi"/>
                <w:sz w:val="24"/>
                <w:szCs w:val="24"/>
              </w:rPr>
              <w:t xml:space="preserve">Inciso IV do art. 4º do Decreto nº 10.411, de 2020. </w:t>
            </w:r>
          </w:p>
        </w:tc>
      </w:tr>
      <w:tr w:rsidR="00C52470" w:rsidRPr="002C1A2C" w14:paraId="5E350737" w14:textId="0804D528" w:rsidTr="7DE461B5">
        <w:trPr>
          <w:trHeight w:val="300"/>
        </w:trPr>
        <w:tc>
          <w:tcPr>
            <w:tcW w:w="1250" w:type="pct"/>
          </w:tcPr>
          <w:p w14:paraId="52ABAB70" w14:textId="1CBE79B8" w:rsidR="00C52470" w:rsidRPr="002C1A2C" w:rsidRDefault="00C52470"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II</w:t>
            </w:r>
          </w:p>
          <w:p w14:paraId="1A0040B9" w14:textId="03864FAF" w:rsidR="00C52470" w:rsidRPr="002C1A2C" w:rsidRDefault="00C52470"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Autorização da Custódia e do Extrato de Movimentação e Posição de Títulos Públicos Federais</w:t>
            </w:r>
          </w:p>
        </w:tc>
        <w:tc>
          <w:tcPr>
            <w:tcW w:w="1250" w:type="pct"/>
          </w:tcPr>
          <w:p w14:paraId="01069002" w14:textId="52504EA7" w:rsidR="00C52470" w:rsidRPr="002C1A2C" w:rsidRDefault="00C52470"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Subseção II</w:t>
            </w:r>
          </w:p>
          <w:p w14:paraId="2E0C3F52" w14:textId="6B8FA700" w:rsidR="00C52470" w:rsidRPr="002C1A2C" w:rsidRDefault="00C52470" w:rsidP="006D6628">
            <w:pPr>
              <w:spacing w:line="360" w:lineRule="auto"/>
              <w:jc w:val="center"/>
              <w:rPr>
                <w:rFonts w:asciiTheme="majorHAnsi" w:hAnsiTheme="majorHAnsi" w:cstheme="majorHAnsi"/>
                <w:b/>
                <w:bCs/>
                <w:sz w:val="24"/>
                <w:szCs w:val="24"/>
              </w:rPr>
            </w:pPr>
            <w:r w:rsidRPr="002C1A2C">
              <w:rPr>
                <w:rFonts w:asciiTheme="majorHAnsi" w:hAnsiTheme="majorHAnsi" w:cstheme="majorHAnsi"/>
                <w:b/>
                <w:bCs/>
                <w:sz w:val="24"/>
                <w:szCs w:val="24"/>
              </w:rPr>
              <w:t>Autorização da Custódia e do Extrato de Movimentação e Posição de Títulos Públicos Federais</w:t>
            </w:r>
          </w:p>
        </w:tc>
        <w:tc>
          <w:tcPr>
            <w:tcW w:w="1250" w:type="pct"/>
          </w:tcPr>
          <w:p w14:paraId="26E5F000" w14:textId="55FA79DB"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5566E5EC" w14:textId="5E25BDD1" w:rsidR="00C52470" w:rsidRPr="002C1A2C" w:rsidRDefault="00C52470" w:rsidP="006D6628">
            <w:pPr>
              <w:spacing w:line="360" w:lineRule="auto"/>
              <w:jc w:val="both"/>
              <w:rPr>
                <w:rFonts w:asciiTheme="majorHAnsi" w:hAnsiTheme="majorHAnsi" w:cstheme="majorHAnsi"/>
                <w:sz w:val="24"/>
                <w:szCs w:val="24"/>
              </w:rPr>
            </w:pPr>
          </w:p>
        </w:tc>
      </w:tr>
      <w:tr w:rsidR="00C52470" w:rsidRPr="002C1A2C" w14:paraId="5E6D7095" w14:textId="2AB4BFBB" w:rsidTr="7DE461B5">
        <w:trPr>
          <w:trHeight w:val="300"/>
        </w:trPr>
        <w:tc>
          <w:tcPr>
            <w:tcW w:w="1250" w:type="pct"/>
          </w:tcPr>
          <w:p w14:paraId="55C2FF8B" w14:textId="347B522A"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367.  A EFPC deve autorizar os administradores e custodiantes das contas de custódia dos fundos </w:t>
            </w:r>
            <w:r w:rsidRPr="002C1A2C">
              <w:rPr>
                <w:rFonts w:asciiTheme="majorHAnsi" w:hAnsiTheme="majorHAnsi" w:cstheme="majorHAnsi"/>
                <w:sz w:val="24"/>
                <w:szCs w:val="24"/>
              </w:rPr>
              <w:lastRenderedPageBreak/>
              <w:t xml:space="preserve">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2C1A2C">
              <w:rPr>
                <w:rFonts w:asciiTheme="majorHAnsi" w:hAnsiTheme="majorHAnsi" w:cstheme="majorHAnsi"/>
                <w:sz w:val="24"/>
                <w:szCs w:val="24"/>
              </w:rPr>
              <w:t>a</w:t>
            </w:r>
            <w:proofErr w:type="spellEnd"/>
            <w:r w:rsidRPr="002C1A2C">
              <w:rPr>
                <w:rFonts w:asciiTheme="majorHAnsi" w:hAnsiTheme="majorHAnsi" w:cstheme="majorHAnsi"/>
                <w:sz w:val="24"/>
                <w:szCs w:val="24"/>
              </w:rPr>
              <w:t xml:space="preserve"> sistema de registro e de liquidação financeira ou depositário central, observada a regulamentação do Banco Central do Brasil ou da Comissão de Valores Mobiliários, nas suas respectivas áreas de competência</w:t>
            </w:r>
          </w:p>
        </w:tc>
        <w:tc>
          <w:tcPr>
            <w:tcW w:w="1250" w:type="pct"/>
          </w:tcPr>
          <w:p w14:paraId="2EAB8466" w14:textId="603B3491"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Art. 367.  A EFPC deve autorizar os administradores e custodiantes das contas de custódia </w:t>
            </w:r>
            <w:r w:rsidRPr="002C1A2C">
              <w:rPr>
                <w:rFonts w:asciiTheme="majorHAnsi" w:hAnsiTheme="majorHAnsi" w:cstheme="majorHAnsi"/>
                <w:color w:val="0070C0"/>
                <w:sz w:val="24"/>
                <w:szCs w:val="24"/>
              </w:rPr>
              <w:t xml:space="preserve">das classes </w:t>
            </w:r>
            <w:r w:rsidRPr="002C1A2C">
              <w:rPr>
                <w:rFonts w:asciiTheme="majorHAnsi" w:hAnsiTheme="majorHAnsi" w:cstheme="majorHAnsi"/>
                <w:color w:val="0070C0"/>
                <w:sz w:val="24"/>
                <w:szCs w:val="24"/>
              </w:rPr>
              <w:lastRenderedPageBreak/>
              <w:t>de cotas,</w:t>
            </w:r>
            <w:r w:rsidRPr="002C1A2C">
              <w:rPr>
                <w:rFonts w:asciiTheme="majorHAnsi" w:hAnsiTheme="majorHAnsi" w:cstheme="majorHAnsi"/>
                <w:sz w:val="24"/>
                <w:szCs w:val="24"/>
              </w:rPr>
              <w:t xml:space="preserve"> dos fundos de investimentos, da carteira administrada e da carteira própria, para que concedam acesso à Previc aos dados e às informações de operações e de posições em ativos financeiros pertencentes à EFPC, aos planos de benefícios, </w:t>
            </w:r>
            <w:r w:rsidRPr="002C1A2C">
              <w:rPr>
                <w:rFonts w:asciiTheme="majorHAnsi" w:hAnsiTheme="majorHAnsi" w:cstheme="majorHAnsi"/>
                <w:strike/>
                <w:color w:val="EE0000"/>
                <w:sz w:val="24"/>
                <w:szCs w:val="24"/>
              </w:rPr>
              <w:t xml:space="preserve">aos </w:t>
            </w:r>
            <w:r w:rsidRPr="002C1A2C">
              <w:rPr>
                <w:rFonts w:asciiTheme="majorHAnsi" w:hAnsiTheme="majorHAnsi" w:cstheme="majorHAnsi"/>
                <w:color w:val="0070C0"/>
                <w:sz w:val="24"/>
                <w:szCs w:val="24"/>
              </w:rPr>
              <w:t xml:space="preserve">às classes de cotas de </w:t>
            </w:r>
            <w:r w:rsidRPr="002C1A2C">
              <w:rPr>
                <w:rFonts w:asciiTheme="majorHAnsi" w:hAnsiTheme="majorHAnsi" w:cstheme="majorHAnsi"/>
                <w:sz w:val="24"/>
                <w:szCs w:val="24"/>
              </w:rPr>
              <w:t xml:space="preserve">fundos de investimento e às </w:t>
            </w:r>
            <w:r w:rsidRPr="002C1A2C">
              <w:rPr>
                <w:rFonts w:asciiTheme="majorHAnsi" w:hAnsiTheme="majorHAnsi" w:cstheme="majorHAnsi"/>
                <w:color w:val="0070C0"/>
                <w:sz w:val="24"/>
                <w:szCs w:val="24"/>
              </w:rPr>
              <w:t xml:space="preserve">cotas de classe exclusivas de </w:t>
            </w:r>
            <w:r w:rsidRPr="002C1A2C">
              <w:rPr>
                <w:rFonts w:asciiTheme="majorHAnsi" w:hAnsiTheme="majorHAnsi" w:cstheme="majorHAnsi"/>
                <w:sz w:val="24"/>
                <w:szCs w:val="24"/>
              </w:rPr>
              <w:t xml:space="preserve">fundos de </w:t>
            </w:r>
            <w:proofErr w:type="spellStart"/>
            <w:r w:rsidRPr="002C1A2C">
              <w:rPr>
                <w:rFonts w:asciiTheme="majorHAnsi" w:hAnsiTheme="majorHAnsi" w:cstheme="majorHAnsi"/>
                <w:sz w:val="24"/>
                <w:szCs w:val="24"/>
              </w:rPr>
              <w:t>investimento</w:t>
            </w:r>
            <w:r w:rsidRPr="002C1A2C">
              <w:rPr>
                <w:rFonts w:asciiTheme="majorHAnsi" w:hAnsiTheme="majorHAnsi" w:cstheme="majorHAnsi"/>
                <w:strike/>
                <w:color w:val="EE0000"/>
                <w:sz w:val="24"/>
                <w:szCs w:val="24"/>
              </w:rPr>
              <w:t>em</w:t>
            </w:r>
            <w:proofErr w:type="spellEnd"/>
            <w:r w:rsidRPr="002C1A2C">
              <w:rPr>
                <w:rFonts w:asciiTheme="majorHAnsi" w:hAnsiTheme="majorHAnsi" w:cstheme="majorHAnsi"/>
                <w:strike/>
                <w:color w:val="EE0000"/>
                <w:sz w:val="24"/>
                <w:szCs w:val="24"/>
              </w:rPr>
              <w:t xml:space="preserve"> cotas de fundos de investimento exclusivos</w:t>
            </w:r>
            <w:r w:rsidRPr="002C1A2C">
              <w:rPr>
                <w:rFonts w:asciiTheme="majorHAnsi" w:hAnsiTheme="majorHAnsi" w:cstheme="majorHAnsi"/>
                <w:sz w:val="24"/>
                <w:szCs w:val="24"/>
              </w:rPr>
              <w:t xml:space="preserve">, junto </w:t>
            </w:r>
            <w:proofErr w:type="spellStart"/>
            <w:r w:rsidRPr="002C1A2C">
              <w:rPr>
                <w:rFonts w:asciiTheme="majorHAnsi" w:hAnsiTheme="majorHAnsi" w:cstheme="majorHAnsi"/>
                <w:sz w:val="24"/>
                <w:szCs w:val="24"/>
              </w:rPr>
              <w:t>a</w:t>
            </w:r>
            <w:proofErr w:type="spellEnd"/>
            <w:r w:rsidRPr="002C1A2C">
              <w:rPr>
                <w:rFonts w:asciiTheme="majorHAnsi" w:hAnsiTheme="majorHAnsi" w:cstheme="majorHAnsi"/>
                <w:sz w:val="24"/>
                <w:szCs w:val="24"/>
              </w:rPr>
              <w:t xml:space="preserve"> sistema de registro e de liquidação financeira ou depositário central, observada a regulamentação do Banco Central do Brasil ou da Comissão de Valores Mobiliários, nas suas respectivas áreas de competência</w:t>
            </w:r>
          </w:p>
        </w:tc>
        <w:tc>
          <w:tcPr>
            <w:tcW w:w="1250" w:type="pct"/>
          </w:tcPr>
          <w:p w14:paraId="293F28CD" w14:textId="5A5C77B0"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Adaptação Resolução CMN nº 5202 e Resolução CVM nº175 - sem alteração material.</w:t>
            </w:r>
          </w:p>
          <w:p w14:paraId="0502FB40" w14:textId="68F447AA"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27C21180" w14:textId="35CA04DD"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lastRenderedPageBreak/>
              <w:t xml:space="preserve">Inciso IV do art. 4º </w:t>
            </w:r>
            <w:r>
              <w:rPr>
                <w:rFonts w:asciiTheme="majorHAnsi" w:eastAsia="Times New Roman" w:hAnsiTheme="majorHAnsi" w:cstheme="majorHAnsi"/>
                <w:sz w:val="24"/>
                <w:szCs w:val="24"/>
              </w:rPr>
              <w:t>do Decreto nº 10.411, de 2020.</w:t>
            </w:r>
          </w:p>
        </w:tc>
      </w:tr>
      <w:tr w:rsidR="00C52470" w:rsidRPr="002C1A2C" w14:paraId="2F59B37F" w14:textId="33D1DE30" w:rsidTr="7DE461B5">
        <w:trPr>
          <w:trHeight w:val="300"/>
        </w:trPr>
        <w:tc>
          <w:tcPr>
            <w:tcW w:w="1250" w:type="pct"/>
          </w:tcPr>
          <w:p w14:paraId="03958145" w14:textId="380E362D"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Art. 368.  O envio dos extratos mensais de movimentação e de posição de títulos públicos federais custodiados no Sistema Especial de </w:t>
            </w:r>
            <w:r w:rsidRPr="002C1A2C">
              <w:rPr>
                <w:rFonts w:asciiTheme="majorHAnsi" w:hAnsiTheme="majorHAnsi" w:cstheme="majorHAnsi"/>
                <w:sz w:val="24"/>
                <w:szCs w:val="24"/>
              </w:rPr>
              <w:lastRenderedPageBreak/>
              <w:t>Liquidação e de Custódia (Selic), relativos às contas individualizadas das EFPC e às contas dos fundos de investimento e dos fundos de investimento em cotas de fundos de investimento exclusivos, deve observar o disposto no art. 364, §2ª, desta Resolução.</w:t>
            </w:r>
          </w:p>
        </w:tc>
        <w:tc>
          <w:tcPr>
            <w:tcW w:w="1250" w:type="pct"/>
          </w:tcPr>
          <w:p w14:paraId="2784F606" w14:textId="76F5BF80"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Art. 368.  O envio dos extratos mensais de movimentação e de posição de títulos públicos federais custodiados no Sistema Especial de </w:t>
            </w:r>
            <w:r w:rsidRPr="002C1A2C">
              <w:rPr>
                <w:rFonts w:asciiTheme="majorHAnsi" w:hAnsiTheme="majorHAnsi" w:cstheme="majorHAnsi"/>
                <w:sz w:val="24"/>
                <w:szCs w:val="24"/>
              </w:rPr>
              <w:lastRenderedPageBreak/>
              <w:t xml:space="preserve">Liquidação e de Custódia (Selic), relativos às contas individualizadas das EFPC e às contas </w:t>
            </w:r>
            <w:r w:rsidRPr="002C1A2C">
              <w:rPr>
                <w:rFonts w:asciiTheme="majorHAnsi" w:hAnsiTheme="majorHAnsi" w:cstheme="majorHAnsi"/>
                <w:strike/>
                <w:color w:val="EE0000"/>
                <w:sz w:val="24"/>
                <w:szCs w:val="24"/>
              </w:rPr>
              <w:t xml:space="preserve">dos </w:t>
            </w:r>
            <w:r w:rsidRPr="002C1A2C">
              <w:rPr>
                <w:rFonts w:asciiTheme="majorHAnsi" w:hAnsiTheme="majorHAnsi" w:cstheme="majorHAnsi"/>
                <w:color w:val="0070C0"/>
                <w:sz w:val="24"/>
                <w:szCs w:val="24"/>
              </w:rPr>
              <w:t>das classes de cota de</w:t>
            </w:r>
            <w:r w:rsidRPr="002C1A2C">
              <w:rPr>
                <w:rFonts w:asciiTheme="majorHAnsi" w:hAnsiTheme="majorHAnsi" w:cstheme="majorHAnsi"/>
                <w:sz w:val="24"/>
                <w:szCs w:val="24"/>
              </w:rPr>
              <w:t xml:space="preserve"> fundos de investimento e </w:t>
            </w:r>
            <w:r w:rsidRPr="002C1A2C">
              <w:rPr>
                <w:rFonts w:asciiTheme="majorHAnsi" w:hAnsiTheme="majorHAnsi" w:cstheme="majorHAnsi"/>
                <w:color w:val="0070C0"/>
                <w:sz w:val="24"/>
                <w:szCs w:val="24"/>
              </w:rPr>
              <w:t>das cotas de classe exclusivas</w:t>
            </w:r>
            <w:r w:rsidRPr="002C1A2C">
              <w:rPr>
                <w:rFonts w:asciiTheme="majorHAnsi" w:hAnsiTheme="majorHAnsi" w:cstheme="majorHAnsi"/>
                <w:sz w:val="24"/>
                <w:szCs w:val="24"/>
              </w:rPr>
              <w:t xml:space="preserve"> dos fundos de investimento </w:t>
            </w:r>
            <w:r w:rsidRPr="002C1A2C">
              <w:rPr>
                <w:rFonts w:asciiTheme="majorHAnsi" w:hAnsiTheme="majorHAnsi" w:cstheme="majorHAnsi"/>
                <w:strike/>
                <w:color w:val="EE0000"/>
                <w:sz w:val="24"/>
                <w:szCs w:val="24"/>
              </w:rPr>
              <w:t>em cotas de fundos de investimento exclusivos</w:t>
            </w:r>
            <w:r w:rsidRPr="002C1A2C">
              <w:rPr>
                <w:rFonts w:asciiTheme="majorHAnsi" w:hAnsiTheme="majorHAnsi" w:cstheme="majorHAnsi"/>
                <w:sz w:val="24"/>
                <w:szCs w:val="24"/>
              </w:rPr>
              <w:t>, deve observar o disposto no art. 364, §2ª, desta Resolução.</w:t>
            </w:r>
          </w:p>
        </w:tc>
        <w:tc>
          <w:tcPr>
            <w:tcW w:w="1250" w:type="pct"/>
          </w:tcPr>
          <w:p w14:paraId="57F6792C" w14:textId="2868930D"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Adaptação Resolução CMN nº 5202 e Resolução CVM nº175 - sem alteração material.</w:t>
            </w:r>
          </w:p>
          <w:p w14:paraId="32DEFB41" w14:textId="1C719A14"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1F1211A3" w14:textId="3887B791"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Times New Roman" w:hAnsiTheme="majorHAnsi" w:cstheme="majorHAnsi"/>
                <w:sz w:val="24"/>
                <w:szCs w:val="24"/>
              </w:rPr>
              <w:t xml:space="preserve">Inciso IV do art. 4º </w:t>
            </w:r>
            <w:r>
              <w:rPr>
                <w:rFonts w:asciiTheme="majorHAnsi" w:eastAsia="Times New Roman" w:hAnsiTheme="majorHAnsi" w:cstheme="majorHAnsi"/>
                <w:sz w:val="24"/>
                <w:szCs w:val="24"/>
              </w:rPr>
              <w:t>do Decreto nº 10.411, de 2020.</w:t>
            </w:r>
          </w:p>
        </w:tc>
      </w:tr>
      <w:tr w:rsidR="00C52470" w:rsidRPr="002C1A2C" w14:paraId="2397C280" w14:textId="157C4174" w:rsidTr="7DE461B5">
        <w:trPr>
          <w:trHeight w:val="300"/>
        </w:trPr>
        <w:tc>
          <w:tcPr>
            <w:tcW w:w="1250" w:type="pct"/>
          </w:tcPr>
          <w:p w14:paraId="403FB828" w14:textId="2F3A6C88"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1º  O registro ou depósito dos ativos financeiros pertencentes à carteira própria da EFPC deve permitir a individualização e a identificação de cada plano administrado pela EFPC.</w:t>
            </w:r>
          </w:p>
        </w:tc>
        <w:tc>
          <w:tcPr>
            <w:tcW w:w="1250" w:type="pct"/>
          </w:tcPr>
          <w:p w14:paraId="4303270C" w14:textId="1C63DFEA" w:rsidR="00C52470" w:rsidRPr="002C1A2C" w:rsidRDefault="00C52470" w:rsidP="006D6628">
            <w:pPr>
              <w:spacing w:line="360" w:lineRule="auto"/>
              <w:jc w:val="both"/>
              <w:rPr>
                <w:rFonts w:asciiTheme="majorHAnsi" w:hAnsiTheme="majorHAnsi" w:cstheme="majorHAnsi"/>
                <w:sz w:val="24"/>
                <w:szCs w:val="24"/>
              </w:rPr>
            </w:pPr>
            <w:r>
              <w:rPr>
                <w:rFonts w:asciiTheme="majorHAnsi" w:hAnsiTheme="majorHAnsi" w:cstheme="majorHAnsi"/>
                <w:sz w:val="24"/>
                <w:szCs w:val="24"/>
              </w:rPr>
              <w:t>(...)</w:t>
            </w:r>
          </w:p>
        </w:tc>
        <w:tc>
          <w:tcPr>
            <w:tcW w:w="1250" w:type="pct"/>
          </w:tcPr>
          <w:p w14:paraId="6AFDBF10" w14:textId="5876C492"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3A0CB4AF" w14:textId="3E91D98B" w:rsidR="00C52470" w:rsidRPr="002C1A2C" w:rsidRDefault="00C52470" w:rsidP="006D6628">
            <w:pPr>
              <w:spacing w:line="360" w:lineRule="auto"/>
              <w:jc w:val="both"/>
              <w:rPr>
                <w:rFonts w:asciiTheme="majorHAnsi" w:hAnsiTheme="majorHAnsi" w:cstheme="majorHAnsi"/>
                <w:sz w:val="24"/>
                <w:szCs w:val="24"/>
              </w:rPr>
            </w:pPr>
          </w:p>
        </w:tc>
      </w:tr>
      <w:tr w:rsidR="00EC60D4" w:rsidRPr="002C1A2C" w14:paraId="1936460B" w14:textId="0C45983A" w:rsidTr="7DE461B5">
        <w:trPr>
          <w:trHeight w:val="300"/>
        </w:trPr>
        <w:tc>
          <w:tcPr>
            <w:tcW w:w="1250" w:type="pct"/>
          </w:tcPr>
          <w:p w14:paraId="00FBD3C8" w14:textId="77777777" w:rsidR="00EC60D4" w:rsidRPr="002C1A2C" w:rsidRDefault="00EC60D4" w:rsidP="00EC60D4">
            <w:pPr>
              <w:spacing w:line="360" w:lineRule="auto"/>
              <w:jc w:val="both"/>
              <w:rPr>
                <w:rFonts w:asciiTheme="majorHAnsi" w:hAnsiTheme="majorHAnsi" w:cstheme="majorHAnsi"/>
                <w:sz w:val="24"/>
                <w:szCs w:val="24"/>
              </w:rPr>
            </w:pPr>
          </w:p>
        </w:tc>
        <w:tc>
          <w:tcPr>
            <w:tcW w:w="1250" w:type="pct"/>
          </w:tcPr>
          <w:p w14:paraId="3873C928" w14:textId="054CA297" w:rsidR="00EC60D4" w:rsidRPr="002C1A2C" w:rsidRDefault="00EC60D4" w:rsidP="00EC60D4">
            <w:pPr>
              <w:spacing w:line="360" w:lineRule="auto"/>
              <w:jc w:val="center"/>
              <w:rPr>
                <w:rFonts w:asciiTheme="majorHAnsi" w:hAnsiTheme="majorHAnsi" w:cstheme="majorHAnsi"/>
                <w:b/>
                <w:bCs/>
                <w:color w:val="0070C0"/>
                <w:sz w:val="24"/>
                <w:szCs w:val="24"/>
              </w:rPr>
            </w:pPr>
            <w:r w:rsidRPr="002C1A2C">
              <w:rPr>
                <w:rFonts w:asciiTheme="majorHAnsi" w:hAnsiTheme="majorHAnsi" w:cstheme="majorHAnsi"/>
                <w:b/>
                <w:bCs/>
                <w:color w:val="0070C0"/>
                <w:sz w:val="24"/>
                <w:szCs w:val="24"/>
              </w:rPr>
              <w:t>Subseção III –</w:t>
            </w:r>
          </w:p>
          <w:p w14:paraId="57F8456B" w14:textId="7326F437" w:rsidR="00EC60D4" w:rsidRPr="002C1A2C" w:rsidRDefault="00EC60D4" w:rsidP="00EC60D4">
            <w:pPr>
              <w:spacing w:line="360" w:lineRule="auto"/>
              <w:jc w:val="center"/>
              <w:rPr>
                <w:rFonts w:asciiTheme="majorHAnsi" w:hAnsiTheme="majorHAnsi" w:cstheme="majorHAnsi"/>
                <w:color w:val="0070C0"/>
                <w:sz w:val="24"/>
                <w:szCs w:val="24"/>
              </w:rPr>
            </w:pPr>
            <w:r w:rsidRPr="002C1A2C">
              <w:rPr>
                <w:rFonts w:asciiTheme="majorHAnsi" w:hAnsiTheme="majorHAnsi" w:cstheme="majorHAnsi"/>
                <w:b/>
                <w:bCs/>
                <w:color w:val="0070C0"/>
                <w:sz w:val="24"/>
                <w:szCs w:val="24"/>
              </w:rPr>
              <w:t>Riscos e Impactos Ambientais, Sociais e de Governança</w:t>
            </w:r>
          </w:p>
        </w:tc>
        <w:tc>
          <w:tcPr>
            <w:tcW w:w="1250" w:type="pct"/>
          </w:tcPr>
          <w:p w14:paraId="6A8C08B0" w14:textId="058ED054" w:rsidR="00EC60D4" w:rsidRPr="002C1A2C" w:rsidRDefault="00EC60D4" w:rsidP="00EC60D4">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Subseção criada para abranger a regulamentação de observância dos §§ 4º e 5º do art. 10 da Resolução CMN nº 4.994, de 2022, alterada pela Resolução CMN nº 5.202, de 2025,</w:t>
            </w:r>
          </w:p>
        </w:tc>
        <w:tc>
          <w:tcPr>
            <w:tcW w:w="1250" w:type="pct"/>
          </w:tcPr>
          <w:p w14:paraId="44AE0591" w14:textId="77777777" w:rsidR="00EC60D4" w:rsidRPr="002C1A2C" w:rsidRDefault="00EC60D4" w:rsidP="00EC60D4">
            <w:pPr>
              <w:spacing w:after="160" w:line="360" w:lineRule="auto"/>
              <w:jc w:val="both"/>
              <w:rPr>
                <w:rFonts w:asciiTheme="majorHAnsi" w:eastAsia="Calibri" w:hAnsiTheme="majorHAnsi" w:cstheme="majorHAnsi"/>
                <w:sz w:val="24"/>
                <w:szCs w:val="24"/>
              </w:rPr>
            </w:pPr>
            <w:r w:rsidRPr="002C1A2C">
              <w:rPr>
                <w:rFonts w:asciiTheme="majorHAnsi" w:eastAsia="Times New Roman" w:hAnsiTheme="majorHAnsi" w:cstheme="majorHAnsi"/>
                <w:sz w:val="24"/>
                <w:szCs w:val="24"/>
              </w:rPr>
              <w:t xml:space="preserve">Inciso </w:t>
            </w:r>
            <w:r w:rsidRPr="002C1A2C">
              <w:rPr>
                <w:rFonts w:asciiTheme="majorHAnsi" w:eastAsia="Calibri" w:hAnsiTheme="majorHAnsi" w:cstheme="majorHAnsi"/>
                <w:sz w:val="24"/>
                <w:szCs w:val="24"/>
              </w:rPr>
              <w:t>II</w:t>
            </w:r>
            <w:r w:rsidRPr="002C1A2C">
              <w:rPr>
                <w:rFonts w:asciiTheme="majorHAnsi" w:eastAsia="Times New Roman" w:hAnsiTheme="majorHAnsi" w:cstheme="majorHAnsi"/>
                <w:sz w:val="24"/>
                <w:szCs w:val="24"/>
              </w:rPr>
              <w:t xml:space="preserve"> do art. </w:t>
            </w:r>
            <w:r w:rsidRPr="002C1A2C">
              <w:rPr>
                <w:rFonts w:asciiTheme="majorHAnsi" w:eastAsia="Calibri" w:hAnsiTheme="majorHAnsi" w:cstheme="majorHAnsi"/>
                <w:sz w:val="24"/>
                <w:szCs w:val="24"/>
              </w:rPr>
              <w:t>4º do Decreto nº 10.411, de 2020.</w:t>
            </w:r>
          </w:p>
          <w:p w14:paraId="631865F7" w14:textId="77777777" w:rsidR="00EC60D4" w:rsidRPr="002C1A2C" w:rsidRDefault="00EC60D4" w:rsidP="00EC60D4">
            <w:pPr>
              <w:spacing w:line="360" w:lineRule="auto"/>
              <w:jc w:val="both"/>
              <w:rPr>
                <w:rFonts w:asciiTheme="majorHAnsi" w:hAnsiTheme="majorHAnsi" w:cstheme="majorHAnsi"/>
                <w:sz w:val="24"/>
                <w:szCs w:val="24"/>
              </w:rPr>
            </w:pPr>
          </w:p>
          <w:p w14:paraId="3A0CA0DA" w14:textId="77777777" w:rsidR="00EC60D4" w:rsidRPr="002C1A2C" w:rsidRDefault="00EC60D4" w:rsidP="00EC60D4">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A regulamentação dos §§ 4º e 5º do art. 2º da Resolução CMN nº 4.994, de 2022, configura disciplinamento de obrigações expressamente delegadas à Previc </w:t>
            </w:r>
            <w:r w:rsidRPr="002C1A2C">
              <w:rPr>
                <w:rFonts w:asciiTheme="majorHAnsi" w:hAnsiTheme="majorHAnsi" w:cstheme="majorHAnsi"/>
                <w:sz w:val="24"/>
                <w:szCs w:val="24"/>
              </w:rPr>
              <w:lastRenderedPageBreak/>
              <w:t>pelo Conselho Monetário Nacional. O § 5º estabelece que as EFPC devem avaliar e dar transparência aos impactos ambientais, sociais ou de governança, observando segmentação e critérios definidos pela Previc.</w:t>
            </w:r>
          </w:p>
          <w:p w14:paraId="1183A929" w14:textId="77777777" w:rsidR="00EC60D4" w:rsidRPr="002C1A2C" w:rsidRDefault="00EC60D4" w:rsidP="00EC60D4">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O cumprimento dessa delegação é tecnicamente indissociável da regulamentação dos critérios de materialidade e relevância do § 4º. A expressão 'quando julgar material e relevante' constitui pressuposto essencial para implementar adequadamente a avaliação e transparência determinadas pelo CMN, pois a ausência de parâmetros normativos tornaria inexequível o comando superior.</w:t>
            </w:r>
          </w:p>
          <w:p w14:paraId="02FD34D5" w14:textId="77777777" w:rsidR="00EC60D4" w:rsidRPr="002C1A2C" w:rsidRDefault="00EC60D4" w:rsidP="00EC60D4">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Não há alternativa regulatória viável para disciplinar a matéria, tendo em vista que a </w:t>
            </w:r>
            <w:r w:rsidRPr="002C1A2C">
              <w:rPr>
                <w:rFonts w:asciiTheme="majorHAnsi" w:hAnsiTheme="majorHAnsi" w:cstheme="majorHAnsi"/>
                <w:sz w:val="24"/>
                <w:szCs w:val="24"/>
              </w:rPr>
              <w:lastRenderedPageBreak/>
              <w:t>regulamentação dos critérios dos §§ 4º e 5º demanda instrumento normativo de caráter geral e abstrato. A delegação do CMN não pode ser atendida por portarias, notas técnicas ou outros atos administrativos de menor hierarquia normativa. A competência regulamentar da Previc para disciplinar investimentos de EFPC materializa-se exclusivamente por meio de Resolução, configurando ausência de alternativas jurídicas que dispensa a elaboração de AIR nos termos do decreto mencionado."</w:t>
            </w:r>
          </w:p>
          <w:p w14:paraId="45E64789" w14:textId="024FA65E" w:rsidR="00EC60D4" w:rsidRPr="002C1A2C" w:rsidRDefault="00EC60D4" w:rsidP="00EC60D4">
            <w:pPr>
              <w:spacing w:line="360" w:lineRule="auto"/>
              <w:jc w:val="both"/>
              <w:rPr>
                <w:rFonts w:asciiTheme="majorHAnsi" w:hAnsiTheme="majorHAnsi" w:cstheme="majorHAnsi"/>
                <w:sz w:val="24"/>
                <w:szCs w:val="24"/>
              </w:rPr>
            </w:pPr>
          </w:p>
        </w:tc>
      </w:tr>
      <w:tr w:rsidR="00C52470" w:rsidRPr="002C1A2C" w14:paraId="2ADC533F" w14:textId="7BF1A16E" w:rsidTr="7DE461B5">
        <w:trPr>
          <w:trHeight w:val="300"/>
        </w:trPr>
        <w:tc>
          <w:tcPr>
            <w:tcW w:w="1250" w:type="pct"/>
          </w:tcPr>
          <w:p w14:paraId="539E95EF"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05EAD555" w14:textId="3BEB5356" w:rsidR="00C52470" w:rsidRPr="002C1A2C" w:rsidRDefault="00C52470" w:rsidP="006D6628">
            <w:pPr>
              <w:spacing w:line="360" w:lineRule="auto"/>
              <w:jc w:val="both"/>
              <w:rPr>
                <w:rFonts w:asciiTheme="majorHAnsi" w:hAnsiTheme="majorHAnsi" w:cstheme="majorHAnsi"/>
                <w:color w:val="0070C0"/>
                <w:sz w:val="24"/>
                <w:szCs w:val="24"/>
              </w:rPr>
            </w:pPr>
            <w:r>
              <w:rPr>
                <w:rFonts w:asciiTheme="majorHAnsi" w:hAnsiTheme="majorHAnsi" w:cstheme="majorHAnsi"/>
                <w:color w:val="0070C0"/>
                <w:sz w:val="24"/>
                <w:szCs w:val="24"/>
              </w:rPr>
              <w:t>368-A.  Para fins desta Subseção considera-se:</w:t>
            </w:r>
          </w:p>
        </w:tc>
        <w:tc>
          <w:tcPr>
            <w:tcW w:w="1250" w:type="pct"/>
          </w:tcPr>
          <w:p w14:paraId="1D06D9C0" w14:textId="5882D44F" w:rsidR="00C52470" w:rsidRPr="002C1A2C" w:rsidRDefault="00C52470" w:rsidP="006D6628">
            <w:pPr>
              <w:spacing w:line="360" w:lineRule="auto"/>
              <w:jc w:val="both"/>
              <w:rPr>
                <w:rFonts w:asciiTheme="majorHAnsi" w:hAnsiTheme="majorHAnsi" w:cstheme="majorBidi"/>
                <w:sz w:val="24"/>
                <w:szCs w:val="24"/>
              </w:rPr>
            </w:pPr>
            <w:r w:rsidRPr="5AFDFDC4">
              <w:rPr>
                <w:rFonts w:asciiTheme="majorHAnsi" w:hAnsiTheme="majorHAnsi" w:cstheme="majorBidi"/>
                <w:sz w:val="24"/>
                <w:szCs w:val="24"/>
              </w:rPr>
              <w:t xml:space="preserve">A inclusão destas definições visa estabelecer um vocabulário uniforme, fortalecendo a coerência das avaliações e promovendo a adoção de práticas de divulgação consistentes, sem engessar metodologias </w:t>
            </w:r>
            <w:r w:rsidRPr="5AFDFDC4">
              <w:rPr>
                <w:rFonts w:asciiTheme="majorHAnsi" w:hAnsiTheme="majorHAnsi" w:cstheme="majorBidi"/>
                <w:sz w:val="24"/>
                <w:szCs w:val="24"/>
              </w:rPr>
              <w:lastRenderedPageBreak/>
              <w:t>específicas. Os conceitos de risco social e risco ambiental têm como base a Resolução CMN 4943 (</w:t>
            </w:r>
            <w:r w:rsidRPr="5AFDFDC4">
              <w:rPr>
                <w:rFonts w:ascii="Calibri" w:eastAsia="Calibri" w:hAnsi="Calibri" w:cs="Calibri"/>
                <w:color w:val="606060"/>
                <w:sz w:val="25"/>
                <w:szCs w:val="25"/>
              </w:rPr>
              <w:t>dispõe sobre a estrutura de gerenciamento de riscos, a estrutura de gerenciamento de capital e a política de divulgação de informações)</w:t>
            </w:r>
            <w:r w:rsidRPr="5AFDFDC4">
              <w:rPr>
                <w:rFonts w:asciiTheme="majorHAnsi" w:hAnsiTheme="majorHAnsi" w:cstheme="majorBidi"/>
                <w:sz w:val="24"/>
                <w:szCs w:val="24"/>
              </w:rPr>
              <w:t xml:space="preserve">. As conceituações de riscos de governança e de integridade vem de pesquisa bibliográfica, contribuições da </w:t>
            </w:r>
            <w:proofErr w:type="spellStart"/>
            <w:r w:rsidRPr="5AFDFDC4">
              <w:rPr>
                <w:rFonts w:asciiTheme="majorHAnsi" w:hAnsiTheme="majorHAnsi" w:cstheme="majorBidi"/>
                <w:sz w:val="24"/>
                <w:szCs w:val="24"/>
              </w:rPr>
              <w:t>EFPCs</w:t>
            </w:r>
            <w:proofErr w:type="spellEnd"/>
            <w:r w:rsidRPr="5AFDFDC4">
              <w:rPr>
                <w:rFonts w:asciiTheme="majorHAnsi" w:hAnsiTheme="majorHAnsi" w:cstheme="majorBidi"/>
                <w:sz w:val="24"/>
                <w:szCs w:val="24"/>
              </w:rPr>
              <w:t xml:space="preserve"> e resoluções de outros órgãos reguladores.</w:t>
            </w:r>
          </w:p>
        </w:tc>
        <w:tc>
          <w:tcPr>
            <w:tcW w:w="1250" w:type="pct"/>
          </w:tcPr>
          <w:p w14:paraId="5F95974F" w14:textId="77777777" w:rsidR="0050272B" w:rsidRPr="002C1A2C" w:rsidRDefault="0050272B" w:rsidP="0050272B">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p w14:paraId="1C627F84" w14:textId="42444CCE" w:rsidR="00C52470" w:rsidRPr="5AFDFDC4" w:rsidRDefault="00C52470" w:rsidP="006D6628">
            <w:pPr>
              <w:spacing w:line="360" w:lineRule="auto"/>
              <w:jc w:val="both"/>
              <w:rPr>
                <w:rFonts w:asciiTheme="majorHAnsi" w:hAnsiTheme="majorHAnsi" w:cstheme="majorBidi"/>
                <w:sz w:val="24"/>
                <w:szCs w:val="24"/>
              </w:rPr>
            </w:pPr>
          </w:p>
        </w:tc>
      </w:tr>
      <w:tr w:rsidR="00C52470" w:rsidRPr="002C1A2C" w14:paraId="5DB5D7E2" w14:textId="467190DA" w:rsidTr="7DE461B5">
        <w:trPr>
          <w:trHeight w:val="300"/>
        </w:trPr>
        <w:tc>
          <w:tcPr>
            <w:tcW w:w="1250" w:type="pct"/>
          </w:tcPr>
          <w:p w14:paraId="5033F1F2"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73D5B564" w14:textId="13468780" w:rsidR="00C52470" w:rsidRPr="002C1A2C" w:rsidRDefault="00C52470" w:rsidP="006D6628">
            <w:pPr>
              <w:spacing w:line="360" w:lineRule="auto"/>
              <w:jc w:val="both"/>
              <w:rPr>
                <w:rFonts w:asciiTheme="majorHAnsi" w:hAnsiTheme="majorHAnsi" w:cstheme="majorHAnsi"/>
                <w:color w:val="0070C0"/>
                <w:sz w:val="24"/>
                <w:szCs w:val="24"/>
              </w:rPr>
            </w:pPr>
            <w:r w:rsidRPr="006D78BF">
              <w:rPr>
                <w:rFonts w:asciiTheme="majorHAnsi" w:hAnsiTheme="majorHAnsi" w:cstheme="majorHAnsi"/>
                <w:color w:val="0070C0"/>
                <w:sz w:val="24"/>
                <w:szCs w:val="24"/>
              </w:rPr>
              <w:t xml:space="preserve">I </w:t>
            </w:r>
            <w:r>
              <w:rPr>
                <w:rFonts w:asciiTheme="majorHAnsi" w:hAnsiTheme="majorHAnsi" w:cstheme="majorHAnsi"/>
                <w:color w:val="0070C0"/>
                <w:sz w:val="24"/>
                <w:szCs w:val="24"/>
              </w:rPr>
              <w:t>-</w:t>
            </w:r>
            <w:r w:rsidRPr="006D78BF">
              <w:rPr>
                <w:rFonts w:asciiTheme="majorHAnsi" w:hAnsiTheme="majorHAnsi" w:cstheme="majorHAnsi"/>
                <w:color w:val="0070C0"/>
                <w:sz w:val="24"/>
                <w:szCs w:val="24"/>
              </w:rPr>
              <w:t xml:space="preserve"> </w:t>
            </w:r>
            <w:r>
              <w:rPr>
                <w:rFonts w:asciiTheme="majorHAnsi" w:hAnsiTheme="majorHAnsi" w:cstheme="majorHAnsi"/>
                <w:color w:val="0070C0"/>
                <w:sz w:val="24"/>
                <w:szCs w:val="24"/>
              </w:rPr>
              <w:t xml:space="preserve">aspectos </w:t>
            </w:r>
            <w:r w:rsidRPr="006D78BF">
              <w:rPr>
                <w:rFonts w:asciiTheme="majorHAnsi" w:hAnsiTheme="majorHAnsi" w:cstheme="majorHAnsi"/>
                <w:color w:val="0070C0"/>
                <w:sz w:val="24"/>
                <w:szCs w:val="24"/>
              </w:rPr>
              <w:t>socia</w:t>
            </w:r>
            <w:r>
              <w:rPr>
                <w:rFonts w:asciiTheme="majorHAnsi" w:hAnsiTheme="majorHAnsi" w:cstheme="majorHAnsi"/>
                <w:color w:val="0070C0"/>
                <w:sz w:val="24"/>
                <w:szCs w:val="24"/>
              </w:rPr>
              <w:t>is</w:t>
            </w:r>
            <w:r w:rsidRPr="006D78BF">
              <w:rPr>
                <w:rFonts w:asciiTheme="majorHAnsi" w:hAnsiTheme="majorHAnsi" w:cstheme="majorHAnsi"/>
                <w:color w:val="0070C0"/>
                <w:sz w:val="24"/>
                <w:szCs w:val="24"/>
              </w:rPr>
              <w:t xml:space="preserve">: fatores e condições </w:t>
            </w:r>
            <w:r>
              <w:rPr>
                <w:rFonts w:asciiTheme="majorHAnsi" w:hAnsiTheme="majorHAnsi" w:cstheme="majorHAnsi"/>
                <w:color w:val="0070C0"/>
                <w:sz w:val="24"/>
                <w:szCs w:val="24"/>
              </w:rPr>
              <w:t>relacionados</w:t>
            </w:r>
            <w:r w:rsidRPr="006D78BF">
              <w:rPr>
                <w:rFonts w:asciiTheme="majorHAnsi" w:hAnsiTheme="majorHAnsi" w:cstheme="majorHAnsi"/>
                <w:color w:val="0070C0"/>
                <w:sz w:val="24"/>
                <w:szCs w:val="24"/>
              </w:rPr>
              <w:t xml:space="preserve"> aos direitos</w:t>
            </w:r>
            <w:r>
              <w:rPr>
                <w:rFonts w:asciiTheme="majorHAnsi" w:hAnsiTheme="majorHAnsi" w:cstheme="majorHAnsi"/>
                <w:color w:val="0070C0"/>
                <w:sz w:val="24"/>
                <w:szCs w:val="24"/>
              </w:rPr>
              <w:t xml:space="preserve"> e garantias</w:t>
            </w:r>
            <w:r w:rsidRPr="006D78BF">
              <w:rPr>
                <w:rFonts w:asciiTheme="majorHAnsi" w:hAnsiTheme="majorHAnsi" w:cstheme="majorHAnsi"/>
                <w:color w:val="0070C0"/>
                <w:sz w:val="24"/>
                <w:szCs w:val="24"/>
              </w:rPr>
              <w:t xml:space="preserve"> </w:t>
            </w:r>
            <w:r>
              <w:rPr>
                <w:rFonts w:asciiTheme="majorHAnsi" w:hAnsiTheme="majorHAnsi" w:cstheme="majorHAnsi"/>
                <w:color w:val="0070C0"/>
                <w:sz w:val="24"/>
                <w:szCs w:val="24"/>
              </w:rPr>
              <w:t>fundamentais</w:t>
            </w:r>
            <w:r w:rsidRPr="006D78BF">
              <w:rPr>
                <w:rFonts w:asciiTheme="majorHAnsi" w:hAnsiTheme="majorHAnsi" w:cstheme="majorHAnsi"/>
                <w:color w:val="0070C0"/>
                <w:sz w:val="24"/>
                <w:szCs w:val="24"/>
              </w:rPr>
              <w:t>, à</w:t>
            </w:r>
            <w:r>
              <w:rPr>
                <w:rFonts w:asciiTheme="majorHAnsi" w:hAnsiTheme="majorHAnsi" w:cstheme="majorHAnsi"/>
                <w:color w:val="0070C0"/>
                <w:sz w:val="24"/>
                <w:szCs w:val="24"/>
              </w:rPr>
              <w:t xml:space="preserve"> promoção da</w:t>
            </w:r>
            <w:r w:rsidRPr="006D78BF">
              <w:rPr>
                <w:rFonts w:asciiTheme="majorHAnsi" w:hAnsiTheme="majorHAnsi" w:cstheme="majorHAnsi"/>
                <w:color w:val="0070C0"/>
                <w:sz w:val="24"/>
                <w:szCs w:val="24"/>
              </w:rPr>
              <w:t xml:space="preserve"> equidade e </w:t>
            </w:r>
            <w:r>
              <w:rPr>
                <w:rFonts w:asciiTheme="majorHAnsi" w:hAnsiTheme="majorHAnsi" w:cstheme="majorHAnsi"/>
                <w:color w:val="0070C0"/>
                <w:sz w:val="24"/>
                <w:szCs w:val="24"/>
              </w:rPr>
              <w:t>à melhoria d</w:t>
            </w:r>
            <w:r w:rsidRPr="006D78BF">
              <w:rPr>
                <w:rFonts w:asciiTheme="majorHAnsi" w:hAnsiTheme="majorHAnsi" w:cstheme="majorHAnsi"/>
                <w:color w:val="0070C0"/>
                <w:sz w:val="24"/>
                <w:szCs w:val="24"/>
              </w:rPr>
              <w:t>o bem-estar coletivo;</w:t>
            </w:r>
          </w:p>
        </w:tc>
        <w:tc>
          <w:tcPr>
            <w:tcW w:w="1250" w:type="pct"/>
          </w:tcPr>
          <w:p w14:paraId="689CAD6B"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101AD38B" w14:textId="77777777" w:rsidR="0050272B" w:rsidRPr="002C1A2C" w:rsidRDefault="0050272B" w:rsidP="0050272B">
            <w:pPr>
              <w:spacing w:after="160" w:line="360" w:lineRule="auto"/>
              <w:jc w:val="both"/>
              <w:rPr>
                <w:rFonts w:asciiTheme="majorHAnsi" w:eastAsia="Calibri" w:hAnsiTheme="majorHAnsi" w:cstheme="majorHAnsi"/>
                <w:sz w:val="24"/>
                <w:szCs w:val="24"/>
              </w:rPr>
            </w:pPr>
            <w:r w:rsidRPr="002C1A2C">
              <w:rPr>
                <w:rFonts w:asciiTheme="majorHAnsi" w:eastAsia="Times New Roman" w:hAnsiTheme="majorHAnsi" w:cstheme="majorHAnsi"/>
                <w:sz w:val="24"/>
                <w:szCs w:val="24"/>
              </w:rPr>
              <w:t xml:space="preserve">Inciso </w:t>
            </w:r>
            <w:r w:rsidRPr="002C1A2C">
              <w:rPr>
                <w:rFonts w:asciiTheme="majorHAnsi" w:eastAsia="Calibri" w:hAnsiTheme="majorHAnsi" w:cstheme="majorHAnsi"/>
                <w:sz w:val="24"/>
                <w:szCs w:val="24"/>
              </w:rPr>
              <w:t>II</w:t>
            </w:r>
            <w:r w:rsidRPr="002C1A2C">
              <w:rPr>
                <w:rFonts w:asciiTheme="majorHAnsi" w:eastAsia="Times New Roman" w:hAnsiTheme="majorHAnsi" w:cstheme="majorHAnsi"/>
                <w:sz w:val="24"/>
                <w:szCs w:val="24"/>
              </w:rPr>
              <w:t xml:space="preserve"> do art. </w:t>
            </w:r>
            <w:r w:rsidRPr="002C1A2C">
              <w:rPr>
                <w:rFonts w:asciiTheme="majorHAnsi" w:eastAsia="Calibri" w:hAnsiTheme="majorHAnsi" w:cstheme="majorHAnsi"/>
                <w:sz w:val="24"/>
                <w:szCs w:val="24"/>
              </w:rPr>
              <w:t>4º do Decreto nº 10.411, de 2020.</w:t>
            </w:r>
          </w:p>
          <w:p w14:paraId="24FF305C" w14:textId="7A99ED97" w:rsidR="00C52470" w:rsidRPr="002C1A2C" w:rsidRDefault="00C52470" w:rsidP="006D6628">
            <w:pPr>
              <w:spacing w:line="360" w:lineRule="auto"/>
              <w:jc w:val="both"/>
              <w:rPr>
                <w:rFonts w:asciiTheme="majorHAnsi" w:hAnsiTheme="majorHAnsi" w:cstheme="majorHAnsi"/>
                <w:sz w:val="24"/>
                <w:szCs w:val="24"/>
              </w:rPr>
            </w:pPr>
          </w:p>
        </w:tc>
      </w:tr>
      <w:tr w:rsidR="00C52470" w:rsidRPr="002C1A2C" w14:paraId="6C63663D" w14:textId="70DAB8E7" w:rsidTr="7DE461B5">
        <w:trPr>
          <w:trHeight w:val="300"/>
        </w:trPr>
        <w:tc>
          <w:tcPr>
            <w:tcW w:w="1250" w:type="pct"/>
          </w:tcPr>
          <w:p w14:paraId="39687F38"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78E558A3" w14:textId="13C8F898" w:rsidR="00C52470" w:rsidRPr="006D78BF" w:rsidRDefault="00C52470" w:rsidP="006D6628">
            <w:pPr>
              <w:spacing w:line="360" w:lineRule="auto"/>
              <w:jc w:val="both"/>
              <w:rPr>
                <w:rFonts w:asciiTheme="majorHAnsi" w:hAnsiTheme="majorHAnsi" w:cstheme="majorHAnsi"/>
                <w:color w:val="0070C0"/>
                <w:sz w:val="24"/>
                <w:szCs w:val="24"/>
              </w:rPr>
            </w:pPr>
            <w:r w:rsidRPr="006D78BF">
              <w:rPr>
                <w:rFonts w:asciiTheme="majorHAnsi" w:hAnsiTheme="majorHAnsi" w:cstheme="majorHAnsi"/>
                <w:color w:val="0070C0"/>
                <w:sz w:val="24"/>
                <w:szCs w:val="24"/>
              </w:rPr>
              <w:t xml:space="preserve">II </w:t>
            </w:r>
            <w:r>
              <w:rPr>
                <w:rFonts w:asciiTheme="majorHAnsi" w:hAnsiTheme="majorHAnsi" w:cstheme="majorHAnsi"/>
                <w:color w:val="0070C0"/>
                <w:sz w:val="24"/>
                <w:szCs w:val="24"/>
              </w:rPr>
              <w:t>-</w:t>
            </w:r>
            <w:r w:rsidRPr="006D78BF">
              <w:rPr>
                <w:rFonts w:asciiTheme="majorHAnsi" w:hAnsiTheme="majorHAnsi" w:cstheme="majorHAnsi"/>
                <w:color w:val="0070C0"/>
                <w:sz w:val="24"/>
                <w:szCs w:val="24"/>
              </w:rPr>
              <w:t xml:space="preserve"> </w:t>
            </w:r>
            <w:r>
              <w:rPr>
                <w:rFonts w:asciiTheme="majorHAnsi" w:hAnsiTheme="majorHAnsi" w:cstheme="majorHAnsi"/>
                <w:color w:val="0070C0"/>
                <w:sz w:val="24"/>
                <w:szCs w:val="24"/>
              </w:rPr>
              <w:t xml:space="preserve">aspectos </w:t>
            </w:r>
            <w:r w:rsidRPr="006D78BF">
              <w:rPr>
                <w:rFonts w:asciiTheme="majorHAnsi" w:hAnsiTheme="majorHAnsi" w:cstheme="majorHAnsi"/>
                <w:color w:val="0070C0"/>
                <w:sz w:val="24"/>
                <w:szCs w:val="24"/>
              </w:rPr>
              <w:t>ambienta</w:t>
            </w:r>
            <w:r>
              <w:rPr>
                <w:rFonts w:asciiTheme="majorHAnsi" w:hAnsiTheme="majorHAnsi" w:cstheme="majorHAnsi"/>
                <w:color w:val="0070C0"/>
                <w:sz w:val="24"/>
                <w:szCs w:val="24"/>
              </w:rPr>
              <w:t>is</w:t>
            </w:r>
            <w:r w:rsidRPr="006D78BF">
              <w:rPr>
                <w:rFonts w:asciiTheme="majorHAnsi" w:hAnsiTheme="majorHAnsi" w:cstheme="majorHAnsi"/>
                <w:color w:val="0070C0"/>
                <w:sz w:val="24"/>
                <w:szCs w:val="24"/>
              </w:rPr>
              <w:t xml:space="preserve">: fatores e condições </w:t>
            </w:r>
            <w:r>
              <w:rPr>
                <w:rFonts w:asciiTheme="majorHAnsi" w:hAnsiTheme="majorHAnsi" w:cstheme="majorHAnsi"/>
                <w:color w:val="0070C0"/>
                <w:sz w:val="24"/>
                <w:szCs w:val="24"/>
              </w:rPr>
              <w:t>associados</w:t>
            </w:r>
            <w:r w:rsidRPr="006D78BF">
              <w:rPr>
                <w:rFonts w:asciiTheme="majorHAnsi" w:hAnsiTheme="majorHAnsi" w:cstheme="majorHAnsi"/>
                <w:color w:val="0070C0"/>
                <w:sz w:val="24"/>
                <w:szCs w:val="24"/>
              </w:rPr>
              <w:t xml:space="preserve"> à conservação e ao uso responsável dos recursos naturais</w:t>
            </w:r>
            <w:r>
              <w:rPr>
                <w:rFonts w:asciiTheme="majorHAnsi" w:hAnsiTheme="majorHAnsi" w:cstheme="majorHAnsi"/>
                <w:color w:val="0070C0"/>
                <w:sz w:val="24"/>
                <w:szCs w:val="24"/>
              </w:rPr>
              <w:t>,</w:t>
            </w:r>
            <w:r w:rsidRPr="006D78BF">
              <w:rPr>
                <w:rFonts w:asciiTheme="majorHAnsi" w:hAnsiTheme="majorHAnsi" w:cstheme="majorHAnsi"/>
                <w:color w:val="0070C0"/>
                <w:sz w:val="24"/>
                <w:szCs w:val="24"/>
              </w:rPr>
              <w:t xml:space="preserve"> à proteção dos ecossistemas</w:t>
            </w:r>
            <w:r>
              <w:rPr>
                <w:rFonts w:asciiTheme="majorHAnsi" w:hAnsiTheme="majorHAnsi" w:cstheme="majorHAnsi"/>
                <w:color w:val="0070C0"/>
                <w:sz w:val="24"/>
                <w:szCs w:val="24"/>
              </w:rPr>
              <w:t xml:space="preserve">, </w:t>
            </w:r>
            <w:r w:rsidRPr="006E48DA">
              <w:rPr>
                <w:rFonts w:asciiTheme="majorHAnsi" w:hAnsiTheme="majorHAnsi" w:cstheme="majorHAnsi"/>
                <w:color w:val="0070C0"/>
                <w:sz w:val="24"/>
                <w:szCs w:val="24"/>
              </w:rPr>
              <w:t xml:space="preserve">ao processo de </w:t>
            </w:r>
            <w:r w:rsidRPr="006E48DA">
              <w:rPr>
                <w:rFonts w:asciiTheme="majorHAnsi" w:hAnsiTheme="majorHAnsi" w:cstheme="majorHAnsi"/>
                <w:color w:val="0070C0"/>
                <w:sz w:val="24"/>
                <w:szCs w:val="24"/>
              </w:rPr>
              <w:lastRenderedPageBreak/>
              <w:t>transição para uma economia de baixo carbono</w:t>
            </w:r>
            <w:r>
              <w:rPr>
                <w:rFonts w:asciiTheme="majorHAnsi" w:hAnsiTheme="majorHAnsi" w:cstheme="majorHAnsi"/>
                <w:color w:val="0070C0"/>
                <w:sz w:val="24"/>
                <w:szCs w:val="24"/>
              </w:rPr>
              <w:t xml:space="preserve"> e à exposição a </w:t>
            </w:r>
            <w:r w:rsidRPr="00C62DBE">
              <w:rPr>
                <w:rFonts w:asciiTheme="majorHAnsi" w:hAnsiTheme="majorHAnsi" w:cstheme="majorHAnsi"/>
                <w:color w:val="0070C0"/>
                <w:sz w:val="24"/>
                <w:szCs w:val="24"/>
              </w:rPr>
              <w:t xml:space="preserve">eventos </w:t>
            </w:r>
            <w:r>
              <w:rPr>
                <w:rFonts w:asciiTheme="majorHAnsi" w:hAnsiTheme="majorHAnsi" w:cstheme="majorHAnsi"/>
                <w:color w:val="0070C0"/>
                <w:sz w:val="24"/>
                <w:szCs w:val="24"/>
              </w:rPr>
              <w:t xml:space="preserve">climáticos extremos </w:t>
            </w:r>
            <w:r w:rsidRPr="00C62DBE">
              <w:rPr>
                <w:rFonts w:asciiTheme="majorHAnsi" w:hAnsiTheme="majorHAnsi" w:cstheme="majorHAnsi"/>
                <w:color w:val="0070C0"/>
                <w:sz w:val="24"/>
                <w:szCs w:val="24"/>
              </w:rPr>
              <w:t>ou a alterações ambientais de longo prazo relacionadas a mudanças em padrões climáticos</w:t>
            </w:r>
            <w:r w:rsidRPr="006D78BF">
              <w:rPr>
                <w:rFonts w:asciiTheme="majorHAnsi" w:hAnsiTheme="majorHAnsi" w:cstheme="majorHAnsi"/>
                <w:color w:val="0070C0"/>
                <w:sz w:val="24"/>
                <w:szCs w:val="24"/>
              </w:rPr>
              <w:t>;</w:t>
            </w:r>
          </w:p>
        </w:tc>
        <w:tc>
          <w:tcPr>
            <w:tcW w:w="1250" w:type="pct"/>
          </w:tcPr>
          <w:p w14:paraId="1186687E" w14:textId="2ADEFF70" w:rsidR="00C52470" w:rsidRPr="002C1A2C" w:rsidRDefault="00C52470" w:rsidP="006D6628">
            <w:pPr>
              <w:spacing w:line="360" w:lineRule="auto"/>
              <w:jc w:val="both"/>
              <w:rPr>
                <w:rFonts w:asciiTheme="majorHAnsi" w:hAnsiTheme="majorHAnsi" w:cstheme="majorBidi"/>
                <w:sz w:val="24"/>
                <w:szCs w:val="24"/>
              </w:rPr>
            </w:pPr>
            <w:r w:rsidRPr="5AFDFDC4">
              <w:rPr>
                <w:rFonts w:asciiTheme="majorHAnsi" w:hAnsiTheme="majorHAnsi" w:cstheme="majorBidi"/>
                <w:sz w:val="24"/>
                <w:szCs w:val="24"/>
              </w:rPr>
              <w:lastRenderedPageBreak/>
              <w:t>Junção entre os ambientais e os climáticos.</w:t>
            </w:r>
          </w:p>
        </w:tc>
        <w:tc>
          <w:tcPr>
            <w:tcW w:w="1250" w:type="pct"/>
          </w:tcPr>
          <w:p w14:paraId="0C497942" w14:textId="3D73D5BB" w:rsidR="00C52470" w:rsidRPr="5AFDFDC4" w:rsidRDefault="00C52470" w:rsidP="0050272B">
            <w:pPr>
              <w:spacing w:after="160" w:line="360" w:lineRule="auto"/>
              <w:jc w:val="both"/>
              <w:rPr>
                <w:rFonts w:asciiTheme="majorHAnsi" w:hAnsiTheme="majorHAnsi" w:cstheme="majorBidi"/>
                <w:sz w:val="24"/>
                <w:szCs w:val="24"/>
              </w:rPr>
            </w:pPr>
            <w:r w:rsidRPr="002C1A2C">
              <w:rPr>
                <w:rFonts w:asciiTheme="majorHAnsi" w:eastAsia="Times New Roman" w:hAnsiTheme="majorHAnsi" w:cstheme="majorHAnsi"/>
                <w:sz w:val="24"/>
                <w:szCs w:val="24"/>
              </w:rPr>
              <w:t xml:space="preserve">Inciso </w:t>
            </w:r>
            <w:r w:rsidRPr="002C1A2C">
              <w:rPr>
                <w:rFonts w:asciiTheme="majorHAnsi" w:eastAsia="Calibri" w:hAnsiTheme="majorHAnsi" w:cstheme="majorHAnsi"/>
                <w:sz w:val="24"/>
                <w:szCs w:val="24"/>
              </w:rPr>
              <w:t>II</w:t>
            </w:r>
            <w:r w:rsidRPr="002C1A2C">
              <w:rPr>
                <w:rFonts w:asciiTheme="majorHAnsi" w:eastAsia="Times New Roman" w:hAnsiTheme="majorHAnsi" w:cstheme="majorHAnsi"/>
                <w:sz w:val="24"/>
                <w:szCs w:val="24"/>
              </w:rPr>
              <w:t xml:space="preserve"> do art. </w:t>
            </w:r>
            <w:r w:rsidRPr="002C1A2C">
              <w:rPr>
                <w:rFonts w:asciiTheme="majorHAnsi" w:eastAsia="Calibri" w:hAnsiTheme="majorHAnsi" w:cstheme="majorHAnsi"/>
                <w:sz w:val="24"/>
                <w:szCs w:val="24"/>
              </w:rPr>
              <w:t>4º do Decreto nº 10.411, de 2020.</w:t>
            </w:r>
          </w:p>
        </w:tc>
      </w:tr>
      <w:tr w:rsidR="00C52470" w:rsidRPr="002C1A2C" w14:paraId="640E7752" w14:textId="776BA591" w:rsidTr="7DE461B5">
        <w:trPr>
          <w:trHeight w:val="300"/>
        </w:trPr>
        <w:tc>
          <w:tcPr>
            <w:tcW w:w="1250" w:type="pct"/>
          </w:tcPr>
          <w:p w14:paraId="325585B1"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15F6AAD9" w14:textId="1FF59073" w:rsidR="00C52470" w:rsidRPr="002C1A2C" w:rsidRDefault="00C52470" w:rsidP="006D6628">
            <w:pPr>
              <w:spacing w:line="360" w:lineRule="auto"/>
              <w:jc w:val="both"/>
              <w:rPr>
                <w:rFonts w:asciiTheme="majorHAnsi" w:hAnsiTheme="majorHAnsi" w:cstheme="majorHAnsi"/>
                <w:color w:val="0070C0"/>
                <w:sz w:val="24"/>
                <w:szCs w:val="24"/>
              </w:rPr>
            </w:pPr>
            <w:r w:rsidRPr="006D78BF">
              <w:rPr>
                <w:rFonts w:asciiTheme="majorHAnsi" w:hAnsiTheme="majorHAnsi" w:cstheme="majorHAnsi"/>
                <w:color w:val="0070C0"/>
                <w:sz w:val="24"/>
                <w:szCs w:val="24"/>
              </w:rPr>
              <w:t xml:space="preserve">III </w:t>
            </w:r>
            <w:r>
              <w:rPr>
                <w:rFonts w:asciiTheme="majorHAnsi" w:hAnsiTheme="majorHAnsi" w:cstheme="majorHAnsi"/>
                <w:color w:val="0070C0"/>
                <w:sz w:val="24"/>
                <w:szCs w:val="24"/>
              </w:rPr>
              <w:t>-</w:t>
            </w:r>
            <w:r w:rsidRPr="006D78BF">
              <w:rPr>
                <w:rFonts w:asciiTheme="majorHAnsi" w:hAnsiTheme="majorHAnsi" w:cstheme="majorHAnsi"/>
                <w:color w:val="0070C0"/>
                <w:sz w:val="24"/>
                <w:szCs w:val="24"/>
              </w:rPr>
              <w:t xml:space="preserve"> </w:t>
            </w:r>
            <w:r>
              <w:rPr>
                <w:rFonts w:asciiTheme="majorHAnsi" w:hAnsiTheme="majorHAnsi" w:cstheme="majorHAnsi"/>
                <w:color w:val="0070C0"/>
                <w:sz w:val="24"/>
                <w:szCs w:val="24"/>
              </w:rPr>
              <w:t xml:space="preserve">aspectos </w:t>
            </w:r>
            <w:r w:rsidRPr="006D78BF">
              <w:rPr>
                <w:rFonts w:asciiTheme="majorHAnsi" w:hAnsiTheme="majorHAnsi" w:cstheme="majorHAnsi"/>
                <w:color w:val="0070C0"/>
                <w:sz w:val="24"/>
                <w:szCs w:val="24"/>
              </w:rPr>
              <w:t>de governança</w:t>
            </w:r>
            <w:r>
              <w:rPr>
                <w:rFonts w:asciiTheme="majorHAnsi" w:hAnsiTheme="majorHAnsi" w:cstheme="majorHAnsi"/>
                <w:color w:val="0070C0"/>
                <w:sz w:val="24"/>
                <w:szCs w:val="24"/>
              </w:rPr>
              <w:t>, subdivididos nas seguintes vertentes:</w:t>
            </w:r>
          </w:p>
        </w:tc>
        <w:tc>
          <w:tcPr>
            <w:tcW w:w="1250" w:type="pct"/>
          </w:tcPr>
          <w:p w14:paraId="33050E9D"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6A55C743" w14:textId="77777777" w:rsidR="00C52470" w:rsidRPr="002C1A2C" w:rsidRDefault="00C52470" w:rsidP="006D6628">
            <w:pPr>
              <w:spacing w:after="160" w:line="360" w:lineRule="auto"/>
              <w:jc w:val="both"/>
              <w:rPr>
                <w:rFonts w:asciiTheme="majorHAnsi" w:eastAsia="Calibr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p w14:paraId="12C6CB16" w14:textId="52999E2B" w:rsidR="00C52470" w:rsidRPr="002C1A2C" w:rsidRDefault="00C52470" w:rsidP="006D6628">
            <w:pPr>
              <w:spacing w:line="360" w:lineRule="auto"/>
              <w:jc w:val="both"/>
              <w:rPr>
                <w:rFonts w:asciiTheme="majorHAnsi" w:hAnsiTheme="majorHAnsi" w:cstheme="majorHAnsi"/>
                <w:sz w:val="24"/>
                <w:szCs w:val="24"/>
              </w:rPr>
            </w:pPr>
          </w:p>
        </w:tc>
      </w:tr>
      <w:tr w:rsidR="00C52470" w:rsidRPr="002C1A2C" w14:paraId="7B0BAF8C" w14:textId="6BF38B70" w:rsidTr="7DE461B5">
        <w:trPr>
          <w:trHeight w:val="300"/>
        </w:trPr>
        <w:tc>
          <w:tcPr>
            <w:tcW w:w="1250" w:type="pct"/>
          </w:tcPr>
          <w:p w14:paraId="30BC4E05"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4309DCA0" w14:textId="7A8D8345" w:rsidR="00C52470" w:rsidRPr="006D78BF" w:rsidRDefault="00C52470" w:rsidP="006D6628">
            <w:pPr>
              <w:spacing w:line="360" w:lineRule="auto"/>
              <w:jc w:val="both"/>
              <w:rPr>
                <w:rFonts w:asciiTheme="majorHAnsi" w:hAnsiTheme="majorHAnsi" w:cstheme="majorHAnsi"/>
                <w:color w:val="0070C0"/>
                <w:sz w:val="24"/>
                <w:szCs w:val="24"/>
              </w:rPr>
            </w:pPr>
            <w:r>
              <w:rPr>
                <w:rFonts w:asciiTheme="majorHAnsi" w:hAnsiTheme="majorHAnsi" w:cstheme="majorHAnsi"/>
                <w:color w:val="0070C0"/>
                <w:sz w:val="24"/>
                <w:szCs w:val="24"/>
              </w:rPr>
              <w:t>a)</w:t>
            </w:r>
            <w:r w:rsidRPr="006D78BF">
              <w:rPr>
                <w:rFonts w:asciiTheme="majorHAnsi" w:hAnsiTheme="majorHAnsi" w:cstheme="majorHAnsi"/>
                <w:color w:val="0070C0"/>
                <w:sz w:val="24"/>
                <w:szCs w:val="24"/>
              </w:rPr>
              <w:t xml:space="preserve"> </w:t>
            </w:r>
            <w:r>
              <w:rPr>
                <w:rFonts w:asciiTheme="majorHAnsi" w:hAnsiTheme="majorHAnsi" w:cstheme="majorHAnsi"/>
                <w:color w:val="0070C0"/>
                <w:sz w:val="24"/>
                <w:szCs w:val="24"/>
              </w:rPr>
              <w:t xml:space="preserve">estruturas </w:t>
            </w:r>
            <w:r w:rsidRPr="006D78BF">
              <w:rPr>
                <w:rFonts w:asciiTheme="majorHAnsi" w:hAnsiTheme="majorHAnsi" w:cstheme="majorHAnsi"/>
                <w:color w:val="0070C0"/>
                <w:sz w:val="24"/>
                <w:szCs w:val="24"/>
              </w:rPr>
              <w:t xml:space="preserve">de governança: fatores e condições </w:t>
            </w:r>
            <w:r>
              <w:rPr>
                <w:rFonts w:asciiTheme="majorHAnsi" w:hAnsiTheme="majorHAnsi" w:cstheme="majorHAnsi"/>
                <w:color w:val="0070C0"/>
                <w:sz w:val="24"/>
                <w:szCs w:val="24"/>
              </w:rPr>
              <w:t xml:space="preserve">relacionados </w:t>
            </w:r>
            <w:r w:rsidRPr="006D78BF">
              <w:rPr>
                <w:rFonts w:asciiTheme="majorHAnsi" w:hAnsiTheme="majorHAnsi" w:cstheme="majorHAnsi"/>
                <w:color w:val="0070C0"/>
                <w:sz w:val="24"/>
                <w:szCs w:val="24"/>
              </w:rPr>
              <w:t xml:space="preserve">à estrutura e aos processos de tomada de decisão, à transparência, ao controle interno e </w:t>
            </w:r>
            <w:r>
              <w:rPr>
                <w:rFonts w:asciiTheme="majorHAnsi" w:hAnsiTheme="majorHAnsi" w:cstheme="majorHAnsi"/>
                <w:color w:val="0070C0"/>
                <w:sz w:val="24"/>
                <w:szCs w:val="24"/>
              </w:rPr>
              <w:t>à prevenção e</w:t>
            </w:r>
            <w:r w:rsidRPr="006D78BF">
              <w:rPr>
                <w:rFonts w:asciiTheme="majorHAnsi" w:hAnsiTheme="majorHAnsi" w:cstheme="majorHAnsi"/>
                <w:color w:val="0070C0"/>
                <w:sz w:val="24"/>
                <w:szCs w:val="24"/>
              </w:rPr>
              <w:t xml:space="preserve"> tratamento de conflitos de interesse;</w:t>
            </w:r>
            <w:r>
              <w:rPr>
                <w:rFonts w:asciiTheme="majorHAnsi" w:hAnsiTheme="majorHAnsi" w:cstheme="majorHAnsi"/>
                <w:color w:val="0070C0"/>
                <w:sz w:val="24"/>
                <w:szCs w:val="24"/>
              </w:rPr>
              <w:t xml:space="preserve"> e</w:t>
            </w:r>
          </w:p>
        </w:tc>
        <w:tc>
          <w:tcPr>
            <w:tcW w:w="1250" w:type="pct"/>
          </w:tcPr>
          <w:p w14:paraId="6C61B28D"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1DDC1983" w14:textId="26355EB5"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5DC5FED8" w14:textId="4D420FCB" w:rsidTr="7DE461B5">
        <w:trPr>
          <w:trHeight w:val="300"/>
        </w:trPr>
        <w:tc>
          <w:tcPr>
            <w:tcW w:w="1250" w:type="pct"/>
          </w:tcPr>
          <w:p w14:paraId="75403633"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3B6C3BB0" w14:textId="21F1D8EB" w:rsidR="00C52470" w:rsidRPr="002C1A2C" w:rsidRDefault="00C52470" w:rsidP="006D6628">
            <w:pPr>
              <w:spacing w:line="360" w:lineRule="auto"/>
              <w:jc w:val="both"/>
              <w:rPr>
                <w:rFonts w:asciiTheme="majorHAnsi" w:hAnsiTheme="majorHAnsi" w:cstheme="majorHAnsi"/>
                <w:color w:val="0070C0"/>
                <w:sz w:val="24"/>
                <w:szCs w:val="24"/>
              </w:rPr>
            </w:pPr>
            <w:r>
              <w:rPr>
                <w:rFonts w:asciiTheme="majorHAnsi" w:hAnsiTheme="majorHAnsi" w:cstheme="majorHAnsi"/>
                <w:color w:val="0070C0"/>
                <w:sz w:val="24"/>
                <w:szCs w:val="24"/>
              </w:rPr>
              <w:t>b)</w:t>
            </w:r>
            <w:r w:rsidRPr="006D78BF">
              <w:rPr>
                <w:rFonts w:asciiTheme="majorHAnsi" w:hAnsiTheme="majorHAnsi" w:cstheme="majorHAnsi"/>
                <w:color w:val="0070C0"/>
                <w:sz w:val="24"/>
                <w:szCs w:val="24"/>
              </w:rPr>
              <w:t xml:space="preserve"> integridade: fatores e condições relativos à observância de princípios éticos, ao cumprimento de normas de probidade, à prevenção de fraudes</w:t>
            </w:r>
            <w:r>
              <w:rPr>
                <w:rFonts w:asciiTheme="majorHAnsi" w:hAnsiTheme="majorHAnsi" w:cstheme="majorHAnsi"/>
                <w:color w:val="0070C0"/>
                <w:sz w:val="24"/>
                <w:szCs w:val="24"/>
              </w:rPr>
              <w:t>, desvios de conduta</w:t>
            </w:r>
            <w:r w:rsidRPr="006D78BF">
              <w:rPr>
                <w:rFonts w:asciiTheme="majorHAnsi" w:hAnsiTheme="majorHAnsi" w:cstheme="majorHAnsi"/>
                <w:color w:val="0070C0"/>
                <w:sz w:val="24"/>
                <w:szCs w:val="24"/>
              </w:rPr>
              <w:t xml:space="preserve"> e práticas de corrupção.</w:t>
            </w:r>
          </w:p>
        </w:tc>
        <w:tc>
          <w:tcPr>
            <w:tcW w:w="1250" w:type="pct"/>
          </w:tcPr>
          <w:p w14:paraId="423A9DD6"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3B575EEE" w14:textId="6D457A69"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4657AD69" w14:textId="0B76DE04" w:rsidTr="7DE461B5">
        <w:trPr>
          <w:trHeight w:val="300"/>
        </w:trPr>
        <w:tc>
          <w:tcPr>
            <w:tcW w:w="1250" w:type="pct"/>
          </w:tcPr>
          <w:p w14:paraId="72B8DD42" w14:textId="55A5AD6D"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Sem referência anterior.</w:t>
            </w:r>
          </w:p>
        </w:tc>
        <w:tc>
          <w:tcPr>
            <w:tcW w:w="1250" w:type="pct"/>
          </w:tcPr>
          <w:p w14:paraId="390D10B5" w14:textId="073A1B22" w:rsidR="00C52470" w:rsidRPr="002C1A2C" w:rsidRDefault="00C52470" w:rsidP="7DE461B5">
            <w:pPr>
              <w:spacing w:line="360" w:lineRule="auto"/>
              <w:jc w:val="both"/>
              <w:rPr>
                <w:rFonts w:asciiTheme="majorHAnsi" w:hAnsiTheme="majorHAnsi" w:cstheme="majorBidi"/>
                <w:color w:val="0070C0"/>
                <w:sz w:val="24"/>
                <w:szCs w:val="24"/>
              </w:rPr>
            </w:pPr>
            <w:r w:rsidRPr="7DE461B5">
              <w:rPr>
                <w:rFonts w:asciiTheme="majorHAnsi" w:hAnsiTheme="majorHAnsi" w:cstheme="majorBidi"/>
                <w:color w:val="0070C0"/>
                <w:sz w:val="24"/>
                <w:szCs w:val="24"/>
              </w:rPr>
              <w:t xml:space="preserve">Art. </w:t>
            </w:r>
            <w:r w:rsidRPr="3CA1B772">
              <w:rPr>
                <w:rFonts w:asciiTheme="majorHAnsi" w:hAnsiTheme="majorHAnsi" w:cstheme="majorBidi"/>
                <w:color w:val="0070C0"/>
                <w:sz w:val="24"/>
                <w:szCs w:val="24"/>
              </w:rPr>
              <w:t>368-</w:t>
            </w:r>
            <w:r w:rsidR="0043684A">
              <w:rPr>
                <w:rFonts w:asciiTheme="majorHAnsi" w:hAnsiTheme="majorHAnsi" w:cstheme="majorBidi"/>
                <w:color w:val="0070C0"/>
                <w:sz w:val="24"/>
                <w:szCs w:val="24"/>
              </w:rPr>
              <w:t>B</w:t>
            </w:r>
            <w:r w:rsidRPr="7DE461B5">
              <w:rPr>
                <w:rFonts w:asciiTheme="majorHAnsi" w:hAnsiTheme="majorHAnsi" w:cstheme="majorBidi"/>
                <w:color w:val="0070C0"/>
                <w:sz w:val="24"/>
                <w:szCs w:val="24"/>
              </w:rPr>
              <w:t>.  A EFPC deve julgar se os aspectos relacionados à sustentabilidade econômica, ambiental, social e de governança de seus investimentos são materiais e relevantes.</w:t>
            </w:r>
          </w:p>
        </w:tc>
        <w:tc>
          <w:tcPr>
            <w:tcW w:w="1250" w:type="pct"/>
          </w:tcPr>
          <w:p w14:paraId="7032558F" w14:textId="1A7EB48F"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Novo artigo para observância da Previc ao §4º do Art. 10 da Resolução CMN nº 4.994, de 2022, </w:t>
            </w:r>
          </w:p>
          <w:p w14:paraId="20779481" w14:textId="0ED3577D" w:rsidR="00C52470" w:rsidRPr="002C1A2C" w:rsidRDefault="00C52470" w:rsidP="006D6628">
            <w:pPr>
              <w:spacing w:line="360" w:lineRule="auto"/>
              <w:jc w:val="both"/>
              <w:rPr>
                <w:rFonts w:asciiTheme="majorHAnsi" w:hAnsiTheme="majorHAnsi" w:cstheme="majorHAnsi"/>
                <w:sz w:val="24"/>
                <w:szCs w:val="24"/>
              </w:rPr>
            </w:pPr>
          </w:p>
          <w:p w14:paraId="4546C09A" w14:textId="476731B3" w:rsidR="00C52470" w:rsidRPr="002C1A2C" w:rsidRDefault="00C52470" w:rsidP="006D6628">
            <w:pPr>
              <w:spacing w:line="360" w:lineRule="auto"/>
              <w:jc w:val="both"/>
              <w:rPr>
                <w:rFonts w:asciiTheme="majorHAnsi" w:hAnsiTheme="majorHAnsi" w:cstheme="majorBidi"/>
                <w:sz w:val="24"/>
                <w:szCs w:val="24"/>
              </w:rPr>
            </w:pPr>
            <w:r w:rsidRPr="6A13D3E3">
              <w:rPr>
                <w:rFonts w:asciiTheme="majorHAnsi" w:hAnsiTheme="majorHAnsi" w:cstheme="majorBidi"/>
                <w:sz w:val="24"/>
                <w:szCs w:val="24"/>
              </w:rPr>
              <w:t>Entendeu-se que a alteração promovida no parágrafo 4º do artigo 10 da Resolução CMN nº 4.994, de 2022, pela Resolução CMN nº 5.202, de 2025, necessita ser regulamentada para definição quanto à materialidade e relevância mencionadas na norma. Este entendimento se baseou na inserção do §5º no mesmo artigo 10, que delegou para O Previc a definição de procedimento para avaliação e transparência dos impactos ASG da carteira da EFPC.</w:t>
            </w:r>
          </w:p>
        </w:tc>
        <w:tc>
          <w:tcPr>
            <w:tcW w:w="1250" w:type="pct"/>
          </w:tcPr>
          <w:p w14:paraId="0AE64C1F" w14:textId="5145A9CA"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03ADA366" w14:textId="79973CF0" w:rsidTr="7DE461B5">
        <w:trPr>
          <w:trHeight w:val="300"/>
        </w:trPr>
        <w:tc>
          <w:tcPr>
            <w:tcW w:w="1250" w:type="pct"/>
          </w:tcPr>
          <w:p w14:paraId="55F3016F" w14:textId="4FFB0C42"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68AF017" w14:textId="47970B59" w:rsidR="00C52470" w:rsidRPr="002C1A2C" w:rsidRDefault="00C52470" w:rsidP="006D6628">
            <w:pPr>
              <w:spacing w:line="360" w:lineRule="auto"/>
              <w:jc w:val="both"/>
              <w:rPr>
                <w:rFonts w:asciiTheme="majorHAnsi" w:hAnsiTheme="majorHAnsi" w:cstheme="majorBidi"/>
                <w:color w:val="0070C0"/>
                <w:sz w:val="24"/>
                <w:szCs w:val="24"/>
              </w:rPr>
            </w:pPr>
            <w:r w:rsidRPr="6A13D3E3">
              <w:rPr>
                <w:rFonts w:asciiTheme="majorHAnsi" w:hAnsiTheme="majorHAnsi" w:cstheme="majorBidi"/>
                <w:color w:val="0070C0"/>
                <w:sz w:val="24"/>
                <w:szCs w:val="24"/>
              </w:rPr>
              <w:t xml:space="preserve">§ 1º </w:t>
            </w:r>
            <w:r>
              <w:rPr>
                <w:rFonts w:asciiTheme="majorHAnsi" w:hAnsiTheme="majorHAnsi" w:cstheme="majorBidi"/>
                <w:color w:val="0070C0"/>
                <w:sz w:val="24"/>
                <w:szCs w:val="24"/>
              </w:rPr>
              <w:t xml:space="preserve"> </w:t>
            </w:r>
            <w:r w:rsidRPr="6A13D3E3">
              <w:rPr>
                <w:rFonts w:asciiTheme="majorHAnsi" w:hAnsiTheme="majorHAnsi" w:cstheme="majorBidi"/>
                <w:color w:val="0070C0"/>
                <w:sz w:val="24"/>
                <w:szCs w:val="24"/>
              </w:rPr>
              <w:t>A análise para determinar a materialidade e relevância dos fatores de sustentabilidade econômica, ambiental e social deve, no mínimo:</w:t>
            </w:r>
          </w:p>
        </w:tc>
        <w:tc>
          <w:tcPr>
            <w:tcW w:w="1250" w:type="pct"/>
          </w:tcPr>
          <w:p w14:paraId="7B298A5A" w14:textId="5AF2DA02"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O parágrafo 1º define uma espécie de filtro interno que deve ser feito pela própria EFPC. Este “filtro” é um documento da EFPC (que deve ser contemplado alínea “h” do inciso VII do art. 214 da política de </w:t>
            </w:r>
            <w:r w:rsidRPr="002C1A2C">
              <w:rPr>
                <w:rFonts w:asciiTheme="majorHAnsi" w:hAnsiTheme="majorHAnsi" w:cstheme="majorHAnsi"/>
                <w:sz w:val="24"/>
                <w:szCs w:val="24"/>
              </w:rPr>
              <w:lastRenderedPageBreak/>
              <w:t>investimentos) que vai determinar quais investimentos estarão sujeitos à análise de materialidade e relevância e deve observar o disposto nos incisos abaixo.</w:t>
            </w:r>
          </w:p>
        </w:tc>
        <w:tc>
          <w:tcPr>
            <w:tcW w:w="1250" w:type="pct"/>
          </w:tcPr>
          <w:p w14:paraId="1785B507" w14:textId="379090B2"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50E0FE5B" w14:textId="2C6BD599" w:rsidTr="7DE461B5">
        <w:trPr>
          <w:trHeight w:val="300"/>
        </w:trPr>
        <w:tc>
          <w:tcPr>
            <w:tcW w:w="1250" w:type="pct"/>
          </w:tcPr>
          <w:p w14:paraId="36C006D0" w14:textId="6D121BC3"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7FD21FD7" w14:textId="2AB34C38"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 </w:t>
            </w:r>
            <w:r>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adotar conceito de dupla materialidade, considerando:</w:t>
            </w:r>
          </w:p>
        </w:tc>
        <w:tc>
          <w:tcPr>
            <w:tcW w:w="1250" w:type="pct"/>
          </w:tcPr>
          <w:p w14:paraId="3B1C89D8" w14:textId="0A848BF1"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Padrão na construção da análise de materialidade na academia e nas contribuições recebidas de EFPC. Consiste na avaliação, em separado, dos impactos internos e externos.</w:t>
            </w:r>
          </w:p>
        </w:tc>
        <w:tc>
          <w:tcPr>
            <w:tcW w:w="1250" w:type="pct"/>
          </w:tcPr>
          <w:p w14:paraId="3A2ABFF6" w14:textId="1F4DFA4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4CBB9D78" w14:textId="51326338" w:rsidTr="7DE461B5">
        <w:trPr>
          <w:trHeight w:val="300"/>
        </w:trPr>
        <w:tc>
          <w:tcPr>
            <w:tcW w:w="1250" w:type="pct"/>
          </w:tcPr>
          <w:p w14:paraId="7A9C4558" w14:textId="6ABFF53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81D406C" w14:textId="3B7FBBEA" w:rsidR="00C52470" w:rsidRPr="002C1A2C" w:rsidRDefault="00C52470" w:rsidP="006D6628">
            <w:pPr>
              <w:spacing w:line="360" w:lineRule="auto"/>
              <w:jc w:val="both"/>
              <w:rPr>
                <w:rFonts w:asciiTheme="majorHAnsi" w:hAnsiTheme="majorHAnsi" w:cstheme="majorBidi"/>
                <w:color w:val="0070C0"/>
                <w:sz w:val="24"/>
                <w:szCs w:val="24"/>
              </w:rPr>
            </w:pPr>
            <w:r w:rsidRPr="6A13D3E3">
              <w:rPr>
                <w:rFonts w:asciiTheme="majorHAnsi" w:hAnsiTheme="majorHAnsi" w:cstheme="majorBidi"/>
                <w:color w:val="0070C0"/>
                <w:sz w:val="24"/>
                <w:szCs w:val="24"/>
              </w:rPr>
              <w:t>a) materialidade de impacto: avaliação de efeitos positivos</w:t>
            </w:r>
            <w:r>
              <w:rPr>
                <w:rFonts w:asciiTheme="majorHAnsi" w:hAnsiTheme="majorHAnsi" w:cstheme="majorBidi"/>
                <w:color w:val="0070C0"/>
                <w:sz w:val="24"/>
                <w:szCs w:val="24"/>
              </w:rPr>
              <w:t>,</w:t>
            </w:r>
            <w:r w:rsidRPr="6A13D3E3">
              <w:rPr>
                <w:rFonts w:asciiTheme="majorHAnsi" w:hAnsiTheme="majorHAnsi" w:cstheme="majorBidi"/>
                <w:color w:val="0070C0"/>
                <w:sz w:val="24"/>
                <w:szCs w:val="24"/>
              </w:rPr>
              <w:t xml:space="preserve"> negativos</w:t>
            </w:r>
            <w:r>
              <w:rPr>
                <w:rFonts w:asciiTheme="majorHAnsi" w:hAnsiTheme="majorHAnsi" w:cstheme="majorBidi"/>
                <w:color w:val="0070C0"/>
                <w:sz w:val="24"/>
                <w:szCs w:val="24"/>
              </w:rPr>
              <w:t xml:space="preserve"> ou neutros</w:t>
            </w:r>
            <w:r w:rsidRPr="6A13D3E3">
              <w:rPr>
                <w:rFonts w:asciiTheme="majorHAnsi" w:hAnsiTheme="majorHAnsi" w:cstheme="majorBidi"/>
                <w:color w:val="0070C0"/>
                <w:sz w:val="24"/>
                <w:szCs w:val="24"/>
              </w:rPr>
              <w:t xml:space="preserve"> que os investimentos podem gerar no meio ambiente e na sociedade;</w:t>
            </w:r>
          </w:p>
        </w:tc>
        <w:tc>
          <w:tcPr>
            <w:tcW w:w="1250" w:type="pct"/>
          </w:tcPr>
          <w:p w14:paraId="753D538F" w14:textId="19F95D5E"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Dispositivo normativo que busca definir materialidade de impacto.</w:t>
            </w:r>
          </w:p>
        </w:tc>
        <w:tc>
          <w:tcPr>
            <w:tcW w:w="1250" w:type="pct"/>
          </w:tcPr>
          <w:p w14:paraId="3C882EB6" w14:textId="043B920F"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703D42B4" w14:textId="16B3A06A" w:rsidTr="7DE461B5">
        <w:trPr>
          <w:trHeight w:val="300"/>
        </w:trPr>
        <w:tc>
          <w:tcPr>
            <w:tcW w:w="1250" w:type="pct"/>
          </w:tcPr>
          <w:p w14:paraId="44855D04" w14:textId="612FE021"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4B4E4CC7" w14:textId="53C24500" w:rsidR="00C52470" w:rsidRPr="002C1A2C" w:rsidRDefault="00C52470" w:rsidP="006D6628">
            <w:pPr>
              <w:spacing w:line="360" w:lineRule="auto"/>
              <w:jc w:val="both"/>
              <w:rPr>
                <w:rFonts w:asciiTheme="majorHAnsi" w:hAnsiTheme="majorHAnsi" w:cstheme="majorBidi"/>
                <w:color w:val="0070C0"/>
                <w:sz w:val="24"/>
                <w:szCs w:val="24"/>
              </w:rPr>
            </w:pPr>
            <w:r w:rsidRPr="6A13D3E3">
              <w:rPr>
                <w:rFonts w:asciiTheme="majorHAnsi" w:hAnsiTheme="majorHAnsi" w:cstheme="majorBidi"/>
                <w:color w:val="0070C0"/>
                <w:sz w:val="24"/>
                <w:szCs w:val="24"/>
              </w:rPr>
              <w:t xml:space="preserve">b) materialidade financeira: análise da influência de fatores ambientais, sociais e de governança nos resultados financeiros, incluindo riscos e oportunidades que poderiam afetar significativamente a capacidade de honrar os </w:t>
            </w:r>
            <w:r w:rsidRPr="6A13D3E3">
              <w:rPr>
                <w:rFonts w:asciiTheme="majorHAnsi" w:hAnsiTheme="majorHAnsi" w:cstheme="majorBidi"/>
                <w:color w:val="0070C0"/>
                <w:sz w:val="24"/>
                <w:szCs w:val="24"/>
              </w:rPr>
              <w:lastRenderedPageBreak/>
              <w:t>compromissos futuros do</w:t>
            </w:r>
            <w:r>
              <w:rPr>
                <w:rFonts w:asciiTheme="majorHAnsi" w:hAnsiTheme="majorHAnsi" w:cstheme="majorBidi"/>
                <w:color w:val="0070C0"/>
                <w:sz w:val="24"/>
                <w:szCs w:val="24"/>
              </w:rPr>
              <w:t>s</w:t>
            </w:r>
            <w:r w:rsidRPr="6A13D3E3">
              <w:rPr>
                <w:rFonts w:asciiTheme="majorHAnsi" w:hAnsiTheme="majorHAnsi" w:cstheme="majorBidi"/>
                <w:color w:val="0070C0"/>
                <w:sz w:val="24"/>
                <w:szCs w:val="24"/>
              </w:rPr>
              <w:t xml:space="preserve"> plano</w:t>
            </w:r>
            <w:r>
              <w:rPr>
                <w:rFonts w:asciiTheme="majorHAnsi" w:hAnsiTheme="majorHAnsi" w:cstheme="majorBidi"/>
                <w:color w:val="0070C0"/>
                <w:sz w:val="24"/>
                <w:szCs w:val="24"/>
              </w:rPr>
              <w:t>s</w:t>
            </w:r>
            <w:r w:rsidRPr="6A13D3E3">
              <w:rPr>
                <w:rFonts w:asciiTheme="majorHAnsi" w:hAnsiTheme="majorHAnsi" w:cstheme="majorBidi"/>
                <w:color w:val="0070C0"/>
                <w:sz w:val="24"/>
                <w:szCs w:val="24"/>
              </w:rPr>
              <w:t xml:space="preserve"> de benefícios.</w:t>
            </w:r>
          </w:p>
        </w:tc>
        <w:tc>
          <w:tcPr>
            <w:tcW w:w="1250" w:type="pct"/>
          </w:tcPr>
          <w:p w14:paraId="15E43E78" w14:textId="747AA46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Dispositivo normativo que busca definir materialidade financeira.</w:t>
            </w:r>
          </w:p>
        </w:tc>
        <w:tc>
          <w:tcPr>
            <w:tcW w:w="1250" w:type="pct"/>
          </w:tcPr>
          <w:p w14:paraId="77DDF9D3" w14:textId="636A5E26"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055F573A" w14:textId="56F596F6" w:rsidTr="7DE461B5">
        <w:trPr>
          <w:trHeight w:val="300"/>
        </w:trPr>
        <w:tc>
          <w:tcPr>
            <w:tcW w:w="1250" w:type="pct"/>
          </w:tcPr>
          <w:p w14:paraId="30ECD0C2" w14:textId="04B629F5"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08117B1F" w14:textId="2E58C2FF"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 </w:t>
            </w:r>
            <w:r>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uso de indicadores e métricas setoriais, notas de riscos temáticos ou ratings especializados disponíveis</w:t>
            </w:r>
            <w:r>
              <w:rPr>
                <w:rFonts w:asciiTheme="majorHAnsi" w:hAnsiTheme="majorHAnsi" w:cstheme="majorHAnsi"/>
                <w:color w:val="0070C0"/>
                <w:sz w:val="24"/>
                <w:szCs w:val="24"/>
              </w:rPr>
              <w:t xml:space="preserve"> ou proprietários</w:t>
            </w:r>
            <w:r w:rsidRPr="002C1A2C">
              <w:rPr>
                <w:rFonts w:asciiTheme="majorHAnsi" w:hAnsiTheme="majorHAnsi" w:cstheme="majorHAnsi"/>
                <w:color w:val="0070C0"/>
                <w:sz w:val="24"/>
                <w:szCs w:val="24"/>
              </w:rPr>
              <w:t>; e</w:t>
            </w:r>
          </w:p>
        </w:tc>
        <w:tc>
          <w:tcPr>
            <w:tcW w:w="1250" w:type="pct"/>
          </w:tcPr>
          <w:p w14:paraId="21AD032B" w14:textId="0E7F9733"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Dispositivo normativo que busca incentivar a tomada de decisões baseada em dados.</w:t>
            </w:r>
          </w:p>
        </w:tc>
        <w:tc>
          <w:tcPr>
            <w:tcW w:w="1250" w:type="pct"/>
          </w:tcPr>
          <w:p w14:paraId="3B8BAA77" w14:textId="6956D9A5"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1C54FFAE" w14:textId="0D168AC8" w:rsidTr="7DE461B5">
        <w:trPr>
          <w:trHeight w:val="300"/>
        </w:trPr>
        <w:tc>
          <w:tcPr>
            <w:tcW w:w="1250" w:type="pct"/>
          </w:tcPr>
          <w:p w14:paraId="73328850" w14:textId="5B7458E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74A44AD0" w14:textId="1E3D72F3"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III </w:t>
            </w:r>
            <w:r>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alinhar a relevância do tema frente aos objetivos de longo prazo do</w:t>
            </w:r>
            <w:r>
              <w:rPr>
                <w:rFonts w:asciiTheme="majorHAnsi" w:hAnsiTheme="majorHAnsi" w:cstheme="majorHAnsi"/>
                <w:color w:val="0070C0"/>
                <w:sz w:val="24"/>
                <w:szCs w:val="24"/>
              </w:rPr>
              <w:t>s</w:t>
            </w:r>
            <w:r w:rsidRPr="002C1A2C">
              <w:rPr>
                <w:rFonts w:asciiTheme="majorHAnsi" w:hAnsiTheme="majorHAnsi" w:cstheme="majorHAnsi"/>
                <w:color w:val="0070C0"/>
                <w:sz w:val="24"/>
                <w:szCs w:val="24"/>
              </w:rPr>
              <w:t xml:space="preserve"> plano</w:t>
            </w:r>
            <w:r>
              <w:rPr>
                <w:rFonts w:asciiTheme="majorHAnsi" w:hAnsiTheme="majorHAnsi" w:cstheme="majorHAnsi"/>
                <w:color w:val="0070C0"/>
                <w:sz w:val="24"/>
                <w:szCs w:val="24"/>
              </w:rPr>
              <w:t>s</w:t>
            </w:r>
            <w:r w:rsidRPr="002C1A2C">
              <w:rPr>
                <w:rFonts w:asciiTheme="majorHAnsi" w:hAnsiTheme="majorHAnsi" w:cstheme="majorHAnsi"/>
                <w:color w:val="0070C0"/>
                <w:sz w:val="24"/>
                <w:szCs w:val="24"/>
              </w:rPr>
              <w:t xml:space="preserve"> de benefícios;</w:t>
            </w:r>
          </w:p>
        </w:tc>
        <w:tc>
          <w:tcPr>
            <w:tcW w:w="1250" w:type="pct"/>
          </w:tcPr>
          <w:p w14:paraId="5DD7012D" w14:textId="36E754D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Incentivar que a análise de materialidade cumpra seu papel no alinhamento da seleção de investimentos e a visão dos responsáveis pela gestão</w:t>
            </w:r>
          </w:p>
        </w:tc>
        <w:tc>
          <w:tcPr>
            <w:tcW w:w="1250" w:type="pct"/>
          </w:tcPr>
          <w:p w14:paraId="522BB5DB" w14:textId="4AE8313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39DA7FBC" w14:textId="4C5F13E8" w:rsidTr="7DE461B5">
        <w:trPr>
          <w:trHeight w:val="300"/>
        </w:trPr>
        <w:tc>
          <w:tcPr>
            <w:tcW w:w="1250" w:type="pct"/>
          </w:tcPr>
          <w:p w14:paraId="387FFE77" w14:textId="0F7E1C16" w:rsidR="00C52470" w:rsidRPr="002C1A2C" w:rsidRDefault="00C52470" w:rsidP="006D6628">
            <w:pPr>
              <w:spacing w:line="360" w:lineRule="auto"/>
              <w:jc w:val="both"/>
              <w:rPr>
                <w:rFonts w:asciiTheme="majorHAnsi" w:hAnsiTheme="majorHAnsi" w:cstheme="majorHAnsi"/>
                <w:sz w:val="24"/>
                <w:szCs w:val="24"/>
              </w:rPr>
            </w:pPr>
            <w:r>
              <w:rPr>
                <w:rFonts w:asciiTheme="majorHAnsi" w:hAnsiTheme="majorHAnsi" w:cstheme="majorHAnsi"/>
                <w:sz w:val="24"/>
                <w:szCs w:val="24"/>
              </w:rPr>
              <w:t>Sem referência anterior.</w:t>
            </w:r>
          </w:p>
        </w:tc>
        <w:tc>
          <w:tcPr>
            <w:tcW w:w="1250" w:type="pct"/>
          </w:tcPr>
          <w:p w14:paraId="2151E4D0" w14:textId="1A631456" w:rsidR="00C52470" w:rsidRPr="002C1A2C" w:rsidRDefault="00C52470" w:rsidP="006D6628">
            <w:pPr>
              <w:spacing w:line="360" w:lineRule="auto"/>
              <w:jc w:val="both"/>
              <w:rPr>
                <w:rFonts w:asciiTheme="majorHAnsi" w:hAnsiTheme="majorHAnsi" w:cstheme="majorHAnsi"/>
                <w:color w:val="0070C0"/>
                <w:sz w:val="24"/>
                <w:szCs w:val="24"/>
              </w:rPr>
            </w:pPr>
            <w:r w:rsidRPr="00C237BA">
              <w:rPr>
                <w:rFonts w:asciiTheme="majorHAnsi" w:hAnsiTheme="majorHAnsi" w:cstheme="majorHAnsi"/>
                <w:color w:val="0070C0"/>
                <w:sz w:val="24"/>
                <w:szCs w:val="24"/>
              </w:rPr>
              <w:t xml:space="preserve">§ 2º  Para </w:t>
            </w:r>
            <w:r>
              <w:rPr>
                <w:rFonts w:asciiTheme="majorHAnsi" w:hAnsiTheme="majorHAnsi" w:cstheme="majorHAnsi"/>
                <w:color w:val="0070C0"/>
                <w:sz w:val="24"/>
                <w:szCs w:val="24"/>
              </w:rPr>
              <w:t>cumprimento d</w:t>
            </w:r>
            <w:r w:rsidRPr="00C237BA">
              <w:rPr>
                <w:rFonts w:asciiTheme="majorHAnsi" w:hAnsiTheme="majorHAnsi" w:cstheme="majorHAnsi"/>
                <w:color w:val="0070C0"/>
                <w:sz w:val="24"/>
                <w:szCs w:val="24"/>
              </w:rPr>
              <w:t>o disposto no § 1º</w:t>
            </w:r>
            <w:r>
              <w:rPr>
                <w:rFonts w:asciiTheme="majorHAnsi" w:hAnsiTheme="majorHAnsi" w:cstheme="majorHAnsi"/>
                <w:color w:val="0070C0"/>
                <w:sz w:val="24"/>
                <w:szCs w:val="24"/>
              </w:rPr>
              <w:t>,</w:t>
            </w:r>
            <w:r w:rsidRPr="00C237BA">
              <w:rPr>
                <w:rFonts w:asciiTheme="majorHAnsi" w:hAnsiTheme="majorHAnsi" w:cstheme="majorHAnsi"/>
                <w:color w:val="0070C0"/>
                <w:sz w:val="24"/>
                <w:szCs w:val="24"/>
              </w:rPr>
              <w:t xml:space="preserve"> a EFPC pode selecionar uma ou mais carteiras de investimentos ou um ou mais segmentos de aplicação</w:t>
            </w:r>
            <w:r>
              <w:rPr>
                <w:rFonts w:asciiTheme="majorHAnsi" w:hAnsiTheme="majorHAnsi" w:cstheme="majorHAnsi"/>
                <w:color w:val="0070C0"/>
                <w:sz w:val="24"/>
                <w:szCs w:val="24"/>
              </w:rPr>
              <w:t xml:space="preserve"> dos recursos garantidores do plano de benefícios.</w:t>
            </w:r>
          </w:p>
        </w:tc>
        <w:tc>
          <w:tcPr>
            <w:tcW w:w="1250" w:type="pct"/>
          </w:tcPr>
          <w:p w14:paraId="5DC3C146" w14:textId="103843E1" w:rsidR="00C52470" w:rsidRPr="002C1A2C" w:rsidRDefault="00C52470" w:rsidP="006D6628">
            <w:pPr>
              <w:spacing w:line="360" w:lineRule="auto"/>
              <w:jc w:val="both"/>
              <w:rPr>
                <w:rFonts w:asciiTheme="majorHAnsi" w:hAnsiTheme="majorHAnsi" w:cstheme="majorHAnsi"/>
                <w:sz w:val="24"/>
                <w:szCs w:val="24"/>
              </w:rPr>
            </w:pPr>
            <w:r>
              <w:rPr>
                <w:rFonts w:asciiTheme="majorHAnsi" w:hAnsiTheme="majorHAnsi" w:cstheme="majorHAnsi"/>
                <w:sz w:val="24"/>
                <w:szCs w:val="24"/>
              </w:rPr>
              <w:t>A inclusão do parágrafo visa deixar mais evidente que a EFPC pode realizar a análise de materialidade apenas em parte de sua carteira de investimentos, caso entenda que essa parte é relevante.</w:t>
            </w:r>
          </w:p>
        </w:tc>
        <w:tc>
          <w:tcPr>
            <w:tcW w:w="1250" w:type="pct"/>
          </w:tcPr>
          <w:p w14:paraId="24082DC2" w14:textId="4E3C7BF1" w:rsidR="00C52470"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59FC2B83" w14:textId="7E82385F" w:rsidTr="7DE461B5">
        <w:trPr>
          <w:trHeight w:val="300"/>
        </w:trPr>
        <w:tc>
          <w:tcPr>
            <w:tcW w:w="1250" w:type="pct"/>
          </w:tcPr>
          <w:p w14:paraId="4AE7D22A" w14:textId="7D41E1A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3A7667C2" w14:textId="10EDBB30"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 </w:t>
            </w:r>
            <w:r>
              <w:rPr>
                <w:rFonts w:asciiTheme="majorHAnsi" w:hAnsiTheme="majorHAnsi" w:cstheme="majorHAnsi"/>
                <w:color w:val="0070C0"/>
                <w:sz w:val="24"/>
                <w:szCs w:val="24"/>
              </w:rPr>
              <w:t>3</w:t>
            </w:r>
            <w:r w:rsidRPr="002C1A2C">
              <w:rPr>
                <w:rFonts w:asciiTheme="majorHAnsi" w:hAnsiTheme="majorHAnsi" w:cstheme="majorHAnsi"/>
                <w:color w:val="0070C0"/>
                <w:sz w:val="24"/>
                <w:szCs w:val="24"/>
              </w:rPr>
              <w:t xml:space="preserve">º </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 xml:space="preserve">Os investimentos julgados materiais e relevantes pela EFPC devem ter os riscos relacionados à sustentabilidade econômica, ambiental, social e de governança identificados, analisados, </w:t>
            </w:r>
            <w:r w:rsidRPr="002C1A2C">
              <w:rPr>
                <w:rFonts w:asciiTheme="majorHAnsi" w:hAnsiTheme="majorHAnsi" w:cstheme="majorHAnsi"/>
                <w:color w:val="0070C0"/>
                <w:sz w:val="24"/>
                <w:szCs w:val="24"/>
              </w:rPr>
              <w:lastRenderedPageBreak/>
              <w:t>avaliados, controlados e monitorados.</w:t>
            </w:r>
          </w:p>
        </w:tc>
        <w:tc>
          <w:tcPr>
            <w:tcW w:w="1250" w:type="pct"/>
          </w:tcPr>
          <w:p w14:paraId="06DC83B7" w14:textId="3E7C234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A lógica do dispositivo é que, a partir do filtro criado pela própria EFPC seja utilizado para fazer a triagem dos tipos de ativo que estarão sujeitos a terem aspectos </w:t>
            </w:r>
            <w:r w:rsidRPr="002C1A2C">
              <w:rPr>
                <w:rFonts w:asciiTheme="majorHAnsi" w:hAnsiTheme="majorHAnsi" w:cstheme="majorHAnsi"/>
                <w:sz w:val="24"/>
                <w:szCs w:val="24"/>
              </w:rPr>
              <w:lastRenderedPageBreak/>
              <w:t>ASG analisados durante a análise de riscos do ativo.</w:t>
            </w:r>
          </w:p>
          <w:p w14:paraId="6B77476E" w14:textId="70161F44"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6141340B" w14:textId="18A789D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31222321" w14:textId="4C8E13AA" w:rsidTr="7DE461B5">
        <w:trPr>
          <w:trHeight w:val="300"/>
        </w:trPr>
        <w:tc>
          <w:tcPr>
            <w:tcW w:w="1250" w:type="pct"/>
          </w:tcPr>
          <w:p w14:paraId="086F49EE" w14:textId="637B5A8D"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3073EE07" w14:textId="3DA0FF29"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 </w:t>
            </w:r>
            <w:r w:rsidR="006D1568">
              <w:rPr>
                <w:rFonts w:asciiTheme="majorHAnsi" w:hAnsiTheme="majorHAnsi" w:cstheme="majorHAnsi"/>
                <w:color w:val="0070C0"/>
                <w:sz w:val="24"/>
                <w:szCs w:val="24"/>
              </w:rPr>
              <w:t>4</w:t>
            </w:r>
            <w:proofErr w:type="gramStart"/>
            <w:r w:rsidRPr="002C1A2C">
              <w:rPr>
                <w:rFonts w:asciiTheme="majorHAnsi" w:hAnsiTheme="majorHAnsi" w:cstheme="majorHAnsi"/>
                <w:color w:val="0070C0"/>
                <w:sz w:val="24"/>
                <w:szCs w:val="24"/>
              </w:rPr>
              <w:t>º  O</w:t>
            </w:r>
            <w:proofErr w:type="gramEnd"/>
            <w:r w:rsidRPr="002C1A2C">
              <w:rPr>
                <w:rFonts w:asciiTheme="majorHAnsi" w:hAnsiTheme="majorHAnsi" w:cstheme="majorHAnsi"/>
                <w:color w:val="0070C0"/>
                <w:sz w:val="24"/>
                <w:szCs w:val="24"/>
              </w:rPr>
              <w:t xml:space="preserve"> gerenciamentos dos riscos de que trata o § </w:t>
            </w:r>
            <w:r w:rsidR="00996A73">
              <w:rPr>
                <w:rFonts w:asciiTheme="majorHAnsi" w:hAnsiTheme="majorHAnsi" w:cstheme="majorHAnsi"/>
                <w:color w:val="0070C0"/>
                <w:sz w:val="24"/>
                <w:szCs w:val="24"/>
              </w:rPr>
              <w:t>3</w:t>
            </w:r>
            <w:r w:rsidRPr="002C1A2C">
              <w:rPr>
                <w:rFonts w:asciiTheme="majorHAnsi" w:hAnsiTheme="majorHAnsi" w:cstheme="majorHAnsi"/>
                <w:color w:val="0070C0"/>
                <w:sz w:val="24"/>
                <w:szCs w:val="24"/>
              </w:rPr>
              <w:t>º devem ser:</w:t>
            </w:r>
          </w:p>
        </w:tc>
        <w:tc>
          <w:tcPr>
            <w:tcW w:w="1250" w:type="pct"/>
          </w:tcPr>
          <w:p w14:paraId="6A7F4FB8" w14:textId="2943B1A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Dispositivo normativo que busca disciplinar a análise de risco dos ativos selecionados após aplicação do filtro pela EFPC.</w:t>
            </w:r>
          </w:p>
        </w:tc>
        <w:tc>
          <w:tcPr>
            <w:tcW w:w="1250" w:type="pct"/>
          </w:tcPr>
          <w:p w14:paraId="30DA15E5" w14:textId="6ACC215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419BF866" w14:textId="275797B4" w:rsidTr="7DE461B5">
        <w:trPr>
          <w:trHeight w:val="300"/>
        </w:trPr>
        <w:tc>
          <w:tcPr>
            <w:tcW w:w="1250" w:type="pct"/>
          </w:tcPr>
          <w:p w14:paraId="7F82267F" w14:textId="555C8BD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3F0BC016" w14:textId="081E28BA"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I – proporcionais ao montante investido e à relevância dos riscos dos ativos ou carteiras selecionadas, segundo critérios definidos pela EFPC;</w:t>
            </w:r>
          </w:p>
        </w:tc>
        <w:tc>
          <w:tcPr>
            <w:tcW w:w="1250" w:type="pct"/>
          </w:tcPr>
          <w:p w14:paraId="40D4DFD6" w14:textId="08D72FF0"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 Dispositivo normativo que traz a ideia de proporcionalidade, ou seja, a análise deve ser proporcional ao montante investido e à relevância dos riscos.</w:t>
            </w:r>
          </w:p>
        </w:tc>
        <w:tc>
          <w:tcPr>
            <w:tcW w:w="1250" w:type="pct"/>
          </w:tcPr>
          <w:p w14:paraId="6B706931" w14:textId="14AD46B2"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14284D29" w14:textId="12FE1308" w:rsidTr="7DE461B5">
        <w:trPr>
          <w:trHeight w:val="300"/>
        </w:trPr>
        <w:tc>
          <w:tcPr>
            <w:tcW w:w="1250" w:type="pct"/>
          </w:tcPr>
          <w:p w14:paraId="730A6FC4" w14:textId="5A6D2280"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726EA9B6" w14:textId="79E5E5E2"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II – adequados às características dos planos de benefícios, considerados o porte e complexidade EFPC que os administra.</w:t>
            </w:r>
          </w:p>
        </w:tc>
        <w:tc>
          <w:tcPr>
            <w:tcW w:w="1250" w:type="pct"/>
          </w:tcPr>
          <w:p w14:paraId="1A71A088" w14:textId="4AEC09A2"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Dispositivo normativo também voltado à ideia de proporcionalidade, com objetivo de delimitar que o perfil previdenciário e porte da EFPC devem ser levados em consideração na análise de riscos </w:t>
            </w:r>
          </w:p>
        </w:tc>
        <w:tc>
          <w:tcPr>
            <w:tcW w:w="1250" w:type="pct"/>
          </w:tcPr>
          <w:p w14:paraId="231883BF" w14:textId="333A6E2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0B5B6DA3" w14:textId="4537A53E" w:rsidTr="7DE461B5">
        <w:trPr>
          <w:trHeight w:val="300"/>
        </w:trPr>
        <w:tc>
          <w:tcPr>
            <w:tcW w:w="1250" w:type="pct"/>
          </w:tcPr>
          <w:p w14:paraId="075814E7" w14:textId="27D1643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9269F5C" w14:textId="4E788FFC" w:rsidR="00C52470" w:rsidRPr="002C1A2C" w:rsidRDefault="00C52470" w:rsidP="006D6628">
            <w:pPr>
              <w:spacing w:line="360" w:lineRule="auto"/>
              <w:jc w:val="both"/>
              <w:rPr>
                <w:rFonts w:asciiTheme="majorHAnsi" w:hAnsiTheme="majorHAnsi" w:cstheme="majorBidi"/>
                <w:color w:val="0070C0"/>
                <w:sz w:val="24"/>
                <w:szCs w:val="24"/>
              </w:rPr>
            </w:pPr>
            <w:r w:rsidRPr="5250E1D0">
              <w:rPr>
                <w:rFonts w:asciiTheme="majorHAnsi" w:hAnsiTheme="majorHAnsi" w:cstheme="majorBidi"/>
                <w:color w:val="0070C0"/>
                <w:sz w:val="24"/>
                <w:szCs w:val="24"/>
              </w:rPr>
              <w:t>Art. 368-</w:t>
            </w:r>
            <w:r w:rsidR="0043684A" w:rsidRPr="5250E1D0">
              <w:rPr>
                <w:rFonts w:asciiTheme="majorHAnsi" w:hAnsiTheme="majorHAnsi" w:cstheme="majorBidi"/>
                <w:color w:val="0070C0"/>
                <w:sz w:val="24"/>
                <w:szCs w:val="24"/>
              </w:rPr>
              <w:t>C</w:t>
            </w:r>
            <w:r w:rsidRPr="5250E1D0">
              <w:rPr>
                <w:rFonts w:asciiTheme="majorHAnsi" w:hAnsiTheme="majorHAnsi" w:cstheme="majorBidi"/>
                <w:color w:val="0070C0"/>
                <w:sz w:val="24"/>
                <w:szCs w:val="24"/>
              </w:rPr>
              <w:t xml:space="preserve">. A EFPC deve divulgar informações referentes aos impactos ambientais, sociais ou de governança relacionados a carteira de investimentos dos planos de </w:t>
            </w:r>
            <w:r w:rsidRPr="5250E1D0">
              <w:rPr>
                <w:rFonts w:asciiTheme="majorHAnsi" w:hAnsiTheme="majorHAnsi" w:cstheme="majorBidi"/>
                <w:color w:val="0070C0"/>
                <w:sz w:val="24"/>
                <w:szCs w:val="24"/>
              </w:rPr>
              <w:lastRenderedPageBreak/>
              <w:t>benefícios, abrangendo, no mínimo:</w:t>
            </w:r>
          </w:p>
        </w:tc>
        <w:tc>
          <w:tcPr>
            <w:tcW w:w="1250" w:type="pct"/>
          </w:tcPr>
          <w:p w14:paraId="29159CDE" w14:textId="1EE7A359"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Novo artigo para observância da Previc ao §5º do Art. 10 da Resolução CMN nº 4.994, de 2022. O artigo também regulamenta a Resolução CNPC nº 32, de 2019, </w:t>
            </w:r>
            <w:r w:rsidRPr="002C1A2C">
              <w:rPr>
                <w:rFonts w:asciiTheme="majorHAnsi" w:hAnsiTheme="majorHAnsi" w:cstheme="majorHAnsi"/>
                <w:sz w:val="24"/>
                <w:szCs w:val="24"/>
              </w:rPr>
              <w:lastRenderedPageBreak/>
              <w:t>considerando ser a norma que trata sobre o RAI.</w:t>
            </w:r>
          </w:p>
          <w:p w14:paraId="0BE67352" w14:textId="075C9C00" w:rsidR="00C52470" w:rsidRPr="002C1A2C" w:rsidRDefault="00C52470" w:rsidP="006D6628">
            <w:pPr>
              <w:spacing w:line="360" w:lineRule="auto"/>
              <w:jc w:val="both"/>
              <w:rPr>
                <w:rFonts w:asciiTheme="majorHAnsi" w:hAnsiTheme="majorHAnsi" w:cstheme="majorHAnsi"/>
                <w:sz w:val="24"/>
                <w:szCs w:val="24"/>
              </w:rPr>
            </w:pPr>
          </w:p>
          <w:p w14:paraId="34CF5F93" w14:textId="342FCE6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Optou-se pela utilização do RAI, para que não fosse determinado às EFPC a criação de novo documento de transparência. </w:t>
            </w:r>
          </w:p>
          <w:p w14:paraId="64A2648B" w14:textId="273EB5BE" w:rsidR="00C52470" w:rsidRPr="002C1A2C" w:rsidRDefault="00C52470" w:rsidP="006D6628">
            <w:pPr>
              <w:spacing w:line="360" w:lineRule="auto"/>
              <w:jc w:val="both"/>
              <w:rPr>
                <w:rFonts w:asciiTheme="majorHAnsi" w:hAnsiTheme="majorHAnsi" w:cstheme="majorHAnsi"/>
                <w:sz w:val="24"/>
                <w:szCs w:val="24"/>
              </w:rPr>
            </w:pPr>
          </w:p>
          <w:p w14:paraId="0D61A128" w14:textId="61244728" w:rsidR="00C52470" w:rsidRPr="002C1A2C" w:rsidRDefault="00C52470" w:rsidP="006D6628">
            <w:pPr>
              <w:spacing w:line="360" w:lineRule="auto"/>
              <w:jc w:val="both"/>
              <w:rPr>
                <w:rFonts w:asciiTheme="majorHAnsi" w:hAnsiTheme="majorHAnsi" w:cstheme="majorHAnsi"/>
                <w:sz w:val="24"/>
                <w:szCs w:val="24"/>
              </w:rPr>
            </w:pPr>
          </w:p>
          <w:p w14:paraId="44085C4B" w14:textId="7777777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xml:space="preserve">Redação alternativa (menos perene, porém mais precisa): </w:t>
            </w:r>
          </w:p>
          <w:p w14:paraId="41774C00" w14:textId="77777777" w:rsidR="00C52470" w:rsidRPr="002C1A2C" w:rsidRDefault="00C52470" w:rsidP="006D6628">
            <w:pPr>
              <w:spacing w:line="360" w:lineRule="auto"/>
              <w:jc w:val="both"/>
              <w:rPr>
                <w:rFonts w:asciiTheme="majorHAnsi" w:hAnsiTheme="majorHAnsi" w:cstheme="majorHAnsi"/>
                <w:sz w:val="24"/>
                <w:szCs w:val="24"/>
              </w:rPr>
            </w:pPr>
          </w:p>
          <w:p w14:paraId="516E8B61" w14:textId="7777777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Art. X A EFPC enquadrada no segmento S1 deve, nos termos do §5º do Art. 10 da Resolução CMN nº 4.994, de 2022, elaborar capítulo específico no Relatório Anual de Informações, denominado Relatório de Transparência ASG, contendo:</w:t>
            </w:r>
          </w:p>
          <w:p w14:paraId="49DEFFBE" w14:textId="77777777" w:rsidR="00C52470" w:rsidRPr="002C1A2C" w:rsidRDefault="00C52470" w:rsidP="006D6628">
            <w:pPr>
              <w:spacing w:line="360" w:lineRule="auto"/>
              <w:jc w:val="both"/>
              <w:rPr>
                <w:rFonts w:asciiTheme="majorHAnsi" w:hAnsiTheme="majorHAnsi" w:cstheme="majorHAnsi"/>
                <w:sz w:val="24"/>
                <w:szCs w:val="24"/>
              </w:rPr>
            </w:pPr>
          </w:p>
          <w:p w14:paraId="39BC642A" w14:textId="18AB6DD3"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359033AA" w14:textId="4312F013"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004CEA49" w14:textId="2FFCAFF7" w:rsidTr="7DE461B5">
        <w:trPr>
          <w:trHeight w:val="300"/>
        </w:trPr>
        <w:tc>
          <w:tcPr>
            <w:tcW w:w="1250" w:type="pct"/>
          </w:tcPr>
          <w:p w14:paraId="3C6E518A" w14:textId="26FE520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F3AEC21" w14:textId="1E49A1A4"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 </w:t>
            </w:r>
            <w:r>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as estratégias que a EFPC utiliza para gerenciar os riscos e </w:t>
            </w:r>
            <w:r w:rsidRPr="002C1A2C">
              <w:rPr>
                <w:rFonts w:asciiTheme="majorHAnsi" w:hAnsiTheme="majorHAnsi" w:cstheme="majorHAnsi"/>
                <w:color w:val="0070C0"/>
                <w:sz w:val="24"/>
                <w:szCs w:val="24"/>
              </w:rPr>
              <w:lastRenderedPageBreak/>
              <w:t>oportunidades relacionados à sustentabilidade nos horizontes de curto, médio e longo prazos;</w:t>
            </w:r>
          </w:p>
        </w:tc>
        <w:tc>
          <w:tcPr>
            <w:tcW w:w="1250" w:type="pct"/>
          </w:tcPr>
          <w:p w14:paraId="410D180C" w14:textId="701A7FF9"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Elencar as ações efetivas para prevenção, mitigação ou </w:t>
            </w:r>
            <w:r w:rsidRPr="002C1A2C">
              <w:rPr>
                <w:rFonts w:asciiTheme="majorHAnsi" w:hAnsiTheme="majorHAnsi" w:cstheme="majorHAnsi"/>
                <w:sz w:val="24"/>
                <w:szCs w:val="24"/>
              </w:rPr>
              <w:lastRenderedPageBreak/>
              <w:t xml:space="preserve">compensação dos riscos e para aproveitar as oportunidades ASG </w:t>
            </w:r>
          </w:p>
          <w:p w14:paraId="42819564" w14:textId="1E822DF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4B909587" w14:textId="77495C5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0FF4ABA4" w14:textId="05C20752" w:rsidTr="7DE461B5">
        <w:trPr>
          <w:trHeight w:val="300"/>
        </w:trPr>
        <w:tc>
          <w:tcPr>
            <w:tcW w:w="1250" w:type="pct"/>
          </w:tcPr>
          <w:p w14:paraId="676E302D" w14:textId="059E557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093B22DD" w14:textId="09CACC00"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 </w:t>
            </w:r>
            <w:r>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o desempenho da EFPC com relação aos riscos e oportunidades relacionados à sustentabilidade, incluindo o progresso em relação a quaisquer metas que a entidade tenha definido ou cujo cumprimento seja requerido por lei ou regulamento;</w:t>
            </w:r>
          </w:p>
        </w:tc>
        <w:tc>
          <w:tcPr>
            <w:tcW w:w="1250" w:type="pct"/>
          </w:tcPr>
          <w:p w14:paraId="3CB53D12" w14:textId="3BA6E229"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 Objetivo é trazer quantificação mínima das informações. Considerando que não houve ainda a conclusão dos trabalhos de taxonomia sustentável, optou-se por criar obrigação para que as EFPC defina</w:t>
            </w:r>
            <w:r>
              <w:rPr>
                <w:rFonts w:asciiTheme="majorHAnsi" w:hAnsiTheme="majorHAnsi" w:cstheme="majorHAnsi"/>
                <w:sz w:val="24"/>
                <w:szCs w:val="24"/>
              </w:rPr>
              <w:t>m</w:t>
            </w:r>
            <w:r w:rsidRPr="002C1A2C">
              <w:rPr>
                <w:rFonts w:asciiTheme="majorHAnsi" w:hAnsiTheme="majorHAnsi" w:cstheme="majorHAnsi"/>
                <w:sz w:val="24"/>
                <w:szCs w:val="24"/>
              </w:rPr>
              <w:t xml:space="preserve"> parâmetros quantitativos a seu critério e os cumpra.</w:t>
            </w:r>
          </w:p>
        </w:tc>
        <w:tc>
          <w:tcPr>
            <w:tcW w:w="1250" w:type="pct"/>
          </w:tcPr>
          <w:p w14:paraId="3B57D42F" w14:textId="6132C45A"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36117CE7" w14:textId="452AF918" w:rsidTr="7DE461B5">
        <w:trPr>
          <w:trHeight w:val="300"/>
        </w:trPr>
        <w:tc>
          <w:tcPr>
            <w:tcW w:w="1250" w:type="pct"/>
          </w:tcPr>
          <w:p w14:paraId="35FD59A9" w14:textId="2640F45F"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3657EDC" w14:textId="4400D10D"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III </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incluir as informações necessárias para a compreensão dos impactos ambientais, sociais ou de governança da carteira de investimento do</w:t>
            </w:r>
            <w:r>
              <w:rPr>
                <w:rFonts w:asciiTheme="majorHAnsi" w:hAnsiTheme="majorHAnsi" w:cstheme="majorHAnsi"/>
                <w:color w:val="0070C0"/>
                <w:sz w:val="24"/>
                <w:szCs w:val="24"/>
              </w:rPr>
              <w:t>s</w:t>
            </w:r>
            <w:r w:rsidRPr="002C1A2C">
              <w:rPr>
                <w:rFonts w:asciiTheme="majorHAnsi" w:hAnsiTheme="majorHAnsi" w:cstheme="majorHAnsi"/>
                <w:color w:val="0070C0"/>
                <w:sz w:val="24"/>
                <w:szCs w:val="24"/>
              </w:rPr>
              <w:t xml:space="preserve"> plano</w:t>
            </w:r>
            <w:r>
              <w:rPr>
                <w:rFonts w:asciiTheme="majorHAnsi" w:hAnsiTheme="majorHAnsi" w:cstheme="majorHAnsi"/>
                <w:color w:val="0070C0"/>
                <w:sz w:val="24"/>
                <w:szCs w:val="24"/>
              </w:rPr>
              <w:t>s</w:t>
            </w:r>
            <w:r w:rsidRPr="002C1A2C">
              <w:rPr>
                <w:rFonts w:asciiTheme="majorHAnsi" w:hAnsiTheme="majorHAnsi" w:cstheme="majorHAnsi"/>
                <w:color w:val="0070C0"/>
                <w:sz w:val="24"/>
                <w:szCs w:val="24"/>
              </w:rPr>
              <w:t xml:space="preserve"> de benefícios;</w:t>
            </w:r>
          </w:p>
        </w:tc>
        <w:tc>
          <w:tcPr>
            <w:tcW w:w="1250" w:type="pct"/>
          </w:tcPr>
          <w:p w14:paraId="77C0AF49" w14:textId="472C04A0"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Objetivo é trazer o conceito de suficiência. Relatório deve trazer toda informação necessária para a compreensão do cenário.</w:t>
            </w:r>
          </w:p>
        </w:tc>
        <w:tc>
          <w:tcPr>
            <w:tcW w:w="1250" w:type="pct"/>
          </w:tcPr>
          <w:p w14:paraId="06F2DAA6" w14:textId="689866CE"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0226FA0A" w14:textId="576F8320" w:rsidTr="7DE461B5">
        <w:trPr>
          <w:trHeight w:val="300"/>
        </w:trPr>
        <w:tc>
          <w:tcPr>
            <w:tcW w:w="1250" w:type="pct"/>
          </w:tcPr>
          <w:p w14:paraId="138CD248" w14:textId="24EBA0F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1C6BC17E" w14:textId="6E60AA46"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IV </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apresentar todos os riscos e oportunidades relacionados à sustentabilidade que possam afetar a entidade.</w:t>
            </w:r>
          </w:p>
        </w:tc>
        <w:tc>
          <w:tcPr>
            <w:tcW w:w="1250" w:type="pct"/>
          </w:tcPr>
          <w:p w14:paraId="6CEAAE20" w14:textId="3A69A38E"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Objetiva fazer com que a EFPC avalie os riscos e oportunidades ao qual está sujeita em matéria de sustentabilidade.</w:t>
            </w:r>
          </w:p>
        </w:tc>
        <w:tc>
          <w:tcPr>
            <w:tcW w:w="1250" w:type="pct"/>
          </w:tcPr>
          <w:p w14:paraId="133F81EE" w14:textId="35DB5AA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1335563C" w14:textId="3A387930" w:rsidTr="7DE461B5">
        <w:trPr>
          <w:trHeight w:val="300"/>
        </w:trPr>
        <w:tc>
          <w:tcPr>
            <w:tcW w:w="1250" w:type="pct"/>
          </w:tcPr>
          <w:p w14:paraId="00FA4E4C" w14:textId="7E8A6C35"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1D9A72DB" w14:textId="0D71355F"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V</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 xml:space="preserve">- adotar divulgações consistentes no tempo e que observem </w:t>
            </w:r>
            <w:r w:rsidRPr="002C1A2C">
              <w:rPr>
                <w:rFonts w:asciiTheme="majorHAnsi" w:hAnsiTheme="majorHAnsi" w:cstheme="majorHAnsi"/>
                <w:color w:val="0070C0"/>
                <w:sz w:val="24"/>
                <w:szCs w:val="24"/>
              </w:rPr>
              <w:lastRenderedPageBreak/>
              <w:t>taxonomias vigentes e padrões de referência nacionais e internacionalmente.</w:t>
            </w:r>
          </w:p>
        </w:tc>
        <w:tc>
          <w:tcPr>
            <w:tcW w:w="1250" w:type="pct"/>
          </w:tcPr>
          <w:p w14:paraId="05BDCAF4" w14:textId="79094EE8"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lastRenderedPageBreak/>
              <w:t xml:space="preserve"> Objetiva fazer com que a EFPC seja consistente com sua política de </w:t>
            </w:r>
            <w:r w:rsidRPr="002C1A2C">
              <w:rPr>
                <w:rFonts w:asciiTheme="majorHAnsi" w:hAnsiTheme="majorHAnsi" w:cstheme="majorHAnsi"/>
                <w:sz w:val="24"/>
                <w:szCs w:val="24"/>
              </w:rPr>
              <w:lastRenderedPageBreak/>
              <w:t>divulgação. Em caso de adoção de determinada métrica pela EFPC para divulgação, por exemplo, o dispositivo normativo em questão busca fazer com que a EFPC mantenha tal critérios consistentes no tempo. Inclusão de observação de taxonomias vigentes e adoção de padrões de referências (ISSB/CBPS/PRI).</w:t>
            </w:r>
          </w:p>
          <w:p w14:paraId="1BF6F042" w14:textId="49008034" w:rsidR="00C52470" w:rsidRPr="002C1A2C" w:rsidRDefault="00C52470" w:rsidP="006D6628">
            <w:pPr>
              <w:spacing w:line="360" w:lineRule="auto"/>
              <w:jc w:val="both"/>
              <w:rPr>
                <w:rFonts w:asciiTheme="majorHAnsi" w:hAnsiTheme="majorHAnsi" w:cstheme="majorHAnsi"/>
                <w:sz w:val="24"/>
                <w:szCs w:val="24"/>
              </w:rPr>
            </w:pPr>
          </w:p>
          <w:p w14:paraId="49350CB5" w14:textId="23B36981"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35DAC93D" w14:textId="157E80F7"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6E23E568" w14:textId="0182BD11" w:rsidTr="7DE461B5">
        <w:trPr>
          <w:trHeight w:val="300"/>
        </w:trPr>
        <w:tc>
          <w:tcPr>
            <w:tcW w:w="1250" w:type="pct"/>
          </w:tcPr>
          <w:p w14:paraId="3F2E2E51"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69B39D3C" w14:textId="60B6E777"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 1º </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 xml:space="preserve">As informações exigidas no </w:t>
            </w:r>
            <w:r w:rsidRPr="002C1A2C">
              <w:rPr>
                <w:rFonts w:asciiTheme="majorHAnsi" w:hAnsiTheme="majorHAnsi" w:cstheme="majorHAnsi"/>
                <w:i/>
                <w:iCs/>
                <w:color w:val="0070C0"/>
                <w:sz w:val="24"/>
                <w:szCs w:val="24"/>
              </w:rPr>
              <w:t>caput</w:t>
            </w:r>
            <w:r w:rsidRPr="002C1A2C">
              <w:rPr>
                <w:rFonts w:asciiTheme="majorHAnsi" w:hAnsiTheme="majorHAnsi" w:cstheme="majorHAnsi"/>
                <w:color w:val="0070C0"/>
                <w:sz w:val="24"/>
                <w:szCs w:val="24"/>
              </w:rPr>
              <w:t xml:space="preserve"> podem, a critério da EFPC, serem divulgadas em capítulo específico do RAI, desde que estruturadas de forma a assegurar sua adequada identificação, clareza e acessibilidade.</w:t>
            </w:r>
          </w:p>
        </w:tc>
        <w:tc>
          <w:tcPr>
            <w:tcW w:w="1250" w:type="pct"/>
          </w:tcPr>
          <w:p w14:paraId="2AA3EF66" w14:textId="00A2A95C" w:rsidR="00C52470" w:rsidRPr="002C1A2C" w:rsidRDefault="0050272B" w:rsidP="006D6628">
            <w:pPr>
              <w:spacing w:line="360" w:lineRule="auto"/>
              <w:jc w:val="both"/>
              <w:rPr>
                <w:rFonts w:asciiTheme="majorHAnsi" w:hAnsiTheme="majorHAnsi" w:cstheme="majorHAnsi"/>
                <w:sz w:val="24"/>
                <w:szCs w:val="24"/>
              </w:rPr>
            </w:pPr>
            <w:r>
              <w:rPr>
                <w:rFonts w:asciiTheme="majorHAnsi" w:hAnsiTheme="majorHAnsi" w:cstheme="majorHAnsi"/>
                <w:sz w:val="24"/>
                <w:szCs w:val="24"/>
              </w:rPr>
              <w:t xml:space="preserve">A inserção do parágrafo tem por objetivo estabelecer prazos diferenciados para o cumprimento do julgamento da materialidade e relevância dos </w:t>
            </w:r>
            <w:r w:rsidR="00B315E8">
              <w:rPr>
                <w:rFonts w:asciiTheme="majorHAnsi" w:hAnsiTheme="majorHAnsi" w:cstheme="majorHAnsi"/>
                <w:sz w:val="24"/>
                <w:szCs w:val="24"/>
              </w:rPr>
              <w:t xml:space="preserve">aspectos de sustentabilidade econômica, </w:t>
            </w:r>
            <w:r w:rsidR="00FE4954">
              <w:rPr>
                <w:rFonts w:asciiTheme="majorHAnsi" w:hAnsiTheme="majorHAnsi" w:cstheme="majorHAnsi"/>
                <w:sz w:val="24"/>
                <w:szCs w:val="24"/>
              </w:rPr>
              <w:t xml:space="preserve">ambientais, sociais e de governança, bem como </w:t>
            </w:r>
            <w:r w:rsidR="005B77DC">
              <w:rPr>
                <w:rFonts w:asciiTheme="majorHAnsi" w:hAnsiTheme="majorHAnsi" w:cstheme="majorHAnsi"/>
                <w:sz w:val="24"/>
                <w:szCs w:val="24"/>
              </w:rPr>
              <w:t>d</w:t>
            </w:r>
            <w:r w:rsidR="002F0988">
              <w:rPr>
                <w:rFonts w:asciiTheme="majorHAnsi" w:hAnsiTheme="majorHAnsi" w:cstheme="majorHAnsi"/>
                <w:sz w:val="24"/>
                <w:szCs w:val="24"/>
              </w:rPr>
              <w:t xml:space="preserve">a obrigação de dar transparência aos impactos ambientais, sociais ou de governança na carteira dos investimentos dos planos de </w:t>
            </w:r>
            <w:r w:rsidR="002F0988">
              <w:rPr>
                <w:rFonts w:asciiTheme="majorHAnsi" w:hAnsiTheme="majorHAnsi" w:cstheme="majorHAnsi"/>
                <w:sz w:val="24"/>
                <w:szCs w:val="24"/>
              </w:rPr>
              <w:lastRenderedPageBreak/>
              <w:t>benefícios, respeitando o porte a complexidade da EFPC que os administra.</w:t>
            </w:r>
          </w:p>
        </w:tc>
        <w:tc>
          <w:tcPr>
            <w:tcW w:w="1250" w:type="pct"/>
          </w:tcPr>
          <w:p w14:paraId="68452141" w14:textId="21ED0041"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lastRenderedPageBreak/>
              <w:t>Inciso II do art. 4º do Decreto nº 10.411, de 2020.</w:t>
            </w:r>
          </w:p>
        </w:tc>
      </w:tr>
      <w:tr w:rsidR="00C52470" w:rsidRPr="002C1A2C" w14:paraId="57325397" w14:textId="01ABA37E" w:rsidTr="7DE461B5">
        <w:trPr>
          <w:trHeight w:val="300"/>
        </w:trPr>
        <w:tc>
          <w:tcPr>
            <w:tcW w:w="1250" w:type="pct"/>
          </w:tcPr>
          <w:p w14:paraId="09DF938E" w14:textId="1F66169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12C73F8" w14:textId="51BCB878" w:rsidR="00C52470" w:rsidRPr="002C1A2C" w:rsidRDefault="00C52470" w:rsidP="006D6628">
            <w:pPr>
              <w:spacing w:line="360" w:lineRule="auto"/>
              <w:jc w:val="both"/>
              <w:rPr>
                <w:rFonts w:asciiTheme="majorHAnsi" w:hAnsiTheme="majorHAnsi" w:cstheme="majorBidi"/>
                <w:color w:val="0070C0"/>
                <w:sz w:val="24"/>
                <w:szCs w:val="24"/>
              </w:rPr>
            </w:pPr>
            <w:r>
              <w:rPr>
                <w:rFonts w:asciiTheme="majorHAnsi" w:hAnsiTheme="majorHAnsi" w:cstheme="majorBidi"/>
                <w:color w:val="0070C0"/>
                <w:sz w:val="24"/>
                <w:szCs w:val="24"/>
              </w:rPr>
              <w:t>Art. 368-</w:t>
            </w:r>
            <w:r w:rsidR="0043684A">
              <w:rPr>
                <w:rFonts w:asciiTheme="majorHAnsi" w:hAnsiTheme="majorHAnsi" w:cstheme="majorBidi"/>
                <w:color w:val="0070C0"/>
                <w:sz w:val="24"/>
                <w:szCs w:val="24"/>
              </w:rPr>
              <w:t>D</w:t>
            </w:r>
            <w:r>
              <w:rPr>
                <w:rFonts w:asciiTheme="majorHAnsi" w:hAnsiTheme="majorHAnsi" w:cstheme="majorBidi"/>
                <w:color w:val="0070C0"/>
                <w:sz w:val="24"/>
                <w:szCs w:val="24"/>
              </w:rPr>
              <w:t xml:space="preserve">. </w:t>
            </w:r>
            <w:r w:rsidRPr="6A13D3E3">
              <w:rPr>
                <w:rFonts w:asciiTheme="majorHAnsi" w:hAnsiTheme="majorHAnsi" w:cstheme="majorBidi"/>
                <w:color w:val="0070C0"/>
                <w:sz w:val="24"/>
                <w:szCs w:val="24"/>
              </w:rPr>
              <w:t xml:space="preserve"> As EFPC deverão cumprir o estabelecido nos artigos 368-</w:t>
            </w:r>
            <w:r>
              <w:rPr>
                <w:rFonts w:asciiTheme="majorHAnsi" w:hAnsiTheme="majorHAnsi" w:cstheme="majorBidi"/>
                <w:color w:val="0070C0"/>
                <w:sz w:val="24"/>
                <w:szCs w:val="24"/>
              </w:rPr>
              <w:t>B</w:t>
            </w:r>
            <w:r w:rsidRPr="6A13D3E3">
              <w:rPr>
                <w:rFonts w:asciiTheme="majorHAnsi" w:hAnsiTheme="majorHAnsi" w:cstheme="majorBidi"/>
                <w:color w:val="0070C0"/>
                <w:sz w:val="24"/>
                <w:szCs w:val="24"/>
              </w:rPr>
              <w:t xml:space="preserve"> e 368-</w:t>
            </w:r>
            <w:r>
              <w:rPr>
                <w:rFonts w:asciiTheme="majorHAnsi" w:hAnsiTheme="majorHAnsi" w:cstheme="majorBidi"/>
                <w:color w:val="0070C0"/>
                <w:sz w:val="24"/>
                <w:szCs w:val="24"/>
              </w:rPr>
              <w:t>C</w:t>
            </w:r>
            <w:r w:rsidRPr="6A13D3E3">
              <w:rPr>
                <w:rFonts w:asciiTheme="majorHAnsi" w:hAnsiTheme="majorHAnsi" w:cstheme="majorBidi"/>
                <w:color w:val="0070C0"/>
                <w:sz w:val="24"/>
                <w:szCs w:val="24"/>
              </w:rPr>
              <w:t xml:space="preserve"> a partir de: </w:t>
            </w:r>
          </w:p>
        </w:tc>
        <w:tc>
          <w:tcPr>
            <w:tcW w:w="1250" w:type="pct"/>
          </w:tcPr>
          <w:p w14:paraId="0169E993"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0EA8FD05" w14:textId="685F13FC"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6531710F" w14:textId="1E6C4CD7" w:rsidTr="7DE461B5">
        <w:trPr>
          <w:trHeight w:val="300"/>
        </w:trPr>
        <w:tc>
          <w:tcPr>
            <w:tcW w:w="1250" w:type="pct"/>
          </w:tcPr>
          <w:p w14:paraId="7327AB26" w14:textId="2A7DFAC6"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3DDC637" w14:textId="41E78C8F" w:rsidR="00C52470" w:rsidRPr="002C1A2C" w:rsidRDefault="00C52470" w:rsidP="006D6628">
            <w:pPr>
              <w:spacing w:line="360" w:lineRule="auto"/>
              <w:jc w:val="both"/>
              <w:rPr>
                <w:rFonts w:asciiTheme="majorHAnsi" w:hAnsiTheme="majorHAnsi" w:cstheme="majorBidi"/>
                <w:color w:val="0070C0"/>
                <w:sz w:val="24"/>
                <w:szCs w:val="24"/>
              </w:rPr>
            </w:pPr>
            <w:r w:rsidRPr="7799CAF8">
              <w:rPr>
                <w:rFonts w:asciiTheme="majorHAnsi" w:hAnsiTheme="majorHAnsi" w:cstheme="majorBidi"/>
                <w:color w:val="0070C0"/>
                <w:sz w:val="24"/>
                <w:szCs w:val="24"/>
              </w:rPr>
              <w:t xml:space="preserve">I </w:t>
            </w:r>
            <w:r w:rsidR="00120351">
              <w:rPr>
                <w:rFonts w:asciiTheme="majorHAnsi" w:hAnsiTheme="majorHAnsi" w:cstheme="majorBidi"/>
                <w:color w:val="0070C0"/>
                <w:sz w:val="24"/>
                <w:szCs w:val="24"/>
              </w:rPr>
              <w:t xml:space="preserve">- </w:t>
            </w:r>
            <w:r w:rsidRPr="7799CAF8">
              <w:rPr>
                <w:rFonts w:asciiTheme="majorHAnsi" w:hAnsiTheme="majorHAnsi" w:cstheme="majorBidi"/>
                <w:color w:val="0070C0"/>
                <w:sz w:val="24"/>
                <w:szCs w:val="24"/>
              </w:rPr>
              <w:t>1/1/2026 para as EFPC classificadas no segmento S1;</w:t>
            </w:r>
          </w:p>
        </w:tc>
        <w:tc>
          <w:tcPr>
            <w:tcW w:w="1250" w:type="pct"/>
          </w:tcPr>
          <w:p w14:paraId="7E0A1E18"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5D839DF8" w14:textId="228E8F5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7CF82F2E" w14:textId="3ECD644B" w:rsidTr="7DE461B5">
        <w:trPr>
          <w:trHeight w:val="300"/>
        </w:trPr>
        <w:tc>
          <w:tcPr>
            <w:tcW w:w="1250" w:type="pct"/>
          </w:tcPr>
          <w:p w14:paraId="0C049D7B" w14:textId="3E0A35D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281A3E45" w14:textId="6B08145A"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II </w:t>
            </w:r>
            <w:r w:rsidR="00120351">
              <w:rPr>
                <w:rFonts w:asciiTheme="majorHAnsi" w:hAnsiTheme="majorHAnsi" w:cstheme="majorHAnsi"/>
                <w:color w:val="0070C0"/>
                <w:sz w:val="24"/>
                <w:szCs w:val="24"/>
              </w:rPr>
              <w:t>-</w:t>
            </w:r>
            <w:r w:rsidRPr="002C1A2C">
              <w:rPr>
                <w:rFonts w:asciiTheme="majorHAnsi" w:hAnsiTheme="majorHAnsi" w:cstheme="majorHAnsi"/>
                <w:color w:val="0070C0"/>
                <w:sz w:val="24"/>
                <w:szCs w:val="24"/>
              </w:rPr>
              <w:t xml:space="preserve"> 1/1/2027 para as EFPC classificadas nos segmentos S2 e S3; e</w:t>
            </w:r>
          </w:p>
        </w:tc>
        <w:tc>
          <w:tcPr>
            <w:tcW w:w="1250" w:type="pct"/>
          </w:tcPr>
          <w:p w14:paraId="11D39497"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20DD60DC" w14:textId="25AA6DFA" w:rsidR="00C52470" w:rsidRPr="002C1A2C" w:rsidRDefault="002F0988"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2698E99A" w14:textId="64F9CE67" w:rsidTr="7DE461B5">
        <w:trPr>
          <w:trHeight w:val="300"/>
        </w:trPr>
        <w:tc>
          <w:tcPr>
            <w:tcW w:w="1250" w:type="pct"/>
          </w:tcPr>
          <w:p w14:paraId="1D8710F3" w14:textId="28BFCCD3"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61A1F10C" w14:textId="3001A8B2" w:rsidR="00C52470" w:rsidRPr="002C1A2C" w:rsidRDefault="00C52470" w:rsidP="006D6628">
            <w:pPr>
              <w:spacing w:line="360" w:lineRule="auto"/>
              <w:jc w:val="both"/>
              <w:rPr>
                <w:rFonts w:asciiTheme="majorHAnsi" w:hAnsiTheme="majorHAnsi" w:cstheme="majorBidi"/>
                <w:color w:val="0070C0"/>
                <w:sz w:val="24"/>
                <w:szCs w:val="24"/>
              </w:rPr>
            </w:pPr>
            <w:r w:rsidRPr="6A13D3E3">
              <w:rPr>
                <w:rFonts w:asciiTheme="majorHAnsi" w:hAnsiTheme="majorHAnsi" w:cstheme="majorBidi"/>
                <w:color w:val="0070C0"/>
                <w:sz w:val="24"/>
                <w:szCs w:val="24"/>
              </w:rPr>
              <w:t xml:space="preserve">III </w:t>
            </w:r>
            <w:r w:rsidR="00120351">
              <w:rPr>
                <w:rFonts w:asciiTheme="majorHAnsi" w:hAnsiTheme="majorHAnsi" w:cstheme="majorBidi"/>
                <w:color w:val="0070C0"/>
                <w:sz w:val="24"/>
                <w:szCs w:val="24"/>
              </w:rPr>
              <w:t>-</w:t>
            </w:r>
            <w:r w:rsidRPr="6A13D3E3">
              <w:rPr>
                <w:rFonts w:asciiTheme="majorHAnsi" w:hAnsiTheme="majorHAnsi" w:cstheme="majorBidi"/>
                <w:color w:val="0070C0"/>
                <w:sz w:val="24"/>
                <w:szCs w:val="24"/>
              </w:rPr>
              <w:t xml:space="preserve"> 1/1/2028 para as EFPC classificadas no segmento S4.</w:t>
            </w:r>
          </w:p>
        </w:tc>
        <w:tc>
          <w:tcPr>
            <w:tcW w:w="1250" w:type="pct"/>
          </w:tcPr>
          <w:p w14:paraId="1CA95119" w14:textId="77777777" w:rsidR="00C52470" w:rsidRPr="002C1A2C" w:rsidRDefault="00C52470" w:rsidP="006D6628">
            <w:pPr>
              <w:spacing w:line="360" w:lineRule="auto"/>
              <w:jc w:val="both"/>
              <w:rPr>
                <w:rFonts w:asciiTheme="majorHAnsi" w:hAnsiTheme="majorHAnsi" w:cstheme="majorHAnsi"/>
                <w:sz w:val="24"/>
                <w:szCs w:val="24"/>
              </w:rPr>
            </w:pPr>
          </w:p>
        </w:tc>
        <w:tc>
          <w:tcPr>
            <w:tcW w:w="1250" w:type="pct"/>
          </w:tcPr>
          <w:p w14:paraId="2ADB2A53" w14:textId="49EB77AB" w:rsidR="00C52470" w:rsidRPr="002C1A2C" w:rsidRDefault="002F0988"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145A0A3F" w14:textId="37D9F0D5" w:rsidTr="7DE461B5">
        <w:trPr>
          <w:trHeight w:val="300"/>
        </w:trPr>
        <w:tc>
          <w:tcPr>
            <w:tcW w:w="1250" w:type="pct"/>
          </w:tcPr>
          <w:p w14:paraId="19FB4B7F" w14:textId="61218714"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588C0374" w14:textId="79573CBE" w:rsidR="00C52470" w:rsidRPr="002C1A2C" w:rsidRDefault="00C52470" w:rsidP="006D6628">
            <w:pPr>
              <w:spacing w:line="360" w:lineRule="auto"/>
              <w:jc w:val="both"/>
              <w:rPr>
                <w:rFonts w:asciiTheme="majorHAnsi" w:hAnsiTheme="majorHAnsi" w:cstheme="majorHAnsi"/>
                <w:color w:val="0070C0"/>
                <w:sz w:val="24"/>
                <w:szCs w:val="24"/>
              </w:rPr>
            </w:pPr>
            <w:r w:rsidRPr="002C1A2C">
              <w:rPr>
                <w:rFonts w:asciiTheme="majorHAnsi" w:hAnsiTheme="majorHAnsi" w:cstheme="majorHAnsi"/>
                <w:color w:val="0070C0"/>
                <w:sz w:val="24"/>
                <w:szCs w:val="24"/>
              </w:rPr>
              <w:t xml:space="preserve">§ </w:t>
            </w:r>
            <w:r>
              <w:rPr>
                <w:rFonts w:asciiTheme="majorHAnsi" w:hAnsiTheme="majorHAnsi" w:cstheme="majorHAnsi"/>
                <w:color w:val="0070C0"/>
                <w:sz w:val="24"/>
                <w:szCs w:val="24"/>
              </w:rPr>
              <w:t>1</w:t>
            </w:r>
            <w:proofErr w:type="gramStart"/>
            <w:r w:rsidRPr="002C1A2C">
              <w:rPr>
                <w:rFonts w:asciiTheme="majorHAnsi" w:hAnsiTheme="majorHAnsi" w:cstheme="majorHAnsi"/>
                <w:color w:val="0070C0"/>
                <w:sz w:val="24"/>
                <w:szCs w:val="24"/>
              </w:rPr>
              <w:t xml:space="preserve">º </w:t>
            </w:r>
            <w:r>
              <w:rPr>
                <w:rFonts w:asciiTheme="majorHAnsi" w:hAnsiTheme="majorHAnsi" w:cstheme="majorHAnsi"/>
                <w:color w:val="0070C0"/>
                <w:sz w:val="24"/>
                <w:szCs w:val="24"/>
              </w:rPr>
              <w:t xml:space="preserve"> </w:t>
            </w:r>
            <w:r w:rsidRPr="002C1A2C">
              <w:rPr>
                <w:rFonts w:asciiTheme="majorHAnsi" w:hAnsiTheme="majorHAnsi" w:cstheme="majorHAnsi"/>
                <w:color w:val="0070C0"/>
                <w:sz w:val="24"/>
                <w:szCs w:val="24"/>
              </w:rPr>
              <w:t>As</w:t>
            </w:r>
            <w:proofErr w:type="gramEnd"/>
            <w:r w:rsidRPr="002C1A2C">
              <w:rPr>
                <w:rFonts w:asciiTheme="majorHAnsi" w:hAnsiTheme="majorHAnsi" w:cstheme="majorHAnsi"/>
                <w:color w:val="0070C0"/>
                <w:sz w:val="24"/>
                <w:szCs w:val="24"/>
              </w:rPr>
              <w:t xml:space="preserve"> EFPC que fazem gestão por meio de carteira administrada ou fundo de investimento podem utilizar documentos emitidos pelos prestadores de serviços,</w:t>
            </w:r>
            <w:r>
              <w:rPr>
                <w:rFonts w:asciiTheme="majorHAnsi" w:hAnsiTheme="majorHAnsi" w:cstheme="majorHAnsi"/>
                <w:color w:val="0070C0"/>
                <w:sz w:val="24"/>
                <w:szCs w:val="24"/>
              </w:rPr>
              <w:t xml:space="preserve"> como subsídio</w:t>
            </w:r>
            <w:r w:rsidRPr="002C1A2C">
              <w:rPr>
                <w:rFonts w:asciiTheme="majorHAnsi" w:hAnsiTheme="majorHAnsi" w:cstheme="majorHAnsi"/>
                <w:color w:val="0070C0"/>
                <w:sz w:val="24"/>
                <w:szCs w:val="24"/>
              </w:rPr>
              <w:t xml:space="preserve"> para o cumprimento do disposto dos art. 368-</w:t>
            </w:r>
            <w:r w:rsidR="0043684A">
              <w:rPr>
                <w:rFonts w:asciiTheme="majorHAnsi" w:hAnsiTheme="majorHAnsi" w:cstheme="majorHAnsi"/>
                <w:color w:val="0070C0"/>
                <w:sz w:val="24"/>
                <w:szCs w:val="24"/>
              </w:rPr>
              <w:t>B</w:t>
            </w:r>
            <w:r w:rsidRPr="002C1A2C">
              <w:rPr>
                <w:rFonts w:asciiTheme="majorHAnsi" w:hAnsiTheme="majorHAnsi" w:cstheme="majorHAnsi"/>
                <w:color w:val="0070C0"/>
                <w:sz w:val="24"/>
                <w:szCs w:val="24"/>
              </w:rPr>
              <w:t xml:space="preserve"> e 368-</w:t>
            </w:r>
            <w:r w:rsidR="0043684A">
              <w:rPr>
                <w:rFonts w:asciiTheme="majorHAnsi" w:hAnsiTheme="majorHAnsi" w:cstheme="majorHAnsi"/>
                <w:color w:val="0070C0"/>
                <w:sz w:val="24"/>
                <w:szCs w:val="24"/>
              </w:rPr>
              <w:t>C</w:t>
            </w:r>
            <w:r w:rsidRPr="002C1A2C">
              <w:rPr>
                <w:rFonts w:asciiTheme="majorHAnsi" w:hAnsiTheme="majorHAnsi" w:cstheme="majorHAnsi"/>
                <w:color w:val="0070C0"/>
                <w:sz w:val="24"/>
                <w:szCs w:val="24"/>
              </w:rPr>
              <w:t>, preferencialmente, com acreditação</w:t>
            </w:r>
            <w:r>
              <w:rPr>
                <w:rFonts w:asciiTheme="majorHAnsi" w:hAnsiTheme="majorHAnsi" w:cstheme="majorHAnsi"/>
                <w:color w:val="0070C0"/>
                <w:sz w:val="24"/>
                <w:szCs w:val="24"/>
              </w:rPr>
              <w:t>.</w:t>
            </w:r>
          </w:p>
        </w:tc>
        <w:tc>
          <w:tcPr>
            <w:tcW w:w="1250" w:type="pct"/>
          </w:tcPr>
          <w:p w14:paraId="0E6D5B73" w14:textId="403786DB"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Disposição normativa voltada a reduzir eventuais custos de observância ao facultar que a EFPC utilize relatórios de gestores terceirizados como subsídio.</w:t>
            </w:r>
          </w:p>
        </w:tc>
        <w:tc>
          <w:tcPr>
            <w:tcW w:w="1250" w:type="pct"/>
          </w:tcPr>
          <w:p w14:paraId="7B8EE1F0" w14:textId="3C438735" w:rsidR="00C52470" w:rsidRPr="002C1A2C" w:rsidRDefault="002F0988" w:rsidP="006D6628">
            <w:pPr>
              <w:spacing w:line="360" w:lineRule="auto"/>
              <w:jc w:val="both"/>
              <w:rPr>
                <w:rFonts w:asciiTheme="majorHAnsi" w:hAnsiTheme="majorHAnsi" w:cstheme="majorHAnsi"/>
                <w:sz w:val="24"/>
                <w:szCs w:val="24"/>
              </w:rPr>
            </w:pPr>
            <w:r w:rsidRPr="002C1A2C">
              <w:rPr>
                <w:rFonts w:asciiTheme="majorHAnsi" w:eastAsia="Calibri" w:hAnsiTheme="majorHAnsi" w:cstheme="majorHAnsi"/>
                <w:sz w:val="24"/>
                <w:szCs w:val="24"/>
              </w:rPr>
              <w:t>Inciso II do art. 4º do Decreto nº 10.411, de 2020.</w:t>
            </w:r>
          </w:p>
        </w:tc>
      </w:tr>
      <w:tr w:rsidR="00C52470" w:rsidRPr="002C1A2C" w14:paraId="3E9E46EF" w14:textId="7650315C" w:rsidTr="7DE461B5">
        <w:trPr>
          <w:trHeight w:val="300"/>
        </w:trPr>
        <w:tc>
          <w:tcPr>
            <w:tcW w:w="1250" w:type="pct"/>
          </w:tcPr>
          <w:p w14:paraId="350C4DBA" w14:textId="5E47EE98" w:rsidR="00C52470" w:rsidRPr="002C1A2C" w:rsidRDefault="00C52470" w:rsidP="006D6628">
            <w:pPr>
              <w:spacing w:line="360" w:lineRule="auto"/>
              <w:jc w:val="both"/>
              <w:rPr>
                <w:rFonts w:asciiTheme="majorHAnsi" w:hAnsiTheme="majorHAnsi" w:cstheme="majorHAnsi"/>
                <w:sz w:val="24"/>
                <w:szCs w:val="24"/>
              </w:rPr>
            </w:pPr>
            <w:r w:rsidRPr="002C1A2C">
              <w:rPr>
                <w:rFonts w:asciiTheme="majorHAnsi" w:hAnsiTheme="majorHAnsi" w:cstheme="majorHAnsi"/>
                <w:sz w:val="24"/>
                <w:szCs w:val="24"/>
              </w:rPr>
              <w:t>Sem referência anterior.</w:t>
            </w:r>
          </w:p>
        </w:tc>
        <w:tc>
          <w:tcPr>
            <w:tcW w:w="1250" w:type="pct"/>
          </w:tcPr>
          <w:p w14:paraId="340EA705" w14:textId="3C429A37" w:rsidR="00C52470" w:rsidRPr="002C1A2C" w:rsidRDefault="00C52470" w:rsidP="006D6628">
            <w:pPr>
              <w:spacing w:line="360" w:lineRule="auto"/>
              <w:jc w:val="both"/>
              <w:rPr>
                <w:rFonts w:asciiTheme="majorHAnsi" w:hAnsiTheme="majorHAnsi" w:cstheme="majorBidi"/>
                <w:color w:val="0070C0"/>
                <w:sz w:val="24"/>
                <w:szCs w:val="24"/>
              </w:rPr>
            </w:pPr>
            <w:r w:rsidRPr="5AFDFDC4">
              <w:rPr>
                <w:rFonts w:asciiTheme="majorHAnsi" w:hAnsiTheme="majorHAnsi" w:cstheme="majorBidi"/>
                <w:color w:val="0070C0"/>
                <w:sz w:val="24"/>
                <w:szCs w:val="24"/>
              </w:rPr>
              <w:t xml:space="preserve">§ </w:t>
            </w:r>
            <w:r>
              <w:rPr>
                <w:rFonts w:asciiTheme="majorHAnsi" w:hAnsiTheme="majorHAnsi" w:cstheme="majorBidi"/>
                <w:color w:val="0070C0"/>
                <w:sz w:val="24"/>
                <w:szCs w:val="24"/>
              </w:rPr>
              <w:t>2</w:t>
            </w:r>
            <w:r w:rsidRPr="00F43C57">
              <w:rPr>
                <w:rFonts w:asciiTheme="majorHAnsi" w:hAnsiTheme="majorHAnsi" w:cstheme="majorBidi"/>
                <w:color w:val="0070C0"/>
                <w:sz w:val="24"/>
                <w:szCs w:val="24"/>
              </w:rPr>
              <w:t>º</w:t>
            </w:r>
            <w:r w:rsidRPr="5AFDFDC4">
              <w:rPr>
                <w:rFonts w:asciiTheme="majorHAnsi" w:hAnsiTheme="majorHAnsi" w:cstheme="majorBidi"/>
                <w:b/>
                <w:bCs/>
                <w:color w:val="0070C0"/>
                <w:sz w:val="24"/>
                <w:szCs w:val="24"/>
              </w:rPr>
              <w:t xml:space="preserve"> </w:t>
            </w:r>
            <w:r w:rsidRPr="00357E4B">
              <w:rPr>
                <w:rFonts w:asciiTheme="majorHAnsi" w:hAnsiTheme="majorHAnsi" w:cstheme="majorBidi"/>
                <w:color w:val="0070C0"/>
                <w:sz w:val="24"/>
                <w:szCs w:val="24"/>
              </w:rPr>
              <w:t xml:space="preserve"> O</w:t>
            </w:r>
            <w:r w:rsidRPr="5AFDFDC4">
              <w:rPr>
                <w:rFonts w:asciiTheme="majorHAnsi" w:hAnsiTheme="majorHAnsi" w:cstheme="majorBidi"/>
                <w:color w:val="0070C0"/>
                <w:sz w:val="24"/>
                <w:szCs w:val="24"/>
              </w:rPr>
              <w:t>s critérios, níveis de exigência, orientações metodológicas e prazos para</w:t>
            </w:r>
            <w:r>
              <w:rPr>
                <w:rFonts w:asciiTheme="majorHAnsi" w:hAnsiTheme="majorHAnsi" w:cstheme="majorBidi"/>
                <w:color w:val="0070C0"/>
                <w:sz w:val="24"/>
                <w:szCs w:val="24"/>
              </w:rPr>
              <w:t xml:space="preserve"> elaboração do plano a que se refere o §2º </w:t>
            </w:r>
            <w:r w:rsidRPr="5AFDFDC4">
              <w:rPr>
                <w:rFonts w:asciiTheme="majorHAnsi" w:hAnsiTheme="majorHAnsi" w:cstheme="majorBidi"/>
                <w:color w:val="0070C0"/>
                <w:sz w:val="24"/>
                <w:szCs w:val="24"/>
              </w:rPr>
              <w:t>serão definidos em Portaria a ser editada pela DINOR.</w:t>
            </w:r>
          </w:p>
        </w:tc>
        <w:tc>
          <w:tcPr>
            <w:tcW w:w="1250" w:type="pct"/>
          </w:tcPr>
          <w:p w14:paraId="312A4B7A" w14:textId="5B7F8005" w:rsidR="00C52470" w:rsidRPr="002C1A2C" w:rsidRDefault="00C52470" w:rsidP="006D6628">
            <w:pPr>
              <w:spacing w:line="360" w:lineRule="auto"/>
              <w:jc w:val="both"/>
              <w:rPr>
                <w:rFonts w:asciiTheme="majorHAnsi" w:hAnsiTheme="majorHAnsi" w:cstheme="majorBidi"/>
                <w:sz w:val="24"/>
                <w:szCs w:val="24"/>
              </w:rPr>
            </w:pPr>
            <w:r>
              <w:rPr>
                <w:rFonts w:asciiTheme="majorHAnsi" w:hAnsiTheme="majorHAnsi" w:cstheme="majorBidi"/>
                <w:sz w:val="24"/>
                <w:szCs w:val="24"/>
              </w:rPr>
              <w:t>Definição da forma de atendimento no disposto nos art. 368-</w:t>
            </w:r>
            <w:r w:rsidR="0043684A">
              <w:rPr>
                <w:rFonts w:asciiTheme="majorHAnsi" w:hAnsiTheme="majorHAnsi" w:cstheme="majorBidi"/>
                <w:sz w:val="24"/>
                <w:szCs w:val="24"/>
              </w:rPr>
              <w:t>B</w:t>
            </w:r>
            <w:r>
              <w:rPr>
                <w:rFonts w:asciiTheme="majorHAnsi" w:hAnsiTheme="majorHAnsi" w:cstheme="majorBidi"/>
                <w:sz w:val="24"/>
                <w:szCs w:val="24"/>
              </w:rPr>
              <w:t xml:space="preserve"> e 368-</w:t>
            </w:r>
            <w:r w:rsidR="0043684A">
              <w:rPr>
                <w:rFonts w:asciiTheme="majorHAnsi" w:hAnsiTheme="majorHAnsi" w:cstheme="majorBidi"/>
                <w:sz w:val="24"/>
                <w:szCs w:val="24"/>
              </w:rPr>
              <w:t>C</w:t>
            </w:r>
            <w:r>
              <w:rPr>
                <w:rFonts w:asciiTheme="majorHAnsi" w:hAnsiTheme="majorHAnsi" w:cstheme="majorBidi"/>
                <w:sz w:val="24"/>
                <w:szCs w:val="24"/>
              </w:rPr>
              <w:t xml:space="preserve"> a ser definida em Portaria Dinor</w:t>
            </w:r>
            <w:r w:rsidRPr="00F43C57">
              <w:rPr>
                <w:rFonts w:asciiTheme="majorHAnsi" w:hAnsiTheme="majorHAnsi" w:cstheme="majorBidi"/>
                <w:sz w:val="24"/>
                <w:szCs w:val="24"/>
              </w:rPr>
              <w:t>,</w:t>
            </w:r>
            <w:r w:rsidRPr="00F052DC">
              <w:rPr>
                <w:rFonts w:asciiTheme="majorHAnsi" w:hAnsiTheme="majorHAnsi" w:cstheme="majorBidi"/>
                <w:sz w:val="24"/>
                <w:szCs w:val="24"/>
              </w:rPr>
              <w:t xml:space="preserve"> de forma a assegurar proporcionalidade regulatória, padronização mínima e alinhamento às melhores práticas de mercado.</w:t>
            </w:r>
          </w:p>
        </w:tc>
        <w:tc>
          <w:tcPr>
            <w:tcW w:w="1250" w:type="pct"/>
          </w:tcPr>
          <w:p w14:paraId="6A05D349" w14:textId="3526557E" w:rsidR="00C52470" w:rsidRDefault="002F0988" w:rsidP="006D6628">
            <w:pPr>
              <w:spacing w:line="360" w:lineRule="auto"/>
              <w:jc w:val="both"/>
              <w:rPr>
                <w:rFonts w:asciiTheme="majorHAnsi" w:hAnsiTheme="majorHAnsi" w:cstheme="majorBidi"/>
                <w:sz w:val="24"/>
                <w:szCs w:val="24"/>
              </w:rPr>
            </w:pPr>
            <w:r w:rsidRPr="002C1A2C">
              <w:rPr>
                <w:rFonts w:asciiTheme="majorHAnsi" w:eastAsia="Calibri" w:hAnsiTheme="majorHAnsi" w:cstheme="majorHAnsi"/>
                <w:sz w:val="24"/>
                <w:szCs w:val="24"/>
              </w:rPr>
              <w:t>Inciso II do art. 4º do Decreto nº 10.411, de 2020.</w:t>
            </w:r>
          </w:p>
        </w:tc>
      </w:tr>
    </w:tbl>
    <w:p w14:paraId="0E877DCA" w14:textId="77777777" w:rsidR="0087264A" w:rsidRPr="002C1A2C" w:rsidRDefault="0087264A" w:rsidP="0087264A">
      <w:pPr>
        <w:spacing w:line="360" w:lineRule="auto"/>
        <w:jc w:val="both"/>
        <w:rPr>
          <w:rFonts w:asciiTheme="majorHAnsi" w:hAnsiTheme="majorHAnsi" w:cstheme="majorHAnsi"/>
          <w:sz w:val="24"/>
          <w:szCs w:val="24"/>
        </w:rPr>
      </w:pPr>
    </w:p>
    <w:sectPr w:rsidR="0087264A" w:rsidRPr="002C1A2C" w:rsidSect="00100B59">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ada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ada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Commarcadore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Commarcadore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ad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Commarcadores"/>
      <w:lvlText w:val=""/>
      <w:lvlJc w:val="left"/>
      <w:pPr>
        <w:tabs>
          <w:tab w:val="num" w:pos="360"/>
        </w:tabs>
        <w:ind w:left="360" w:hanging="360"/>
      </w:pPr>
      <w:rPr>
        <w:rFonts w:ascii="Symbol" w:hAnsi="Symbol" w:hint="default"/>
      </w:rPr>
    </w:lvl>
  </w:abstractNum>
  <w:abstractNum w:abstractNumId="9" w15:restartNumberingAfterBreak="0">
    <w:nsid w:val="07282BBA"/>
    <w:multiLevelType w:val="hybridMultilevel"/>
    <w:tmpl w:val="0616CF8E"/>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5C7897B"/>
    <w:multiLevelType w:val="hybridMultilevel"/>
    <w:tmpl w:val="FFFFFFFF"/>
    <w:lvl w:ilvl="0" w:tplc="5D54BC42">
      <w:start w:val="1"/>
      <w:numFmt w:val="bullet"/>
      <w:lvlText w:val="-"/>
      <w:lvlJc w:val="left"/>
      <w:pPr>
        <w:ind w:left="720" w:hanging="360"/>
      </w:pPr>
      <w:rPr>
        <w:rFonts w:ascii="Aptos" w:hAnsi="Aptos" w:hint="default"/>
      </w:rPr>
    </w:lvl>
    <w:lvl w:ilvl="1" w:tplc="E2F09FFC">
      <w:start w:val="1"/>
      <w:numFmt w:val="bullet"/>
      <w:lvlText w:val="o"/>
      <w:lvlJc w:val="left"/>
      <w:pPr>
        <w:ind w:left="1440" w:hanging="360"/>
      </w:pPr>
      <w:rPr>
        <w:rFonts w:ascii="Courier New" w:hAnsi="Courier New" w:hint="default"/>
      </w:rPr>
    </w:lvl>
    <w:lvl w:ilvl="2" w:tplc="0A2A4B32">
      <w:start w:val="1"/>
      <w:numFmt w:val="bullet"/>
      <w:lvlText w:val=""/>
      <w:lvlJc w:val="left"/>
      <w:pPr>
        <w:ind w:left="2160" w:hanging="360"/>
      </w:pPr>
      <w:rPr>
        <w:rFonts w:ascii="Wingdings" w:hAnsi="Wingdings" w:hint="default"/>
      </w:rPr>
    </w:lvl>
    <w:lvl w:ilvl="3" w:tplc="11461734">
      <w:start w:val="1"/>
      <w:numFmt w:val="bullet"/>
      <w:lvlText w:val=""/>
      <w:lvlJc w:val="left"/>
      <w:pPr>
        <w:ind w:left="2880" w:hanging="360"/>
      </w:pPr>
      <w:rPr>
        <w:rFonts w:ascii="Symbol" w:hAnsi="Symbol" w:hint="default"/>
      </w:rPr>
    </w:lvl>
    <w:lvl w:ilvl="4" w:tplc="88DC0648">
      <w:start w:val="1"/>
      <w:numFmt w:val="bullet"/>
      <w:lvlText w:val="o"/>
      <w:lvlJc w:val="left"/>
      <w:pPr>
        <w:ind w:left="3600" w:hanging="360"/>
      </w:pPr>
      <w:rPr>
        <w:rFonts w:ascii="Courier New" w:hAnsi="Courier New" w:hint="default"/>
      </w:rPr>
    </w:lvl>
    <w:lvl w:ilvl="5" w:tplc="3D542182">
      <w:start w:val="1"/>
      <w:numFmt w:val="bullet"/>
      <w:lvlText w:val=""/>
      <w:lvlJc w:val="left"/>
      <w:pPr>
        <w:ind w:left="4320" w:hanging="360"/>
      </w:pPr>
      <w:rPr>
        <w:rFonts w:ascii="Wingdings" w:hAnsi="Wingdings" w:hint="default"/>
      </w:rPr>
    </w:lvl>
    <w:lvl w:ilvl="6" w:tplc="CF5A4154">
      <w:start w:val="1"/>
      <w:numFmt w:val="bullet"/>
      <w:lvlText w:val=""/>
      <w:lvlJc w:val="left"/>
      <w:pPr>
        <w:ind w:left="5040" w:hanging="360"/>
      </w:pPr>
      <w:rPr>
        <w:rFonts w:ascii="Symbol" w:hAnsi="Symbol" w:hint="default"/>
      </w:rPr>
    </w:lvl>
    <w:lvl w:ilvl="7" w:tplc="880A641A">
      <w:start w:val="1"/>
      <w:numFmt w:val="bullet"/>
      <w:lvlText w:val="o"/>
      <w:lvlJc w:val="left"/>
      <w:pPr>
        <w:ind w:left="5760" w:hanging="360"/>
      </w:pPr>
      <w:rPr>
        <w:rFonts w:ascii="Courier New" w:hAnsi="Courier New" w:hint="default"/>
      </w:rPr>
    </w:lvl>
    <w:lvl w:ilvl="8" w:tplc="D956703C">
      <w:start w:val="1"/>
      <w:numFmt w:val="bullet"/>
      <w:lvlText w:val=""/>
      <w:lvlJc w:val="left"/>
      <w:pPr>
        <w:ind w:left="6480" w:hanging="360"/>
      </w:pPr>
      <w:rPr>
        <w:rFonts w:ascii="Wingdings" w:hAnsi="Wingdings" w:hint="default"/>
      </w:rPr>
    </w:lvl>
  </w:abstractNum>
  <w:abstractNum w:abstractNumId="11" w15:restartNumberingAfterBreak="0">
    <w:nsid w:val="37EC2420"/>
    <w:multiLevelType w:val="hybridMultilevel"/>
    <w:tmpl w:val="20E416D8"/>
    <w:lvl w:ilvl="0" w:tplc="3DAEB16C">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A22226"/>
    <w:multiLevelType w:val="hybridMultilevel"/>
    <w:tmpl w:val="7B36402C"/>
    <w:lvl w:ilvl="0" w:tplc="B84EF6C4">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BA96234"/>
    <w:multiLevelType w:val="hybridMultilevel"/>
    <w:tmpl w:val="1A28F144"/>
    <w:lvl w:ilvl="0" w:tplc="A5264F6A">
      <w:start w:val="1"/>
      <w:numFmt w:val="lowerRoman"/>
      <w:lvlText w:val="%1."/>
      <w:lvlJc w:val="left"/>
      <w:pPr>
        <w:ind w:left="1080" w:hanging="72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4" w15:restartNumberingAfterBreak="0">
    <w:nsid w:val="5738CF3A"/>
    <w:multiLevelType w:val="hybridMultilevel"/>
    <w:tmpl w:val="FFFFFFFF"/>
    <w:lvl w:ilvl="0" w:tplc="CEA40824">
      <w:start w:val="1"/>
      <w:numFmt w:val="decimal"/>
      <w:lvlText w:val="%1."/>
      <w:lvlJc w:val="left"/>
      <w:pPr>
        <w:ind w:left="720" w:hanging="360"/>
      </w:pPr>
    </w:lvl>
    <w:lvl w:ilvl="1" w:tplc="9BFE0A14">
      <w:start w:val="1"/>
      <w:numFmt w:val="lowerLetter"/>
      <w:lvlText w:val="%2."/>
      <w:lvlJc w:val="left"/>
      <w:pPr>
        <w:ind w:left="1440" w:hanging="360"/>
      </w:pPr>
    </w:lvl>
    <w:lvl w:ilvl="2" w:tplc="05828E5C">
      <w:start w:val="1"/>
      <w:numFmt w:val="lowerRoman"/>
      <w:lvlText w:val="%3."/>
      <w:lvlJc w:val="right"/>
      <w:pPr>
        <w:ind w:left="2160" w:hanging="180"/>
      </w:pPr>
    </w:lvl>
    <w:lvl w:ilvl="3" w:tplc="CE320192">
      <w:start w:val="1"/>
      <w:numFmt w:val="decimal"/>
      <w:lvlText w:val="%4."/>
      <w:lvlJc w:val="left"/>
      <w:pPr>
        <w:ind w:left="2880" w:hanging="360"/>
      </w:pPr>
    </w:lvl>
    <w:lvl w:ilvl="4" w:tplc="9C54AB32">
      <w:start w:val="1"/>
      <w:numFmt w:val="lowerLetter"/>
      <w:lvlText w:val="%5."/>
      <w:lvlJc w:val="left"/>
      <w:pPr>
        <w:ind w:left="3600" w:hanging="360"/>
      </w:pPr>
    </w:lvl>
    <w:lvl w:ilvl="5" w:tplc="095C7BEA">
      <w:start w:val="1"/>
      <w:numFmt w:val="lowerRoman"/>
      <w:lvlText w:val="%6."/>
      <w:lvlJc w:val="right"/>
      <w:pPr>
        <w:ind w:left="4320" w:hanging="180"/>
      </w:pPr>
    </w:lvl>
    <w:lvl w:ilvl="6" w:tplc="3F007292">
      <w:start w:val="1"/>
      <w:numFmt w:val="decimal"/>
      <w:lvlText w:val="%7."/>
      <w:lvlJc w:val="left"/>
      <w:pPr>
        <w:ind w:left="5040" w:hanging="360"/>
      </w:pPr>
    </w:lvl>
    <w:lvl w:ilvl="7" w:tplc="DC5688C0">
      <w:start w:val="1"/>
      <w:numFmt w:val="lowerLetter"/>
      <w:lvlText w:val="%8."/>
      <w:lvlJc w:val="left"/>
      <w:pPr>
        <w:ind w:left="5760" w:hanging="360"/>
      </w:pPr>
    </w:lvl>
    <w:lvl w:ilvl="8" w:tplc="AFAC0F6A">
      <w:start w:val="1"/>
      <w:numFmt w:val="lowerRoman"/>
      <w:lvlText w:val="%9."/>
      <w:lvlJc w:val="right"/>
      <w:pPr>
        <w:ind w:left="6480" w:hanging="180"/>
      </w:pPr>
    </w:lvl>
  </w:abstractNum>
  <w:num w:numId="1" w16cid:durableId="1140340746">
    <w:abstractNumId w:val="10"/>
  </w:num>
  <w:num w:numId="2" w16cid:durableId="2066096799">
    <w:abstractNumId w:val="8"/>
  </w:num>
  <w:num w:numId="3" w16cid:durableId="1278022735">
    <w:abstractNumId w:val="6"/>
  </w:num>
  <w:num w:numId="4" w16cid:durableId="1037195518">
    <w:abstractNumId w:val="5"/>
  </w:num>
  <w:num w:numId="5" w16cid:durableId="1333609041">
    <w:abstractNumId w:val="4"/>
  </w:num>
  <w:num w:numId="6" w16cid:durableId="1363164179">
    <w:abstractNumId w:val="7"/>
  </w:num>
  <w:num w:numId="7" w16cid:durableId="1457868871">
    <w:abstractNumId w:val="3"/>
  </w:num>
  <w:num w:numId="8" w16cid:durableId="1927491450">
    <w:abstractNumId w:val="2"/>
  </w:num>
  <w:num w:numId="9" w16cid:durableId="1317151412">
    <w:abstractNumId w:val="1"/>
  </w:num>
  <w:num w:numId="10" w16cid:durableId="1273514543">
    <w:abstractNumId w:val="0"/>
  </w:num>
  <w:num w:numId="11" w16cid:durableId="2109814367">
    <w:abstractNumId w:val="9"/>
  </w:num>
  <w:num w:numId="12" w16cid:durableId="195521456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40212501">
    <w:abstractNumId w:val="11"/>
  </w:num>
  <w:num w:numId="14" w16cid:durableId="1392463436">
    <w:abstractNumId w:val="14"/>
  </w:num>
  <w:num w:numId="15" w16cid:durableId="3722714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0821"/>
    <w:rsid w:val="000008A7"/>
    <w:rsid w:val="000013A2"/>
    <w:rsid w:val="000043F1"/>
    <w:rsid w:val="00004FD6"/>
    <w:rsid w:val="000070FC"/>
    <w:rsid w:val="0000744E"/>
    <w:rsid w:val="00007470"/>
    <w:rsid w:val="00007791"/>
    <w:rsid w:val="00007C20"/>
    <w:rsid w:val="00007C94"/>
    <w:rsid w:val="0001011C"/>
    <w:rsid w:val="000120F0"/>
    <w:rsid w:val="000141A8"/>
    <w:rsid w:val="000155B1"/>
    <w:rsid w:val="00015A1A"/>
    <w:rsid w:val="00017D78"/>
    <w:rsid w:val="000203A2"/>
    <w:rsid w:val="00021E2C"/>
    <w:rsid w:val="00025010"/>
    <w:rsid w:val="0003122E"/>
    <w:rsid w:val="00034616"/>
    <w:rsid w:val="00035B3B"/>
    <w:rsid w:val="00041062"/>
    <w:rsid w:val="0004272A"/>
    <w:rsid w:val="00042B3C"/>
    <w:rsid w:val="00042BA9"/>
    <w:rsid w:val="00043024"/>
    <w:rsid w:val="000438C2"/>
    <w:rsid w:val="000440CA"/>
    <w:rsid w:val="000479E5"/>
    <w:rsid w:val="00047C91"/>
    <w:rsid w:val="0005179B"/>
    <w:rsid w:val="0005191C"/>
    <w:rsid w:val="00053393"/>
    <w:rsid w:val="00053739"/>
    <w:rsid w:val="000539DD"/>
    <w:rsid w:val="0005467D"/>
    <w:rsid w:val="00054DBF"/>
    <w:rsid w:val="0006063C"/>
    <w:rsid w:val="00060859"/>
    <w:rsid w:val="000611A9"/>
    <w:rsid w:val="000625D0"/>
    <w:rsid w:val="00062ECC"/>
    <w:rsid w:val="00063170"/>
    <w:rsid w:val="0006335E"/>
    <w:rsid w:val="000651BE"/>
    <w:rsid w:val="00066F05"/>
    <w:rsid w:val="00072268"/>
    <w:rsid w:val="00072A47"/>
    <w:rsid w:val="00073395"/>
    <w:rsid w:val="00083844"/>
    <w:rsid w:val="00084583"/>
    <w:rsid w:val="00084839"/>
    <w:rsid w:val="00084B7E"/>
    <w:rsid w:val="000873D4"/>
    <w:rsid w:val="00090018"/>
    <w:rsid w:val="00090060"/>
    <w:rsid w:val="0009087B"/>
    <w:rsid w:val="00091F9B"/>
    <w:rsid w:val="00091FFE"/>
    <w:rsid w:val="00092CB1"/>
    <w:rsid w:val="00094018"/>
    <w:rsid w:val="00094A7A"/>
    <w:rsid w:val="00096746"/>
    <w:rsid w:val="000A0C19"/>
    <w:rsid w:val="000A30EE"/>
    <w:rsid w:val="000A353B"/>
    <w:rsid w:val="000B0668"/>
    <w:rsid w:val="000B1801"/>
    <w:rsid w:val="000B2C59"/>
    <w:rsid w:val="000B396E"/>
    <w:rsid w:val="000B587B"/>
    <w:rsid w:val="000C08B4"/>
    <w:rsid w:val="000C099E"/>
    <w:rsid w:val="000C12A6"/>
    <w:rsid w:val="000C15F4"/>
    <w:rsid w:val="000C3567"/>
    <w:rsid w:val="000C59D7"/>
    <w:rsid w:val="000C7569"/>
    <w:rsid w:val="000D24C3"/>
    <w:rsid w:val="000D2995"/>
    <w:rsid w:val="000D2C07"/>
    <w:rsid w:val="000D5100"/>
    <w:rsid w:val="000D5125"/>
    <w:rsid w:val="000D78F5"/>
    <w:rsid w:val="000D7D35"/>
    <w:rsid w:val="000E1E77"/>
    <w:rsid w:val="000E27BB"/>
    <w:rsid w:val="000E4B90"/>
    <w:rsid w:val="000E578F"/>
    <w:rsid w:val="000E675E"/>
    <w:rsid w:val="000E7247"/>
    <w:rsid w:val="000E763B"/>
    <w:rsid w:val="000F08F9"/>
    <w:rsid w:val="000F0D94"/>
    <w:rsid w:val="000F0F19"/>
    <w:rsid w:val="000F10ED"/>
    <w:rsid w:val="000F1269"/>
    <w:rsid w:val="000F2720"/>
    <w:rsid w:val="000F3409"/>
    <w:rsid w:val="000F38D5"/>
    <w:rsid w:val="000F4FF2"/>
    <w:rsid w:val="000F5051"/>
    <w:rsid w:val="000F73D5"/>
    <w:rsid w:val="000F7D7D"/>
    <w:rsid w:val="001009BF"/>
    <w:rsid w:val="00100B59"/>
    <w:rsid w:val="00101F3F"/>
    <w:rsid w:val="00101FFB"/>
    <w:rsid w:val="00102705"/>
    <w:rsid w:val="00105058"/>
    <w:rsid w:val="00106470"/>
    <w:rsid w:val="00111AFA"/>
    <w:rsid w:val="00112074"/>
    <w:rsid w:val="00112A27"/>
    <w:rsid w:val="0011341F"/>
    <w:rsid w:val="00113761"/>
    <w:rsid w:val="00116952"/>
    <w:rsid w:val="0011764D"/>
    <w:rsid w:val="00117DEC"/>
    <w:rsid w:val="001200E6"/>
    <w:rsid w:val="0012015B"/>
    <w:rsid w:val="00120351"/>
    <w:rsid w:val="00121102"/>
    <w:rsid w:val="00121A42"/>
    <w:rsid w:val="001236C1"/>
    <w:rsid w:val="001244E9"/>
    <w:rsid w:val="001248C7"/>
    <w:rsid w:val="001248DE"/>
    <w:rsid w:val="00125A67"/>
    <w:rsid w:val="00126AA6"/>
    <w:rsid w:val="00127608"/>
    <w:rsid w:val="001323E1"/>
    <w:rsid w:val="001336A2"/>
    <w:rsid w:val="001336F7"/>
    <w:rsid w:val="00133DEE"/>
    <w:rsid w:val="00133EF1"/>
    <w:rsid w:val="00134607"/>
    <w:rsid w:val="00136ACF"/>
    <w:rsid w:val="001373BE"/>
    <w:rsid w:val="00142A0E"/>
    <w:rsid w:val="001432AA"/>
    <w:rsid w:val="00143C77"/>
    <w:rsid w:val="00143FC9"/>
    <w:rsid w:val="0014436C"/>
    <w:rsid w:val="00145BFD"/>
    <w:rsid w:val="0014775C"/>
    <w:rsid w:val="0014A1A7"/>
    <w:rsid w:val="00150052"/>
    <w:rsid w:val="0015074B"/>
    <w:rsid w:val="00150BFD"/>
    <w:rsid w:val="00153258"/>
    <w:rsid w:val="00154F12"/>
    <w:rsid w:val="00156A70"/>
    <w:rsid w:val="00156FAE"/>
    <w:rsid w:val="00161309"/>
    <w:rsid w:val="0016523C"/>
    <w:rsid w:val="001655BB"/>
    <w:rsid w:val="001673C7"/>
    <w:rsid w:val="00173A01"/>
    <w:rsid w:val="00174274"/>
    <w:rsid w:val="001829F4"/>
    <w:rsid w:val="00182BDA"/>
    <w:rsid w:val="00183628"/>
    <w:rsid w:val="00183670"/>
    <w:rsid w:val="0018426B"/>
    <w:rsid w:val="00186260"/>
    <w:rsid w:val="0018627D"/>
    <w:rsid w:val="0019016E"/>
    <w:rsid w:val="00190D95"/>
    <w:rsid w:val="001922F1"/>
    <w:rsid w:val="00192A37"/>
    <w:rsid w:val="00196A0A"/>
    <w:rsid w:val="001A34AB"/>
    <w:rsid w:val="001A48F9"/>
    <w:rsid w:val="001A56A5"/>
    <w:rsid w:val="001A6518"/>
    <w:rsid w:val="001A7571"/>
    <w:rsid w:val="001B60BC"/>
    <w:rsid w:val="001C113B"/>
    <w:rsid w:val="001C1755"/>
    <w:rsid w:val="001C197C"/>
    <w:rsid w:val="001C24C7"/>
    <w:rsid w:val="001C6CB6"/>
    <w:rsid w:val="001C716B"/>
    <w:rsid w:val="001C746B"/>
    <w:rsid w:val="001D019E"/>
    <w:rsid w:val="001D05EF"/>
    <w:rsid w:val="001D210D"/>
    <w:rsid w:val="001D2BF7"/>
    <w:rsid w:val="001D48B5"/>
    <w:rsid w:val="001E1263"/>
    <w:rsid w:val="001E203F"/>
    <w:rsid w:val="001E23E8"/>
    <w:rsid w:val="001E243B"/>
    <w:rsid w:val="001E30E2"/>
    <w:rsid w:val="001E3ACB"/>
    <w:rsid w:val="001E5A7C"/>
    <w:rsid w:val="001F1AFB"/>
    <w:rsid w:val="001F28E8"/>
    <w:rsid w:val="001F29B1"/>
    <w:rsid w:val="001F484A"/>
    <w:rsid w:val="001F4B16"/>
    <w:rsid w:val="001F6EAE"/>
    <w:rsid w:val="001F7EFC"/>
    <w:rsid w:val="002009A7"/>
    <w:rsid w:val="00205929"/>
    <w:rsid w:val="0021185B"/>
    <w:rsid w:val="002124DA"/>
    <w:rsid w:val="002133D4"/>
    <w:rsid w:val="00213B95"/>
    <w:rsid w:val="00214681"/>
    <w:rsid w:val="00216B7C"/>
    <w:rsid w:val="00217071"/>
    <w:rsid w:val="00217C2B"/>
    <w:rsid w:val="00217E71"/>
    <w:rsid w:val="00221281"/>
    <w:rsid w:val="002216BB"/>
    <w:rsid w:val="0022170B"/>
    <w:rsid w:val="0022450F"/>
    <w:rsid w:val="00224F4F"/>
    <w:rsid w:val="002266CC"/>
    <w:rsid w:val="00233A86"/>
    <w:rsid w:val="00234BF9"/>
    <w:rsid w:val="00235861"/>
    <w:rsid w:val="002363CB"/>
    <w:rsid w:val="0023667A"/>
    <w:rsid w:val="00240069"/>
    <w:rsid w:val="002406AE"/>
    <w:rsid w:val="002406C7"/>
    <w:rsid w:val="00240BDB"/>
    <w:rsid w:val="00242906"/>
    <w:rsid w:val="00242DEE"/>
    <w:rsid w:val="00244441"/>
    <w:rsid w:val="002449B5"/>
    <w:rsid w:val="002453AD"/>
    <w:rsid w:val="0024554C"/>
    <w:rsid w:val="00250DF8"/>
    <w:rsid w:val="00252957"/>
    <w:rsid w:val="00255657"/>
    <w:rsid w:val="0025575C"/>
    <w:rsid w:val="0025650A"/>
    <w:rsid w:val="0025741C"/>
    <w:rsid w:val="00257FE4"/>
    <w:rsid w:val="00262D03"/>
    <w:rsid w:val="002651CD"/>
    <w:rsid w:val="00267768"/>
    <w:rsid w:val="00270B69"/>
    <w:rsid w:val="00271E5B"/>
    <w:rsid w:val="00271E6E"/>
    <w:rsid w:val="00275215"/>
    <w:rsid w:val="0027573E"/>
    <w:rsid w:val="00275EAB"/>
    <w:rsid w:val="00281D30"/>
    <w:rsid w:val="00290201"/>
    <w:rsid w:val="00293369"/>
    <w:rsid w:val="00293E56"/>
    <w:rsid w:val="00294033"/>
    <w:rsid w:val="00294557"/>
    <w:rsid w:val="0029639D"/>
    <w:rsid w:val="00296C72"/>
    <w:rsid w:val="00297014"/>
    <w:rsid w:val="00297959"/>
    <w:rsid w:val="002A04D6"/>
    <w:rsid w:val="002A134A"/>
    <w:rsid w:val="002A2FFD"/>
    <w:rsid w:val="002A31EC"/>
    <w:rsid w:val="002A3F98"/>
    <w:rsid w:val="002A6658"/>
    <w:rsid w:val="002A7951"/>
    <w:rsid w:val="002B0BE8"/>
    <w:rsid w:val="002B3978"/>
    <w:rsid w:val="002B4F47"/>
    <w:rsid w:val="002B5240"/>
    <w:rsid w:val="002B6004"/>
    <w:rsid w:val="002B789A"/>
    <w:rsid w:val="002C1A2C"/>
    <w:rsid w:val="002C1D50"/>
    <w:rsid w:val="002C391D"/>
    <w:rsid w:val="002C6311"/>
    <w:rsid w:val="002C6631"/>
    <w:rsid w:val="002C78D1"/>
    <w:rsid w:val="002D341D"/>
    <w:rsid w:val="002D35D1"/>
    <w:rsid w:val="002D4340"/>
    <w:rsid w:val="002D5365"/>
    <w:rsid w:val="002D5F91"/>
    <w:rsid w:val="002D6C49"/>
    <w:rsid w:val="002E03FE"/>
    <w:rsid w:val="002E256E"/>
    <w:rsid w:val="002E2DED"/>
    <w:rsid w:val="002E33CF"/>
    <w:rsid w:val="002E45CE"/>
    <w:rsid w:val="002E6907"/>
    <w:rsid w:val="002E6944"/>
    <w:rsid w:val="002E7580"/>
    <w:rsid w:val="002E775E"/>
    <w:rsid w:val="002F00EB"/>
    <w:rsid w:val="002F0988"/>
    <w:rsid w:val="002F2D2C"/>
    <w:rsid w:val="002F43AE"/>
    <w:rsid w:val="002F4803"/>
    <w:rsid w:val="002F5A4A"/>
    <w:rsid w:val="002F65A9"/>
    <w:rsid w:val="002F698A"/>
    <w:rsid w:val="00300641"/>
    <w:rsid w:val="003032F2"/>
    <w:rsid w:val="00303F68"/>
    <w:rsid w:val="00305027"/>
    <w:rsid w:val="003068F7"/>
    <w:rsid w:val="003070C3"/>
    <w:rsid w:val="0030766D"/>
    <w:rsid w:val="00311853"/>
    <w:rsid w:val="0031513C"/>
    <w:rsid w:val="00315E5E"/>
    <w:rsid w:val="00315E64"/>
    <w:rsid w:val="00316108"/>
    <w:rsid w:val="0031625A"/>
    <w:rsid w:val="00317F63"/>
    <w:rsid w:val="00321271"/>
    <w:rsid w:val="00321E3F"/>
    <w:rsid w:val="003224E8"/>
    <w:rsid w:val="00322F27"/>
    <w:rsid w:val="00325EAD"/>
    <w:rsid w:val="00326F90"/>
    <w:rsid w:val="00327C73"/>
    <w:rsid w:val="00333BF3"/>
    <w:rsid w:val="00333C37"/>
    <w:rsid w:val="00335A88"/>
    <w:rsid w:val="00337C23"/>
    <w:rsid w:val="00337C57"/>
    <w:rsid w:val="00340765"/>
    <w:rsid w:val="00341536"/>
    <w:rsid w:val="0034606E"/>
    <w:rsid w:val="00351BE2"/>
    <w:rsid w:val="003530FB"/>
    <w:rsid w:val="003535BC"/>
    <w:rsid w:val="00354825"/>
    <w:rsid w:val="00354A18"/>
    <w:rsid w:val="0035732F"/>
    <w:rsid w:val="00357E4B"/>
    <w:rsid w:val="00363655"/>
    <w:rsid w:val="003637E6"/>
    <w:rsid w:val="0036678D"/>
    <w:rsid w:val="00371E8F"/>
    <w:rsid w:val="0037253A"/>
    <w:rsid w:val="00373095"/>
    <w:rsid w:val="00373E8C"/>
    <w:rsid w:val="00373EE1"/>
    <w:rsid w:val="00374FE4"/>
    <w:rsid w:val="0037538B"/>
    <w:rsid w:val="003758F2"/>
    <w:rsid w:val="003759B9"/>
    <w:rsid w:val="00377434"/>
    <w:rsid w:val="0038076A"/>
    <w:rsid w:val="00380CD7"/>
    <w:rsid w:val="00382A32"/>
    <w:rsid w:val="00384640"/>
    <w:rsid w:val="00384748"/>
    <w:rsid w:val="00385E31"/>
    <w:rsid w:val="00386A1C"/>
    <w:rsid w:val="003910E9"/>
    <w:rsid w:val="00391417"/>
    <w:rsid w:val="00391A16"/>
    <w:rsid w:val="003958DE"/>
    <w:rsid w:val="00396A45"/>
    <w:rsid w:val="003A2457"/>
    <w:rsid w:val="003A3A56"/>
    <w:rsid w:val="003A44EB"/>
    <w:rsid w:val="003A6334"/>
    <w:rsid w:val="003A67A2"/>
    <w:rsid w:val="003A7084"/>
    <w:rsid w:val="003A7A82"/>
    <w:rsid w:val="003B0061"/>
    <w:rsid w:val="003B070F"/>
    <w:rsid w:val="003B26CE"/>
    <w:rsid w:val="003B4263"/>
    <w:rsid w:val="003B46CC"/>
    <w:rsid w:val="003B47D3"/>
    <w:rsid w:val="003B7474"/>
    <w:rsid w:val="003B7837"/>
    <w:rsid w:val="003B7D7E"/>
    <w:rsid w:val="003C20B1"/>
    <w:rsid w:val="003C22D3"/>
    <w:rsid w:val="003C3A38"/>
    <w:rsid w:val="003C41ED"/>
    <w:rsid w:val="003C603D"/>
    <w:rsid w:val="003C7728"/>
    <w:rsid w:val="003D355F"/>
    <w:rsid w:val="003D48EA"/>
    <w:rsid w:val="003D6EDB"/>
    <w:rsid w:val="003D7B6D"/>
    <w:rsid w:val="003E04AD"/>
    <w:rsid w:val="003E2079"/>
    <w:rsid w:val="003E3811"/>
    <w:rsid w:val="003E5F36"/>
    <w:rsid w:val="003E5F98"/>
    <w:rsid w:val="003E6023"/>
    <w:rsid w:val="003E6559"/>
    <w:rsid w:val="003E70A7"/>
    <w:rsid w:val="003F0A87"/>
    <w:rsid w:val="003F17F1"/>
    <w:rsid w:val="003F2B77"/>
    <w:rsid w:val="003F6076"/>
    <w:rsid w:val="003F721C"/>
    <w:rsid w:val="003F7D92"/>
    <w:rsid w:val="00403A59"/>
    <w:rsid w:val="0041325B"/>
    <w:rsid w:val="00413370"/>
    <w:rsid w:val="00414711"/>
    <w:rsid w:val="00416B94"/>
    <w:rsid w:val="00420260"/>
    <w:rsid w:val="00420C10"/>
    <w:rsid w:val="00423199"/>
    <w:rsid w:val="0042430A"/>
    <w:rsid w:val="00426458"/>
    <w:rsid w:val="0042685E"/>
    <w:rsid w:val="00426940"/>
    <w:rsid w:val="00430588"/>
    <w:rsid w:val="00431292"/>
    <w:rsid w:val="00432DE8"/>
    <w:rsid w:val="00433AF4"/>
    <w:rsid w:val="004342F2"/>
    <w:rsid w:val="0043684A"/>
    <w:rsid w:val="00442F2E"/>
    <w:rsid w:val="00443556"/>
    <w:rsid w:val="00444A68"/>
    <w:rsid w:val="00444AD5"/>
    <w:rsid w:val="00445347"/>
    <w:rsid w:val="00452E32"/>
    <w:rsid w:val="00453237"/>
    <w:rsid w:val="00453B9D"/>
    <w:rsid w:val="00454700"/>
    <w:rsid w:val="00454A9E"/>
    <w:rsid w:val="0045684D"/>
    <w:rsid w:val="00456AD8"/>
    <w:rsid w:val="00457C7E"/>
    <w:rsid w:val="004604BD"/>
    <w:rsid w:val="004624E8"/>
    <w:rsid w:val="004631E0"/>
    <w:rsid w:val="00463877"/>
    <w:rsid w:val="004649C4"/>
    <w:rsid w:val="004650AA"/>
    <w:rsid w:val="004663A0"/>
    <w:rsid w:val="00467CF4"/>
    <w:rsid w:val="00471E47"/>
    <w:rsid w:val="0047208E"/>
    <w:rsid w:val="00472AA8"/>
    <w:rsid w:val="004734D8"/>
    <w:rsid w:val="00473689"/>
    <w:rsid w:val="00474904"/>
    <w:rsid w:val="00477622"/>
    <w:rsid w:val="00480BD3"/>
    <w:rsid w:val="00480F99"/>
    <w:rsid w:val="00481FC0"/>
    <w:rsid w:val="00482EA6"/>
    <w:rsid w:val="004837B5"/>
    <w:rsid w:val="00484872"/>
    <w:rsid w:val="00485A4F"/>
    <w:rsid w:val="00486BF6"/>
    <w:rsid w:val="00487BA8"/>
    <w:rsid w:val="00491C2F"/>
    <w:rsid w:val="00494C87"/>
    <w:rsid w:val="004964B7"/>
    <w:rsid w:val="00497EDB"/>
    <w:rsid w:val="004A0057"/>
    <w:rsid w:val="004A18E7"/>
    <w:rsid w:val="004A1B9B"/>
    <w:rsid w:val="004A3C9A"/>
    <w:rsid w:val="004A5815"/>
    <w:rsid w:val="004B1442"/>
    <w:rsid w:val="004B230D"/>
    <w:rsid w:val="004B2587"/>
    <w:rsid w:val="004B57BB"/>
    <w:rsid w:val="004B6376"/>
    <w:rsid w:val="004B7378"/>
    <w:rsid w:val="004B7DA7"/>
    <w:rsid w:val="004C2773"/>
    <w:rsid w:val="004C3CE8"/>
    <w:rsid w:val="004C6A38"/>
    <w:rsid w:val="004D0052"/>
    <w:rsid w:val="004D0A6F"/>
    <w:rsid w:val="004D2F19"/>
    <w:rsid w:val="004D3FF1"/>
    <w:rsid w:val="004D4F22"/>
    <w:rsid w:val="004D5FAE"/>
    <w:rsid w:val="004D6163"/>
    <w:rsid w:val="004E01C6"/>
    <w:rsid w:val="004E1F81"/>
    <w:rsid w:val="004E2A41"/>
    <w:rsid w:val="004E401F"/>
    <w:rsid w:val="004E63E5"/>
    <w:rsid w:val="004E682D"/>
    <w:rsid w:val="004E6FA4"/>
    <w:rsid w:val="004F004E"/>
    <w:rsid w:val="004F096C"/>
    <w:rsid w:val="004F1045"/>
    <w:rsid w:val="004F202A"/>
    <w:rsid w:val="004F354A"/>
    <w:rsid w:val="004F46BC"/>
    <w:rsid w:val="004F5AC4"/>
    <w:rsid w:val="004F5D6E"/>
    <w:rsid w:val="0050272B"/>
    <w:rsid w:val="00502CEF"/>
    <w:rsid w:val="005035ED"/>
    <w:rsid w:val="0051006E"/>
    <w:rsid w:val="005112E4"/>
    <w:rsid w:val="00511D6B"/>
    <w:rsid w:val="00511FE9"/>
    <w:rsid w:val="00512C92"/>
    <w:rsid w:val="00516453"/>
    <w:rsid w:val="0051659A"/>
    <w:rsid w:val="005167D5"/>
    <w:rsid w:val="005208B4"/>
    <w:rsid w:val="00520EE6"/>
    <w:rsid w:val="00522373"/>
    <w:rsid w:val="005225C8"/>
    <w:rsid w:val="00524B4D"/>
    <w:rsid w:val="00527188"/>
    <w:rsid w:val="005319F1"/>
    <w:rsid w:val="00535DB1"/>
    <w:rsid w:val="00536888"/>
    <w:rsid w:val="00537BFF"/>
    <w:rsid w:val="00540B48"/>
    <w:rsid w:val="00545235"/>
    <w:rsid w:val="00545740"/>
    <w:rsid w:val="00545B89"/>
    <w:rsid w:val="0054744C"/>
    <w:rsid w:val="0055263A"/>
    <w:rsid w:val="00552FFA"/>
    <w:rsid w:val="0055336E"/>
    <w:rsid w:val="005557A7"/>
    <w:rsid w:val="00555F4A"/>
    <w:rsid w:val="00555F96"/>
    <w:rsid w:val="005576B4"/>
    <w:rsid w:val="00557775"/>
    <w:rsid w:val="00560B2E"/>
    <w:rsid w:val="005611C3"/>
    <w:rsid w:val="00561371"/>
    <w:rsid w:val="00561F2F"/>
    <w:rsid w:val="00562342"/>
    <w:rsid w:val="00562B6B"/>
    <w:rsid w:val="00563232"/>
    <w:rsid w:val="0056352F"/>
    <w:rsid w:val="0056354C"/>
    <w:rsid w:val="00563E18"/>
    <w:rsid w:val="005651B8"/>
    <w:rsid w:val="00565359"/>
    <w:rsid w:val="00565893"/>
    <w:rsid w:val="00566841"/>
    <w:rsid w:val="00571C06"/>
    <w:rsid w:val="005733A6"/>
    <w:rsid w:val="00576F80"/>
    <w:rsid w:val="0058151F"/>
    <w:rsid w:val="00583EAB"/>
    <w:rsid w:val="0058492D"/>
    <w:rsid w:val="00585B07"/>
    <w:rsid w:val="00585DD8"/>
    <w:rsid w:val="0058646A"/>
    <w:rsid w:val="00586548"/>
    <w:rsid w:val="00586652"/>
    <w:rsid w:val="005917F9"/>
    <w:rsid w:val="0059247E"/>
    <w:rsid w:val="005924EB"/>
    <w:rsid w:val="0059388B"/>
    <w:rsid w:val="00594C1F"/>
    <w:rsid w:val="005A103B"/>
    <w:rsid w:val="005A1994"/>
    <w:rsid w:val="005A307E"/>
    <w:rsid w:val="005A39A2"/>
    <w:rsid w:val="005A4109"/>
    <w:rsid w:val="005A4C4F"/>
    <w:rsid w:val="005A5920"/>
    <w:rsid w:val="005A68D5"/>
    <w:rsid w:val="005A7142"/>
    <w:rsid w:val="005B0066"/>
    <w:rsid w:val="005B3626"/>
    <w:rsid w:val="005B499A"/>
    <w:rsid w:val="005B5842"/>
    <w:rsid w:val="005B5F7B"/>
    <w:rsid w:val="005B77DC"/>
    <w:rsid w:val="005C02A2"/>
    <w:rsid w:val="005C0F79"/>
    <w:rsid w:val="005C3D7F"/>
    <w:rsid w:val="005C3ED6"/>
    <w:rsid w:val="005C575A"/>
    <w:rsid w:val="005C60F8"/>
    <w:rsid w:val="005C66B0"/>
    <w:rsid w:val="005C794B"/>
    <w:rsid w:val="005D06B0"/>
    <w:rsid w:val="005D24F7"/>
    <w:rsid w:val="005D2E6D"/>
    <w:rsid w:val="005D403D"/>
    <w:rsid w:val="005D43A1"/>
    <w:rsid w:val="005E1809"/>
    <w:rsid w:val="005E21F1"/>
    <w:rsid w:val="005E2FD9"/>
    <w:rsid w:val="005E4A27"/>
    <w:rsid w:val="005E4CEC"/>
    <w:rsid w:val="005E4F9B"/>
    <w:rsid w:val="005E5561"/>
    <w:rsid w:val="005E63CB"/>
    <w:rsid w:val="005E6D0A"/>
    <w:rsid w:val="005F0FF9"/>
    <w:rsid w:val="005F1216"/>
    <w:rsid w:val="005F2118"/>
    <w:rsid w:val="005F3C4A"/>
    <w:rsid w:val="005F52A9"/>
    <w:rsid w:val="005F5FAF"/>
    <w:rsid w:val="005F6293"/>
    <w:rsid w:val="00601139"/>
    <w:rsid w:val="00602189"/>
    <w:rsid w:val="006075F7"/>
    <w:rsid w:val="00610357"/>
    <w:rsid w:val="006138AD"/>
    <w:rsid w:val="00615520"/>
    <w:rsid w:val="00617ED5"/>
    <w:rsid w:val="006219E2"/>
    <w:rsid w:val="00621B86"/>
    <w:rsid w:val="00625B7E"/>
    <w:rsid w:val="00631852"/>
    <w:rsid w:val="00631FE6"/>
    <w:rsid w:val="00632C2B"/>
    <w:rsid w:val="00634613"/>
    <w:rsid w:val="00635CB3"/>
    <w:rsid w:val="00637823"/>
    <w:rsid w:val="006400BA"/>
    <w:rsid w:val="0064060C"/>
    <w:rsid w:val="00645854"/>
    <w:rsid w:val="006478D4"/>
    <w:rsid w:val="00647B4C"/>
    <w:rsid w:val="00651B83"/>
    <w:rsid w:val="00653309"/>
    <w:rsid w:val="0065619E"/>
    <w:rsid w:val="00664597"/>
    <w:rsid w:val="00665CAC"/>
    <w:rsid w:val="006663D3"/>
    <w:rsid w:val="00671B51"/>
    <w:rsid w:val="0067536B"/>
    <w:rsid w:val="006763BE"/>
    <w:rsid w:val="006769C6"/>
    <w:rsid w:val="0067778B"/>
    <w:rsid w:val="00677C47"/>
    <w:rsid w:val="00683686"/>
    <w:rsid w:val="00683D78"/>
    <w:rsid w:val="00684DC7"/>
    <w:rsid w:val="00685635"/>
    <w:rsid w:val="00691028"/>
    <w:rsid w:val="006923F1"/>
    <w:rsid w:val="00692A98"/>
    <w:rsid w:val="00694313"/>
    <w:rsid w:val="0069685C"/>
    <w:rsid w:val="0069685F"/>
    <w:rsid w:val="00697814"/>
    <w:rsid w:val="006A5D5C"/>
    <w:rsid w:val="006A5E01"/>
    <w:rsid w:val="006B1242"/>
    <w:rsid w:val="006B2FDD"/>
    <w:rsid w:val="006B44E7"/>
    <w:rsid w:val="006B63BE"/>
    <w:rsid w:val="006B6985"/>
    <w:rsid w:val="006C0A53"/>
    <w:rsid w:val="006C4215"/>
    <w:rsid w:val="006C4C97"/>
    <w:rsid w:val="006C6645"/>
    <w:rsid w:val="006D1268"/>
    <w:rsid w:val="006D1568"/>
    <w:rsid w:val="006D1583"/>
    <w:rsid w:val="006D1EBC"/>
    <w:rsid w:val="006D37BE"/>
    <w:rsid w:val="006D3D8C"/>
    <w:rsid w:val="006D46E8"/>
    <w:rsid w:val="006D6628"/>
    <w:rsid w:val="006D70F1"/>
    <w:rsid w:val="006D78BF"/>
    <w:rsid w:val="006D7E00"/>
    <w:rsid w:val="006E0D15"/>
    <w:rsid w:val="006E15EC"/>
    <w:rsid w:val="006E2E42"/>
    <w:rsid w:val="006E3D7B"/>
    <w:rsid w:val="006E48DA"/>
    <w:rsid w:val="006E6018"/>
    <w:rsid w:val="006E6BE2"/>
    <w:rsid w:val="006E7027"/>
    <w:rsid w:val="006E7FE5"/>
    <w:rsid w:val="006F0A89"/>
    <w:rsid w:val="006F2B55"/>
    <w:rsid w:val="006F3D3A"/>
    <w:rsid w:val="006F6B9F"/>
    <w:rsid w:val="006F772F"/>
    <w:rsid w:val="00702C69"/>
    <w:rsid w:val="00702DEE"/>
    <w:rsid w:val="00703071"/>
    <w:rsid w:val="00703A6C"/>
    <w:rsid w:val="00703DF9"/>
    <w:rsid w:val="007061EC"/>
    <w:rsid w:val="0071210D"/>
    <w:rsid w:val="00714FDA"/>
    <w:rsid w:val="0071521E"/>
    <w:rsid w:val="0071639C"/>
    <w:rsid w:val="00716BAC"/>
    <w:rsid w:val="0071795E"/>
    <w:rsid w:val="00717B94"/>
    <w:rsid w:val="007202E7"/>
    <w:rsid w:val="00721C80"/>
    <w:rsid w:val="00723153"/>
    <w:rsid w:val="007306D4"/>
    <w:rsid w:val="00731067"/>
    <w:rsid w:val="00731C72"/>
    <w:rsid w:val="007334B9"/>
    <w:rsid w:val="0073353D"/>
    <w:rsid w:val="00735556"/>
    <w:rsid w:val="007367C9"/>
    <w:rsid w:val="00741E19"/>
    <w:rsid w:val="00743774"/>
    <w:rsid w:val="007446E7"/>
    <w:rsid w:val="00744817"/>
    <w:rsid w:val="00745BFE"/>
    <w:rsid w:val="00745C69"/>
    <w:rsid w:val="00750B24"/>
    <w:rsid w:val="00752095"/>
    <w:rsid w:val="007534A7"/>
    <w:rsid w:val="007556E1"/>
    <w:rsid w:val="00756E8F"/>
    <w:rsid w:val="00757BC6"/>
    <w:rsid w:val="00761D1F"/>
    <w:rsid w:val="00762197"/>
    <w:rsid w:val="007631D0"/>
    <w:rsid w:val="007638DE"/>
    <w:rsid w:val="00766175"/>
    <w:rsid w:val="0077050E"/>
    <w:rsid w:val="00770619"/>
    <w:rsid w:val="00771133"/>
    <w:rsid w:val="00773747"/>
    <w:rsid w:val="00774FF1"/>
    <w:rsid w:val="00780109"/>
    <w:rsid w:val="00781705"/>
    <w:rsid w:val="0078172B"/>
    <w:rsid w:val="007820C6"/>
    <w:rsid w:val="00784721"/>
    <w:rsid w:val="00786701"/>
    <w:rsid w:val="00787688"/>
    <w:rsid w:val="007905B1"/>
    <w:rsid w:val="00790B31"/>
    <w:rsid w:val="00793C8D"/>
    <w:rsid w:val="00794A53"/>
    <w:rsid w:val="007966BC"/>
    <w:rsid w:val="0079696A"/>
    <w:rsid w:val="007A1340"/>
    <w:rsid w:val="007A1D5C"/>
    <w:rsid w:val="007A40B5"/>
    <w:rsid w:val="007A566C"/>
    <w:rsid w:val="007A6CCF"/>
    <w:rsid w:val="007A7169"/>
    <w:rsid w:val="007A7217"/>
    <w:rsid w:val="007B1777"/>
    <w:rsid w:val="007B23C0"/>
    <w:rsid w:val="007B2E9C"/>
    <w:rsid w:val="007B3144"/>
    <w:rsid w:val="007B40EB"/>
    <w:rsid w:val="007B47F0"/>
    <w:rsid w:val="007B5358"/>
    <w:rsid w:val="007B657E"/>
    <w:rsid w:val="007C05D2"/>
    <w:rsid w:val="007C2FCA"/>
    <w:rsid w:val="007C376D"/>
    <w:rsid w:val="007C5F8F"/>
    <w:rsid w:val="007D041D"/>
    <w:rsid w:val="007D1ABD"/>
    <w:rsid w:val="007D20C6"/>
    <w:rsid w:val="007D2772"/>
    <w:rsid w:val="007D4AE0"/>
    <w:rsid w:val="007D4CA6"/>
    <w:rsid w:val="007D5D1F"/>
    <w:rsid w:val="007D7416"/>
    <w:rsid w:val="007D7883"/>
    <w:rsid w:val="007E0E06"/>
    <w:rsid w:val="007E1B12"/>
    <w:rsid w:val="007E4153"/>
    <w:rsid w:val="007E5C02"/>
    <w:rsid w:val="007E731F"/>
    <w:rsid w:val="007F189D"/>
    <w:rsid w:val="007F2BA5"/>
    <w:rsid w:val="007F4EA7"/>
    <w:rsid w:val="007F719B"/>
    <w:rsid w:val="007F73A8"/>
    <w:rsid w:val="007F7FBE"/>
    <w:rsid w:val="00801EE3"/>
    <w:rsid w:val="00802069"/>
    <w:rsid w:val="008034EB"/>
    <w:rsid w:val="00803FA8"/>
    <w:rsid w:val="00806081"/>
    <w:rsid w:val="00806EE9"/>
    <w:rsid w:val="00807A55"/>
    <w:rsid w:val="00807B2B"/>
    <w:rsid w:val="00810740"/>
    <w:rsid w:val="00810C36"/>
    <w:rsid w:val="008113B2"/>
    <w:rsid w:val="008125B2"/>
    <w:rsid w:val="00812638"/>
    <w:rsid w:val="008128FD"/>
    <w:rsid w:val="008137E7"/>
    <w:rsid w:val="00813A4E"/>
    <w:rsid w:val="0081611C"/>
    <w:rsid w:val="008178D8"/>
    <w:rsid w:val="0082106A"/>
    <w:rsid w:val="0082234A"/>
    <w:rsid w:val="0082291F"/>
    <w:rsid w:val="00822976"/>
    <w:rsid w:val="00823817"/>
    <w:rsid w:val="00830559"/>
    <w:rsid w:val="00831B0E"/>
    <w:rsid w:val="00831FD6"/>
    <w:rsid w:val="00832C09"/>
    <w:rsid w:val="008368EB"/>
    <w:rsid w:val="00841368"/>
    <w:rsid w:val="0084362D"/>
    <w:rsid w:val="008456F8"/>
    <w:rsid w:val="00845A52"/>
    <w:rsid w:val="00850ED9"/>
    <w:rsid w:val="00852F3B"/>
    <w:rsid w:val="00852F4B"/>
    <w:rsid w:val="0085363D"/>
    <w:rsid w:val="0085391B"/>
    <w:rsid w:val="00854C98"/>
    <w:rsid w:val="00855352"/>
    <w:rsid w:val="008565FD"/>
    <w:rsid w:val="008566C8"/>
    <w:rsid w:val="008602AF"/>
    <w:rsid w:val="008612B9"/>
    <w:rsid w:val="00865C77"/>
    <w:rsid w:val="00867274"/>
    <w:rsid w:val="0087264A"/>
    <w:rsid w:val="00872C8B"/>
    <w:rsid w:val="008735AB"/>
    <w:rsid w:val="00873D90"/>
    <w:rsid w:val="00873F41"/>
    <w:rsid w:val="0087418A"/>
    <w:rsid w:val="0087473E"/>
    <w:rsid w:val="00876999"/>
    <w:rsid w:val="00876FAA"/>
    <w:rsid w:val="00877893"/>
    <w:rsid w:val="00882E2F"/>
    <w:rsid w:val="00892DA5"/>
    <w:rsid w:val="00895214"/>
    <w:rsid w:val="0089640B"/>
    <w:rsid w:val="008968AE"/>
    <w:rsid w:val="008978FF"/>
    <w:rsid w:val="0089B732"/>
    <w:rsid w:val="008A0967"/>
    <w:rsid w:val="008A58A3"/>
    <w:rsid w:val="008A6513"/>
    <w:rsid w:val="008A710C"/>
    <w:rsid w:val="008A75BB"/>
    <w:rsid w:val="008B05C5"/>
    <w:rsid w:val="008B0A78"/>
    <w:rsid w:val="008B29BB"/>
    <w:rsid w:val="008B2E5F"/>
    <w:rsid w:val="008B2F69"/>
    <w:rsid w:val="008B3034"/>
    <w:rsid w:val="008B326E"/>
    <w:rsid w:val="008B5371"/>
    <w:rsid w:val="008B5CAA"/>
    <w:rsid w:val="008B6739"/>
    <w:rsid w:val="008B6B45"/>
    <w:rsid w:val="008B6C20"/>
    <w:rsid w:val="008B6F49"/>
    <w:rsid w:val="008C0537"/>
    <w:rsid w:val="008C0B88"/>
    <w:rsid w:val="008C1245"/>
    <w:rsid w:val="008C19F6"/>
    <w:rsid w:val="008C2443"/>
    <w:rsid w:val="008C366A"/>
    <w:rsid w:val="008C6603"/>
    <w:rsid w:val="008C7EFE"/>
    <w:rsid w:val="008D03A4"/>
    <w:rsid w:val="008D2FF5"/>
    <w:rsid w:val="008D4109"/>
    <w:rsid w:val="008D4371"/>
    <w:rsid w:val="008D53FF"/>
    <w:rsid w:val="008D54A7"/>
    <w:rsid w:val="008D5DB0"/>
    <w:rsid w:val="008D6862"/>
    <w:rsid w:val="008D69F1"/>
    <w:rsid w:val="008D7E89"/>
    <w:rsid w:val="008E2D35"/>
    <w:rsid w:val="008E2F3C"/>
    <w:rsid w:val="008E5788"/>
    <w:rsid w:val="008E7914"/>
    <w:rsid w:val="008ED3C8"/>
    <w:rsid w:val="008F1C2D"/>
    <w:rsid w:val="008F37F9"/>
    <w:rsid w:val="008F3AE7"/>
    <w:rsid w:val="008F3FF4"/>
    <w:rsid w:val="008F4355"/>
    <w:rsid w:val="008F55D9"/>
    <w:rsid w:val="008F668E"/>
    <w:rsid w:val="00907D17"/>
    <w:rsid w:val="00910469"/>
    <w:rsid w:val="009139A5"/>
    <w:rsid w:val="00913FFE"/>
    <w:rsid w:val="009165AA"/>
    <w:rsid w:val="009175E9"/>
    <w:rsid w:val="0092030A"/>
    <w:rsid w:val="00921597"/>
    <w:rsid w:val="009229D3"/>
    <w:rsid w:val="00922B14"/>
    <w:rsid w:val="0092370C"/>
    <w:rsid w:val="009248F3"/>
    <w:rsid w:val="009252F2"/>
    <w:rsid w:val="00925B45"/>
    <w:rsid w:val="00930E7B"/>
    <w:rsid w:val="009319C7"/>
    <w:rsid w:val="00934901"/>
    <w:rsid w:val="00935BB9"/>
    <w:rsid w:val="00940153"/>
    <w:rsid w:val="00940F55"/>
    <w:rsid w:val="00941ED9"/>
    <w:rsid w:val="009428F2"/>
    <w:rsid w:val="00943125"/>
    <w:rsid w:val="00947E5E"/>
    <w:rsid w:val="0095435B"/>
    <w:rsid w:val="00960E3E"/>
    <w:rsid w:val="009611D5"/>
    <w:rsid w:val="00961681"/>
    <w:rsid w:val="0096286D"/>
    <w:rsid w:val="00964246"/>
    <w:rsid w:val="009653CF"/>
    <w:rsid w:val="0097138B"/>
    <w:rsid w:val="00973279"/>
    <w:rsid w:val="00973292"/>
    <w:rsid w:val="009751E2"/>
    <w:rsid w:val="009759B6"/>
    <w:rsid w:val="00975CAD"/>
    <w:rsid w:val="00984483"/>
    <w:rsid w:val="0098612C"/>
    <w:rsid w:val="00986BD9"/>
    <w:rsid w:val="00987A7B"/>
    <w:rsid w:val="00987C0A"/>
    <w:rsid w:val="00991152"/>
    <w:rsid w:val="0099135D"/>
    <w:rsid w:val="00993608"/>
    <w:rsid w:val="00994122"/>
    <w:rsid w:val="00994334"/>
    <w:rsid w:val="009945D0"/>
    <w:rsid w:val="00995CC0"/>
    <w:rsid w:val="00996239"/>
    <w:rsid w:val="00996A73"/>
    <w:rsid w:val="00996B8C"/>
    <w:rsid w:val="0099704E"/>
    <w:rsid w:val="009A0050"/>
    <w:rsid w:val="009A0D8F"/>
    <w:rsid w:val="009A4D1F"/>
    <w:rsid w:val="009A4F1D"/>
    <w:rsid w:val="009B015E"/>
    <w:rsid w:val="009B1BC2"/>
    <w:rsid w:val="009B2A95"/>
    <w:rsid w:val="009B3492"/>
    <w:rsid w:val="009B35E7"/>
    <w:rsid w:val="009B3B61"/>
    <w:rsid w:val="009B50AB"/>
    <w:rsid w:val="009B6372"/>
    <w:rsid w:val="009B722D"/>
    <w:rsid w:val="009C0624"/>
    <w:rsid w:val="009C189A"/>
    <w:rsid w:val="009C4573"/>
    <w:rsid w:val="009C4B06"/>
    <w:rsid w:val="009C63B5"/>
    <w:rsid w:val="009C6756"/>
    <w:rsid w:val="009D0417"/>
    <w:rsid w:val="009D0549"/>
    <w:rsid w:val="009D1DCC"/>
    <w:rsid w:val="009D320C"/>
    <w:rsid w:val="009D3B4A"/>
    <w:rsid w:val="009D6D27"/>
    <w:rsid w:val="009E1C53"/>
    <w:rsid w:val="009E1FED"/>
    <w:rsid w:val="009E283C"/>
    <w:rsid w:val="009E3561"/>
    <w:rsid w:val="009E3844"/>
    <w:rsid w:val="009E3B40"/>
    <w:rsid w:val="009E5362"/>
    <w:rsid w:val="009E5CD0"/>
    <w:rsid w:val="009E5FCA"/>
    <w:rsid w:val="009E6672"/>
    <w:rsid w:val="009F011E"/>
    <w:rsid w:val="009F0A2C"/>
    <w:rsid w:val="009F18F3"/>
    <w:rsid w:val="009F3464"/>
    <w:rsid w:val="009F3642"/>
    <w:rsid w:val="009F3B9D"/>
    <w:rsid w:val="00A00DFB"/>
    <w:rsid w:val="00A020FE"/>
    <w:rsid w:val="00A0283C"/>
    <w:rsid w:val="00A05DE8"/>
    <w:rsid w:val="00A07541"/>
    <w:rsid w:val="00A11060"/>
    <w:rsid w:val="00A12B51"/>
    <w:rsid w:val="00A13DEC"/>
    <w:rsid w:val="00A1417E"/>
    <w:rsid w:val="00A1438A"/>
    <w:rsid w:val="00A15404"/>
    <w:rsid w:val="00A164A3"/>
    <w:rsid w:val="00A20D61"/>
    <w:rsid w:val="00A21879"/>
    <w:rsid w:val="00A2191E"/>
    <w:rsid w:val="00A22E89"/>
    <w:rsid w:val="00A2361A"/>
    <w:rsid w:val="00A241A6"/>
    <w:rsid w:val="00A2551D"/>
    <w:rsid w:val="00A32F2F"/>
    <w:rsid w:val="00A33418"/>
    <w:rsid w:val="00A37893"/>
    <w:rsid w:val="00A458AA"/>
    <w:rsid w:val="00A476FA"/>
    <w:rsid w:val="00A50043"/>
    <w:rsid w:val="00A5058B"/>
    <w:rsid w:val="00A50EAD"/>
    <w:rsid w:val="00A50EDE"/>
    <w:rsid w:val="00A53FB0"/>
    <w:rsid w:val="00A556D7"/>
    <w:rsid w:val="00A60AE9"/>
    <w:rsid w:val="00A62E6E"/>
    <w:rsid w:val="00A64346"/>
    <w:rsid w:val="00A65A49"/>
    <w:rsid w:val="00A6693E"/>
    <w:rsid w:val="00A676E8"/>
    <w:rsid w:val="00A721C8"/>
    <w:rsid w:val="00A72DA6"/>
    <w:rsid w:val="00A7424A"/>
    <w:rsid w:val="00A76218"/>
    <w:rsid w:val="00A80FAF"/>
    <w:rsid w:val="00A8107B"/>
    <w:rsid w:val="00A810D1"/>
    <w:rsid w:val="00A82430"/>
    <w:rsid w:val="00A83FED"/>
    <w:rsid w:val="00A85B22"/>
    <w:rsid w:val="00A90CDB"/>
    <w:rsid w:val="00A9165E"/>
    <w:rsid w:val="00A919FE"/>
    <w:rsid w:val="00A93100"/>
    <w:rsid w:val="00A93255"/>
    <w:rsid w:val="00A93BA0"/>
    <w:rsid w:val="00A9455E"/>
    <w:rsid w:val="00A949F1"/>
    <w:rsid w:val="00A957E1"/>
    <w:rsid w:val="00AA1D8D"/>
    <w:rsid w:val="00AA2F62"/>
    <w:rsid w:val="00AA3909"/>
    <w:rsid w:val="00AA4D7A"/>
    <w:rsid w:val="00AA5137"/>
    <w:rsid w:val="00AB1818"/>
    <w:rsid w:val="00AB1EBD"/>
    <w:rsid w:val="00AB32B0"/>
    <w:rsid w:val="00AB3622"/>
    <w:rsid w:val="00AB4E32"/>
    <w:rsid w:val="00AB5073"/>
    <w:rsid w:val="00AB73BA"/>
    <w:rsid w:val="00AC3175"/>
    <w:rsid w:val="00AC3905"/>
    <w:rsid w:val="00AC399C"/>
    <w:rsid w:val="00AC64DD"/>
    <w:rsid w:val="00AD1033"/>
    <w:rsid w:val="00AD2158"/>
    <w:rsid w:val="00AD2A8E"/>
    <w:rsid w:val="00AD47A1"/>
    <w:rsid w:val="00AD4D94"/>
    <w:rsid w:val="00AE0921"/>
    <w:rsid w:val="00AE1DD5"/>
    <w:rsid w:val="00AE3652"/>
    <w:rsid w:val="00AE6BE1"/>
    <w:rsid w:val="00AE7317"/>
    <w:rsid w:val="00AE74B3"/>
    <w:rsid w:val="00AF1934"/>
    <w:rsid w:val="00AF3D6C"/>
    <w:rsid w:val="00AF42C6"/>
    <w:rsid w:val="00AF4E50"/>
    <w:rsid w:val="00AF589F"/>
    <w:rsid w:val="00AF6592"/>
    <w:rsid w:val="00AF6657"/>
    <w:rsid w:val="00AF79F5"/>
    <w:rsid w:val="00B03019"/>
    <w:rsid w:val="00B0442E"/>
    <w:rsid w:val="00B06DB0"/>
    <w:rsid w:val="00B1198F"/>
    <w:rsid w:val="00B131DA"/>
    <w:rsid w:val="00B14D47"/>
    <w:rsid w:val="00B17458"/>
    <w:rsid w:val="00B315E8"/>
    <w:rsid w:val="00B3267B"/>
    <w:rsid w:val="00B33CD0"/>
    <w:rsid w:val="00B34429"/>
    <w:rsid w:val="00B350E9"/>
    <w:rsid w:val="00B41E40"/>
    <w:rsid w:val="00B4250A"/>
    <w:rsid w:val="00B439EE"/>
    <w:rsid w:val="00B44C1A"/>
    <w:rsid w:val="00B4551D"/>
    <w:rsid w:val="00B4734F"/>
    <w:rsid w:val="00B47730"/>
    <w:rsid w:val="00B5321E"/>
    <w:rsid w:val="00B54E58"/>
    <w:rsid w:val="00B54FC3"/>
    <w:rsid w:val="00B5503B"/>
    <w:rsid w:val="00B56CA6"/>
    <w:rsid w:val="00B62667"/>
    <w:rsid w:val="00B63A6F"/>
    <w:rsid w:val="00B63BD5"/>
    <w:rsid w:val="00B64879"/>
    <w:rsid w:val="00B65751"/>
    <w:rsid w:val="00B65A56"/>
    <w:rsid w:val="00B713A2"/>
    <w:rsid w:val="00B714EE"/>
    <w:rsid w:val="00B720D3"/>
    <w:rsid w:val="00B727EB"/>
    <w:rsid w:val="00B72FF4"/>
    <w:rsid w:val="00B75121"/>
    <w:rsid w:val="00B75F7A"/>
    <w:rsid w:val="00B7690D"/>
    <w:rsid w:val="00B78989"/>
    <w:rsid w:val="00B82CAB"/>
    <w:rsid w:val="00B846ED"/>
    <w:rsid w:val="00B84949"/>
    <w:rsid w:val="00B87892"/>
    <w:rsid w:val="00B906C7"/>
    <w:rsid w:val="00B90FB8"/>
    <w:rsid w:val="00B91F86"/>
    <w:rsid w:val="00B94105"/>
    <w:rsid w:val="00B94AEB"/>
    <w:rsid w:val="00B96795"/>
    <w:rsid w:val="00B972C9"/>
    <w:rsid w:val="00BA15D1"/>
    <w:rsid w:val="00BA24D9"/>
    <w:rsid w:val="00BA4B07"/>
    <w:rsid w:val="00BA5364"/>
    <w:rsid w:val="00BA696D"/>
    <w:rsid w:val="00BA6EB8"/>
    <w:rsid w:val="00BA71CB"/>
    <w:rsid w:val="00BB05A0"/>
    <w:rsid w:val="00BB108F"/>
    <w:rsid w:val="00BB1CA3"/>
    <w:rsid w:val="00BB3ECC"/>
    <w:rsid w:val="00BB40ED"/>
    <w:rsid w:val="00BB4113"/>
    <w:rsid w:val="00BB5C5F"/>
    <w:rsid w:val="00BB5E0C"/>
    <w:rsid w:val="00BB74EB"/>
    <w:rsid w:val="00BB7716"/>
    <w:rsid w:val="00BC1401"/>
    <w:rsid w:val="00BC1F6D"/>
    <w:rsid w:val="00BC3811"/>
    <w:rsid w:val="00BC3CFE"/>
    <w:rsid w:val="00BD1EC7"/>
    <w:rsid w:val="00BD31E3"/>
    <w:rsid w:val="00BD32D7"/>
    <w:rsid w:val="00BD4658"/>
    <w:rsid w:val="00BD56B6"/>
    <w:rsid w:val="00BD69B7"/>
    <w:rsid w:val="00BE1043"/>
    <w:rsid w:val="00BE132B"/>
    <w:rsid w:val="00BE3C5F"/>
    <w:rsid w:val="00BE478E"/>
    <w:rsid w:val="00BE5729"/>
    <w:rsid w:val="00BE5D00"/>
    <w:rsid w:val="00BF0D5C"/>
    <w:rsid w:val="00BF2553"/>
    <w:rsid w:val="00BF33A2"/>
    <w:rsid w:val="00C00233"/>
    <w:rsid w:val="00C010AF"/>
    <w:rsid w:val="00C013D1"/>
    <w:rsid w:val="00C03313"/>
    <w:rsid w:val="00C061D2"/>
    <w:rsid w:val="00C10868"/>
    <w:rsid w:val="00C12046"/>
    <w:rsid w:val="00C151E7"/>
    <w:rsid w:val="00C16603"/>
    <w:rsid w:val="00C1681C"/>
    <w:rsid w:val="00C17ED4"/>
    <w:rsid w:val="00C20247"/>
    <w:rsid w:val="00C21CDE"/>
    <w:rsid w:val="00C232D5"/>
    <w:rsid w:val="00C237BA"/>
    <w:rsid w:val="00C23F03"/>
    <w:rsid w:val="00C264C2"/>
    <w:rsid w:val="00C26C35"/>
    <w:rsid w:val="00C3213D"/>
    <w:rsid w:val="00C33020"/>
    <w:rsid w:val="00C33127"/>
    <w:rsid w:val="00C333DC"/>
    <w:rsid w:val="00C33E6F"/>
    <w:rsid w:val="00C351AD"/>
    <w:rsid w:val="00C404B9"/>
    <w:rsid w:val="00C40DF9"/>
    <w:rsid w:val="00C468B7"/>
    <w:rsid w:val="00C52470"/>
    <w:rsid w:val="00C53B83"/>
    <w:rsid w:val="00C56720"/>
    <w:rsid w:val="00C57E16"/>
    <w:rsid w:val="00C616CE"/>
    <w:rsid w:val="00C62DBE"/>
    <w:rsid w:val="00C63014"/>
    <w:rsid w:val="00C65F5D"/>
    <w:rsid w:val="00C66008"/>
    <w:rsid w:val="00C67B3B"/>
    <w:rsid w:val="00C713B0"/>
    <w:rsid w:val="00C73171"/>
    <w:rsid w:val="00C741E2"/>
    <w:rsid w:val="00C74CE6"/>
    <w:rsid w:val="00C75BF8"/>
    <w:rsid w:val="00C76998"/>
    <w:rsid w:val="00C80106"/>
    <w:rsid w:val="00C8039D"/>
    <w:rsid w:val="00C81947"/>
    <w:rsid w:val="00C81C9A"/>
    <w:rsid w:val="00C83E3E"/>
    <w:rsid w:val="00C84CD1"/>
    <w:rsid w:val="00C84E01"/>
    <w:rsid w:val="00C8710E"/>
    <w:rsid w:val="00C87F1B"/>
    <w:rsid w:val="00C90252"/>
    <w:rsid w:val="00C90BDC"/>
    <w:rsid w:val="00C91179"/>
    <w:rsid w:val="00C93941"/>
    <w:rsid w:val="00C93F41"/>
    <w:rsid w:val="00C96B88"/>
    <w:rsid w:val="00C97426"/>
    <w:rsid w:val="00C97F62"/>
    <w:rsid w:val="00CA08D3"/>
    <w:rsid w:val="00CA15AB"/>
    <w:rsid w:val="00CA4F67"/>
    <w:rsid w:val="00CA536E"/>
    <w:rsid w:val="00CA57A1"/>
    <w:rsid w:val="00CA6FBD"/>
    <w:rsid w:val="00CA757B"/>
    <w:rsid w:val="00CA7EEF"/>
    <w:rsid w:val="00CB0340"/>
    <w:rsid w:val="00CB0664"/>
    <w:rsid w:val="00CB3AAF"/>
    <w:rsid w:val="00CB6652"/>
    <w:rsid w:val="00CB709A"/>
    <w:rsid w:val="00CB77E3"/>
    <w:rsid w:val="00CC0E0A"/>
    <w:rsid w:val="00CC10C9"/>
    <w:rsid w:val="00CC1449"/>
    <w:rsid w:val="00CC15DE"/>
    <w:rsid w:val="00CC197D"/>
    <w:rsid w:val="00CC3D78"/>
    <w:rsid w:val="00CC7619"/>
    <w:rsid w:val="00CCB660"/>
    <w:rsid w:val="00CD0075"/>
    <w:rsid w:val="00CD0CFB"/>
    <w:rsid w:val="00CD147E"/>
    <w:rsid w:val="00CD1735"/>
    <w:rsid w:val="00CD33B8"/>
    <w:rsid w:val="00CD399A"/>
    <w:rsid w:val="00CD3B13"/>
    <w:rsid w:val="00CD3D13"/>
    <w:rsid w:val="00CD4D77"/>
    <w:rsid w:val="00CD5C6F"/>
    <w:rsid w:val="00CE01AB"/>
    <w:rsid w:val="00CE0536"/>
    <w:rsid w:val="00CE070D"/>
    <w:rsid w:val="00CE176E"/>
    <w:rsid w:val="00CE4107"/>
    <w:rsid w:val="00CE5980"/>
    <w:rsid w:val="00CF12C0"/>
    <w:rsid w:val="00CF1799"/>
    <w:rsid w:val="00CF1F24"/>
    <w:rsid w:val="00CF21E0"/>
    <w:rsid w:val="00CF3094"/>
    <w:rsid w:val="00CF37FD"/>
    <w:rsid w:val="00CF3C65"/>
    <w:rsid w:val="00CF617A"/>
    <w:rsid w:val="00CF75CA"/>
    <w:rsid w:val="00D00A09"/>
    <w:rsid w:val="00D01E54"/>
    <w:rsid w:val="00D0211C"/>
    <w:rsid w:val="00D0353B"/>
    <w:rsid w:val="00D03746"/>
    <w:rsid w:val="00D048E5"/>
    <w:rsid w:val="00D04C3B"/>
    <w:rsid w:val="00D058AD"/>
    <w:rsid w:val="00D0657A"/>
    <w:rsid w:val="00D07749"/>
    <w:rsid w:val="00D07F1D"/>
    <w:rsid w:val="00D10FDC"/>
    <w:rsid w:val="00D110B5"/>
    <w:rsid w:val="00D11418"/>
    <w:rsid w:val="00D117CB"/>
    <w:rsid w:val="00D11896"/>
    <w:rsid w:val="00D121F8"/>
    <w:rsid w:val="00D12F77"/>
    <w:rsid w:val="00D13485"/>
    <w:rsid w:val="00D1420D"/>
    <w:rsid w:val="00D1476D"/>
    <w:rsid w:val="00D147A1"/>
    <w:rsid w:val="00D14FC5"/>
    <w:rsid w:val="00D15C1A"/>
    <w:rsid w:val="00D1797F"/>
    <w:rsid w:val="00D17B84"/>
    <w:rsid w:val="00D203C0"/>
    <w:rsid w:val="00D22C7A"/>
    <w:rsid w:val="00D2305F"/>
    <w:rsid w:val="00D24054"/>
    <w:rsid w:val="00D26440"/>
    <w:rsid w:val="00D304A3"/>
    <w:rsid w:val="00D32040"/>
    <w:rsid w:val="00D32CB7"/>
    <w:rsid w:val="00D34B7B"/>
    <w:rsid w:val="00D37A31"/>
    <w:rsid w:val="00D40CAC"/>
    <w:rsid w:val="00D434DD"/>
    <w:rsid w:val="00D472D7"/>
    <w:rsid w:val="00D47676"/>
    <w:rsid w:val="00D51582"/>
    <w:rsid w:val="00D52BF7"/>
    <w:rsid w:val="00D55523"/>
    <w:rsid w:val="00D5627C"/>
    <w:rsid w:val="00D56591"/>
    <w:rsid w:val="00D60400"/>
    <w:rsid w:val="00D61891"/>
    <w:rsid w:val="00D61E94"/>
    <w:rsid w:val="00D63C13"/>
    <w:rsid w:val="00D65B5D"/>
    <w:rsid w:val="00D65E65"/>
    <w:rsid w:val="00D716C0"/>
    <w:rsid w:val="00D7274D"/>
    <w:rsid w:val="00D734B6"/>
    <w:rsid w:val="00D748C8"/>
    <w:rsid w:val="00D75FDF"/>
    <w:rsid w:val="00D8042E"/>
    <w:rsid w:val="00D80C1A"/>
    <w:rsid w:val="00D81C27"/>
    <w:rsid w:val="00D86713"/>
    <w:rsid w:val="00D91145"/>
    <w:rsid w:val="00D97584"/>
    <w:rsid w:val="00DA1BF2"/>
    <w:rsid w:val="00DA1C7A"/>
    <w:rsid w:val="00DA3825"/>
    <w:rsid w:val="00DA39B5"/>
    <w:rsid w:val="00DA400D"/>
    <w:rsid w:val="00DA7146"/>
    <w:rsid w:val="00DB33D4"/>
    <w:rsid w:val="00DB4F32"/>
    <w:rsid w:val="00DB5474"/>
    <w:rsid w:val="00DB5ECB"/>
    <w:rsid w:val="00DB71E5"/>
    <w:rsid w:val="00DC1D3A"/>
    <w:rsid w:val="00DC37A0"/>
    <w:rsid w:val="00DC527B"/>
    <w:rsid w:val="00DC58E8"/>
    <w:rsid w:val="00DC6A28"/>
    <w:rsid w:val="00DD0534"/>
    <w:rsid w:val="00DD2EB8"/>
    <w:rsid w:val="00DD3C9F"/>
    <w:rsid w:val="00DD4184"/>
    <w:rsid w:val="00DD4733"/>
    <w:rsid w:val="00DD4E5C"/>
    <w:rsid w:val="00DD5E01"/>
    <w:rsid w:val="00DD6176"/>
    <w:rsid w:val="00DD69D0"/>
    <w:rsid w:val="00DD6C5A"/>
    <w:rsid w:val="00DD6D82"/>
    <w:rsid w:val="00DE06E3"/>
    <w:rsid w:val="00DE08C4"/>
    <w:rsid w:val="00DE297A"/>
    <w:rsid w:val="00DE2A84"/>
    <w:rsid w:val="00DE312E"/>
    <w:rsid w:val="00DE4074"/>
    <w:rsid w:val="00DF0164"/>
    <w:rsid w:val="00DF1A67"/>
    <w:rsid w:val="00DF399D"/>
    <w:rsid w:val="00DF3FF8"/>
    <w:rsid w:val="00DF6D28"/>
    <w:rsid w:val="00E00C41"/>
    <w:rsid w:val="00E00E4D"/>
    <w:rsid w:val="00E04037"/>
    <w:rsid w:val="00E05054"/>
    <w:rsid w:val="00E0507A"/>
    <w:rsid w:val="00E119A2"/>
    <w:rsid w:val="00E12104"/>
    <w:rsid w:val="00E12DBB"/>
    <w:rsid w:val="00E140C3"/>
    <w:rsid w:val="00E145A0"/>
    <w:rsid w:val="00E16BC3"/>
    <w:rsid w:val="00E174E9"/>
    <w:rsid w:val="00E2108F"/>
    <w:rsid w:val="00E23D29"/>
    <w:rsid w:val="00E25D86"/>
    <w:rsid w:val="00E261B5"/>
    <w:rsid w:val="00E30BFC"/>
    <w:rsid w:val="00E327DD"/>
    <w:rsid w:val="00E32A37"/>
    <w:rsid w:val="00E33F53"/>
    <w:rsid w:val="00E34F8E"/>
    <w:rsid w:val="00E35416"/>
    <w:rsid w:val="00E35CF5"/>
    <w:rsid w:val="00E40B0C"/>
    <w:rsid w:val="00E42B64"/>
    <w:rsid w:val="00E4517F"/>
    <w:rsid w:val="00E466A1"/>
    <w:rsid w:val="00E479EA"/>
    <w:rsid w:val="00E47C7E"/>
    <w:rsid w:val="00E50641"/>
    <w:rsid w:val="00E5266B"/>
    <w:rsid w:val="00E52923"/>
    <w:rsid w:val="00E539AC"/>
    <w:rsid w:val="00E53E01"/>
    <w:rsid w:val="00E54065"/>
    <w:rsid w:val="00E5422B"/>
    <w:rsid w:val="00E54308"/>
    <w:rsid w:val="00E546B6"/>
    <w:rsid w:val="00E61454"/>
    <w:rsid w:val="00E61E55"/>
    <w:rsid w:val="00E6514C"/>
    <w:rsid w:val="00E65ECD"/>
    <w:rsid w:val="00E66330"/>
    <w:rsid w:val="00E6677C"/>
    <w:rsid w:val="00E66E87"/>
    <w:rsid w:val="00E67334"/>
    <w:rsid w:val="00E725E8"/>
    <w:rsid w:val="00E77D0C"/>
    <w:rsid w:val="00E81520"/>
    <w:rsid w:val="00E829A8"/>
    <w:rsid w:val="00E84243"/>
    <w:rsid w:val="00E85C51"/>
    <w:rsid w:val="00E85D05"/>
    <w:rsid w:val="00E90172"/>
    <w:rsid w:val="00E91DA9"/>
    <w:rsid w:val="00E94013"/>
    <w:rsid w:val="00E94626"/>
    <w:rsid w:val="00E965BE"/>
    <w:rsid w:val="00E977B1"/>
    <w:rsid w:val="00EA1792"/>
    <w:rsid w:val="00EA4580"/>
    <w:rsid w:val="00EA46B0"/>
    <w:rsid w:val="00EB06B9"/>
    <w:rsid w:val="00EB3AEF"/>
    <w:rsid w:val="00EB4667"/>
    <w:rsid w:val="00EB63DA"/>
    <w:rsid w:val="00EB683E"/>
    <w:rsid w:val="00EB7F26"/>
    <w:rsid w:val="00EC0B98"/>
    <w:rsid w:val="00EC0CF9"/>
    <w:rsid w:val="00EC0F6D"/>
    <w:rsid w:val="00EC11E4"/>
    <w:rsid w:val="00EC147F"/>
    <w:rsid w:val="00EC22A6"/>
    <w:rsid w:val="00EC31A9"/>
    <w:rsid w:val="00EC43E9"/>
    <w:rsid w:val="00EC50C1"/>
    <w:rsid w:val="00EC5120"/>
    <w:rsid w:val="00EC60D4"/>
    <w:rsid w:val="00EC642A"/>
    <w:rsid w:val="00EC6D2A"/>
    <w:rsid w:val="00EC71AE"/>
    <w:rsid w:val="00ED0FC5"/>
    <w:rsid w:val="00ED298B"/>
    <w:rsid w:val="00ED5821"/>
    <w:rsid w:val="00ED6B0D"/>
    <w:rsid w:val="00EE1B9F"/>
    <w:rsid w:val="00EE1F7C"/>
    <w:rsid w:val="00EE26CF"/>
    <w:rsid w:val="00EE2D4E"/>
    <w:rsid w:val="00EE4943"/>
    <w:rsid w:val="00EE4D0D"/>
    <w:rsid w:val="00EE6553"/>
    <w:rsid w:val="00EE6A41"/>
    <w:rsid w:val="00EF1DD5"/>
    <w:rsid w:val="00EF21B9"/>
    <w:rsid w:val="00EF57EB"/>
    <w:rsid w:val="00EF5BAA"/>
    <w:rsid w:val="00EF5DDD"/>
    <w:rsid w:val="00EF6000"/>
    <w:rsid w:val="00EF6C8F"/>
    <w:rsid w:val="00EF72B3"/>
    <w:rsid w:val="00EF74B5"/>
    <w:rsid w:val="00F00DFA"/>
    <w:rsid w:val="00F01967"/>
    <w:rsid w:val="00F01F3B"/>
    <w:rsid w:val="00F0250F"/>
    <w:rsid w:val="00F02F06"/>
    <w:rsid w:val="00F04EB9"/>
    <w:rsid w:val="00F052DC"/>
    <w:rsid w:val="00F05A72"/>
    <w:rsid w:val="00F072B0"/>
    <w:rsid w:val="00F07421"/>
    <w:rsid w:val="00F07555"/>
    <w:rsid w:val="00F07C70"/>
    <w:rsid w:val="00F1052D"/>
    <w:rsid w:val="00F1129C"/>
    <w:rsid w:val="00F12445"/>
    <w:rsid w:val="00F13441"/>
    <w:rsid w:val="00F14538"/>
    <w:rsid w:val="00F15BC9"/>
    <w:rsid w:val="00F16257"/>
    <w:rsid w:val="00F17126"/>
    <w:rsid w:val="00F17A36"/>
    <w:rsid w:val="00F22CDD"/>
    <w:rsid w:val="00F24E60"/>
    <w:rsid w:val="00F273B1"/>
    <w:rsid w:val="00F303C5"/>
    <w:rsid w:val="00F31CB6"/>
    <w:rsid w:val="00F34263"/>
    <w:rsid w:val="00F363C1"/>
    <w:rsid w:val="00F3769C"/>
    <w:rsid w:val="00F41329"/>
    <w:rsid w:val="00F42848"/>
    <w:rsid w:val="00F42F4C"/>
    <w:rsid w:val="00F43C57"/>
    <w:rsid w:val="00F445F0"/>
    <w:rsid w:val="00F4527A"/>
    <w:rsid w:val="00F45861"/>
    <w:rsid w:val="00F45BC8"/>
    <w:rsid w:val="00F46A29"/>
    <w:rsid w:val="00F47308"/>
    <w:rsid w:val="00F47517"/>
    <w:rsid w:val="00F527CD"/>
    <w:rsid w:val="00F52EC7"/>
    <w:rsid w:val="00F53F85"/>
    <w:rsid w:val="00F54158"/>
    <w:rsid w:val="00F55465"/>
    <w:rsid w:val="00F56B73"/>
    <w:rsid w:val="00F57C5C"/>
    <w:rsid w:val="00F57F05"/>
    <w:rsid w:val="00F6136C"/>
    <w:rsid w:val="00F6140C"/>
    <w:rsid w:val="00F635D5"/>
    <w:rsid w:val="00F65190"/>
    <w:rsid w:val="00F65579"/>
    <w:rsid w:val="00F8010E"/>
    <w:rsid w:val="00F80895"/>
    <w:rsid w:val="00F81185"/>
    <w:rsid w:val="00F8158E"/>
    <w:rsid w:val="00F82118"/>
    <w:rsid w:val="00F82A17"/>
    <w:rsid w:val="00F82D6D"/>
    <w:rsid w:val="00F82DAA"/>
    <w:rsid w:val="00F840AC"/>
    <w:rsid w:val="00F84C21"/>
    <w:rsid w:val="00F8650D"/>
    <w:rsid w:val="00F929E9"/>
    <w:rsid w:val="00F9380C"/>
    <w:rsid w:val="00F94BFB"/>
    <w:rsid w:val="00F955DE"/>
    <w:rsid w:val="00F96546"/>
    <w:rsid w:val="00F967DD"/>
    <w:rsid w:val="00FA0595"/>
    <w:rsid w:val="00FA150C"/>
    <w:rsid w:val="00FA159F"/>
    <w:rsid w:val="00FA1667"/>
    <w:rsid w:val="00FA260B"/>
    <w:rsid w:val="00FA2A5F"/>
    <w:rsid w:val="00FA2C4C"/>
    <w:rsid w:val="00FA628B"/>
    <w:rsid w:val="00FB074F"/>
    <w:rsid w:val="00FB0A6A"/>
    <w:rsid w:val="00FB19AF"/>
    <w:rsid w:val="00FB2941"/>
    <w:rsid w:val="00FC00C4"/>
    <w:rsid w:val="00FC2623"/>
    <w:rsid w:val="00FC2BC5"/>
    <w:rsid w:val="00FC36DA"/>
    <w:rsid w:val="00FC37A2"/>
    <w:rsid w:val="00FC516D"/>
    <w:rsid w:val="00FC693F"/>
    <w:rsid w:val="00FC7341"/>
    <w:rsid w:val="00FD068B"/>
    <w:rsid w:val="00FD1395"/>
    <w:rsid w:val="00FD421A"/>
    <w:rsid w:val="00FD4486"/>
    <w:rsid w:val="00FD4F5A"/>
    <w:rsid w:val="00FE2450"/>
    <w:rsid w:val="00FE4113"/>
    <w:rsid w:val="00FE4954"/>
    <w:rsid w:val="00FE5D10"/>
    <w:rsid w:val="00FE5D47"/>
    <w:rsid w:val="00FE668C"/>
    <w:rsid w:val="00FE730F"/>
    <w:rsid w:val="00FE7DCE"/>
    <w:rsid w:val="00FE7EB9"/>
    <w:rsid w:val="00FF3994"/>
    <w:rsid w:val="00FF4D2B"/>
    <w:rsid w:val="00FF5AEC"/>
    <w:rsid w:val="00FF5C79"/>
    <w:rsid w:val="01084AD0"/>
    <w:rsid w:val="010D63BF"/>
    <w:rsid w:val="010DBB3A"/>
    <w:rsid w:val="01267361"/>
    <w:rsid w:val="015E64AF"/>
    <w:rsid w:val="01D4578B"/>
    <w:rsid w:val="01EAAE38"/>
    <w:rsid w:val="01FF5A6E"/>
    <w:rsid w:val="02078F61"/>
    <w:rsid w:val="021F5535"/>
    <w:rsid w:val="025E7923"/>
    <w:rsid w:val="02867DA2"/>
    <w:rsid w:val="02D96456"/>
    <w:rsid w:val="030E0E9E"/>
    <w:rsid w:val="0333D3EB"/>
    <w:rsid w:val="03362DDC"/>
    <w:rsid w:val="0364F196"/>
    <w:rsid w:val="0375A4C9"/>
    <w:rsid w:val="037D1DEB"/>
    <w:rsid w:val="0386FD33"/>
    <w:rsid w:val="0394573B"/>
    <w:rsid w:val="03C64B23"/>
    <w:rsid w:val="03D0F42F"/>
    <w:rsid w:val="03D468D0"/>
    <w:rsid w:val="03F44537"/>
    <w:rsid w:val="03F844A4"/>
    <w:rsid w:val="03FE39EF"/>
    <w:rsid w:val="04167F76"/>
    <w:rsid w:val="041F08B7"/>
    <w:rsid w:val="041F7231"/>
    <w:rsid w:val="0422B1B1"/>
    <w:rsid w:val="042D60DE"/>
    <w:rsid w:val="0432B346"/>
    <w:rsid w:val="043B2B14"/>
    <w:rsid w:val="044449C3"/>
    <w:rsid w:val="044EFEFF"/>
    <w:rsid w:val="044F8FCF"/>
    <w:rsid w:val="0456C6DF"/>
    <w:rsid w:val="0475726C"/>
    <w:rsid w:val="0478B10D"/>
    <w:rsid w:val="049B3212"/>
    <w:rsid w:val="04B9A9A4"/>
    <w:rsid w:val="04F2659E"/>
    <w:rsid w:val="05116B95"/>
    <w:rsid w:val="0518DF67"/>
    <w:rsid w:val="051B75F4"/>
    <w:rsid w:val="052F62AC"/>
    <w:rsid w:val="0536DDE4"/>
    <w:rsid w:val="05777F22"/>
    <w:rsid w:val="058E94E1"/>
    <w:rsid w:val="05A5F89E"/>
    <w:rsid w:val="05BEC0EC"/>
    <w:rsid w:val="05CC1466"/>
    <w:rsid w:val="05E9C7D1"/>
    <w:rsid w:val="05F073F1"/>
    <w:rsid w:val="060D2B07"/>
    <w:rsid w:val="06457BD1"/>
    <w:rsid w:val="06613AC8"/>
    <w:rsid w:val="0665A4D6"/>
    <w:rsid w:val="066E2BCB"/>
    <w:rsid w:val="06CB8FD2"/>
    <w:rsid w:val="06FA27C6"/>
    <w:rsid w:val="076C60C2"/>
    <w:rsid w:val="07852930"/>
    <w:rsid w:val="0792B492"/>
    <w:rsid w:val="07B0A6F8"/>
    <w:rsid w:val="07BA607F"/>
    <w:rsid w:val="07C94EFB"/>
    <w:rsid w:val="07D0D71C"/>
    <w:rsid w:val="07EC4E3B"/>
    <w:rsid w:val="07F6A6D8"/>
    <w:rsid w:val="08364B33"/>
    <w:rsid w:val="0846E4C4"/>
    <w:rsid w:val="086E8428"/>
    <w:rsid w:val="088CE6FB"/>
    <w:rsid w:val="089B4297"/>
    <w:rsid w:val="08A3CB50"/>
    <w:rsid w:val="08E25075"/>
    <w:rsid w:val="08F05239"/>
    <w:rsid w:val="093A1DD2"/>
    <w:rsid w:val="0979438E"/>
    <w:rsid w:val="09936183"/>
    <w:rsid w:val="0A440071"/>
    <w:rsid w:val="0A605494"/>
    <w:rsid w:val="0A84358D"/>
    <w:rsid w:val="0A8E525E"/>
    <w:rsid w:val="0A99280B"/>
    <w:rsid w:val="0A9E9E72"/>
    <w:rsid w:val="0AB92F78"/>
    <w:rsid w:val="0AC1970C"/>
    <w:rsid w:val="0ACA4440"/>
    <w:rsid w:val="0AD44C4F"/>
    <w:rsid w:val="0B142196"/>
    <w:rsid w:val="0B772A16"/>
    <w:rsid w:val="0B88BF6E"/>
    <w:rsid w:val="0B982D09"/>
    <w:rsid w:val="0BA5D492"/>
    <w:rsid w:val="0BA87B27"/>
    <w:rsid w:val="0BAB4FC3"/>
    <w:rsid w:val="0BB7AEE6"/>
    <w:rsid w:val="0BB8FC39"/>
    <w:rsid w:val="0BBCFAAD"/>
    <w:rsid w:val="0C0E3BB4"/>
    <w:rsid w:val="0C138EC6"/>
    <w:rsid w:val="0C810962"/>
    <w:rsid w:val="0CA4DE55"/>
    <w:rsid w:val="0CB1AE58"/>
    <w:rsid w:val="0D172C7A"/>
    <w:rsid w:val="0D1A169E"/>
    <w:rsid w:val="0D737831"/>
    <w:rsid w:val="0D786D54"/>
    <w:rsid w:val="0DA13139"/>
    <w:rsid w:val="0DCBBD75"/>
    <w:rsid w:val="0DF96808"/>
    <w:rsid w:val="0DFC51B7"/>
    <w:rsid w:val="0DFCF9BF"/>
    <w:rsid w:val="0E2B063B"/>
    <w:rsid w:val="0E2B8188"/>
    <w:rsid w:val="0E2D706B"/>
    <w:rsid w:val="0E2DB5B0"/>
    <w:rsid w:val="0E38CCA9"/>
    <w:rsid w:val="0E4BEE17"/>
    <w:rsid w:val="0E731E9D"/>
    <w:rsid w:val="0E9B0194"/>
    <w:rsid w:val="0EA17884"/>
    <w:rsid w:val="0F15EB93"/>
    <w:rsid w:val="0F2FA128"/>
    <w:rsid w:val="0F35DF88"/>
    <w:rsid w:val="0F494AB4"/>
    <w:rsid w:val="0F81EF9B"/>
    <w:rsid w:val="0F85389B"/>
    <w:rsid w:val="0F8EABBE"/>
    <w:rsid w:val="0FC06F25"/>
    <w:rsid w:val="0FD397DE"/>
    <w:rsid w:val="0FD4F166"/>
    <w:rsid w:val="0FD8825D"/>
    <w:rsid w:val="101624C4"/>
    <w:rsid w:val="101C4038"/>
    <w:rsid w:val="1030B5B0"/>
    <w:rsid w:val="10327BF1"/>
    <w:rsid w:val="103E4C4F"/>
    <w:rsid w:val="10448D18"/>
    <w:rsid w:val="10498B51"/>
    <w:rsid w:val="10530045"/>
    <w:rsid w:val="10A0C254"/>
    <w:rsid w:val="10BCE92A"/>
    <w:rsid w:val="10BDE625"/>
    <w:rsid w:val="10E4DFC7"/>
    <w:rsid w:val="10E5C423"/>
    <w:rsid w:val="1103B028"/>
    <w:rsid w:val="11098380"/>
    <w:rsid w:val="1125FDEF"/>
    <w:rsid w:val="112E4FD7"/>
    <w:rsid w:val="11481099"/>
    <w:rsid w:val="118F5411"/>
    <w:rsid w:val="11C40F9B"/>
    <w:rsid w:val="11D69BCF"/>
    <w:rsid w:val="11DB4B5A"/>
    <w:rsid w:val="11ED5373"/>
    <w:rsid w:val="11FAB1F7"/>
    <w:rsid w:val="120FF0B9"/>
    <w:rsid w:val="122B6240"/>
    <w:rsid w:val="125C9977"/>
    <w:rsid w:val="1260578E"/>
    <w:rsid w:val="12886311"/>
    <w:rsid w:val="12A44A6F"/>
    <w:rsid w:val="12F020D7"/>
    <w:rsid w:val="12F4A8CA"/>
    <w:rsid w:val="130D38B4"/>
    <w:rsid w:val="131EBA32"/>
    <w:rsid w:val="13272DF7"/>
    <w:rsid w:val="1366AC72"/>
    <w:rsid w:val="137486B2"/>
    <w:rsid w:val="13BA657C"/>
    <w:rsid w:val="13C058A2"/>
    <w:rsid w:val="13C10F32"/>
    <w:rsid w:val="13C4B05E"/>
    <w:rsid w:val="13DDC2D1"/>
    <w:rsid w:val="13E9AF9F"/>
    <w:rsid w:val="1405ECA3"/>
    <w:rsid w:val="14179F5D"/>
    <w:rsid w:val="143DF53C"/>
    <w:rsid w:val="1441D520"/>
    <w:rsid w:val="1452A020"/>
    <w:rsid w:val="147DA45F"/>
    <w:rsid w:val="14BFE8A1"/>
    <w:rsid w:val="14D2FA48"/>
    <w:rsid w:val="14D8D987"/>
    <w:rsid w:val="150F48FF"/>
    <w:rsid w:val="15121D9B"/>
    <w:rsid w:val="15168132"/>
    <w:rsid w:val="1519A33A"/>
    <w:rsid w:val="152A02E0"/>
    <w:rsid w:val="153D4145"/>
    <w:rsid w:val="154DA8F4"/>
    <w:rsid w:val="15591094"/>
    <w:rsid w:val="15596903"/>
    <w:rsid w:val="156FB580"/>
    <w:rsid w:val="1584116F"/>
    <w:rsid w:val="1586B796"/>
    <w:rsid w:val="15A5DB65"/>
    <w:rsid w:val="15C246B5"/>
    <w:rsid w:val="15DF80C5"/>
    <w:rsid w:val="161E91DA"/>
    <w:rsid w:val="163BBBFF"/>
    <w:rsid w:val="1649CBC2"/>
    <w:rsid w:val="16ABC5C4"/>
    <w:rsid w:val="16CC556C"/>
    <w:rsid w:val="16DBD1CA"/>
    <w:rsid w:val="1704B4CC"/>
    <w:rsid w:val="170D643C"/>
    <w:rsid w:val="170DD25D"/>
    <w:rsid w:val="170F50DE"/>
    <w:rsid w:val="170F7C96"/>
    <w:rsid w:val="1712C808"/>
    <w:rsid w:val="171E912E"/>
    <w:rsid w:val="17603D08"/>
    <w:rsid w:val="17A5E366"/>
    <w:rsid w:val="17AE3A82"/>
    <w:rsid w:val="17CA91D3"/>
    <w:rsid w:val="17EF2BD3"/>
    <w:rsid w:val="17F396BA"/>
    <w:rsid w:val="17F71C68"/>
    <w:rsid w:val="17F8F322"/>
    <w:rsid w:val="183B51D7"/>
    <w:rsid w:val="184B96CC"/>
    <w:rsid w:val="184BD645"/>
    <w:rsid w:val="18A32884"/>
    <w:rsid w:val="18B953AA"/>
    <w:rsid w:val="18C542B5"/>
    <w:rsid w:val="18D21C4C"/>
    <w:rsid w:val="1910AC6D"/>
    <w:rsid w:val="1936A80D"/>
    <w:rsid w:val="193E8B9F"/>
    <w:rsid w:val="196217D6"/>
    <w:rsid w:val="1970800C"/>
    <w:rsid w:val="197A6047"/>
    <w:rsid w:val="198EFECD"/>
    <w:rsid w:val="19A4D51F"/>
    <w:rsid w:val="19F53DCE"/>
    <w:rsid w:val="19F9E876"/>
    <w:rsid w:val="1A1317C9"/>
    <w:rsid w:val="1A1D2F20"/>
    <w:rsid w:val="1A29AF1D"/>
    <w:rsid w:val="1A34048A"/>
    <w:rsid w:val="1A89EAA1"/>
    <w:rsid w:val="1A8D689D"/>
    <w:rsid w:val="1A93AB36"/>
    <w:rsid w:val="1AA4F322"/>
    <w:rsid w:val="1AFF38E0"/>
    <w:rsid w:val="1B01545C"/>
    <w:rsid w:val="1B1B4D53"/>
    <w:rsid w:val="1B30C42B"/>
    <w:rsid w:val="1B53D336"/>
    <w:rsid w:val="1B817A76"/>
    <w:rsid w:val="1B8828DD"/>
    <w:rsid w:val="1B9D255B"/>
    <w:rsid w:val="1BA4CF0E"/>
    <w:rsid w:val="1BE1EABB"/>
    <w:rsid w:val="1C3A696D"/>
    <w:rsid w:val="1C470138"/>
    <w:rsid w:val="1C56CA42"/>
    <w:rsid w:val="1C78FEA1"/>
    <w:rsid w:val="1C7CEC49"/>
    <w:rsid w:val="1C92AAAD"/>
    <w:rsid w:val="1C9400AF"/>
    <w:rsid w:val="1C9EC878"/>
    <w:rsid w:val="1CA56F8A"/>
    <w:rsid w:val="1CD0217E"/>
    <w:rsid w:val="1CDA104F"/>
    <w:rsid w:val="1CDB7D95"/>
    <w:rsid w:val="1D763B11"/>
    <w:rsid w:val="1D8B6D5A"/>
    <w:rsid w:val="1DB78F21"/>
    <w:rsid w:val="1DB7F22D"/>
    <w:rsid w:val="1DC10F75"/>
    <w:rsid w:val="1DD161CD"/>
    <w:rsid w:val="1DE48DE9"/>
    <w:rsid w:val="1DEBB726"/>
    <w:rsid w:val="1E1206B8"/>
    <w:rsid w:val="1E3E7A9B"/>
    <w:rsid w:val="1E437D1B"/>
    <w:rsid w:val="1E6065F4"/>
    <w:rsid w:val="1E72C9D1"/>
    <w:rsid w:val="1E99CEBF"/>
    <w:rsid w:val="1EB210B5"/>
    <w:rsid w:val="1EB48A70"/>
    <w:rsid w:val="1F173283"/>
    <w:rsid w:val="1F263085"/>
    <w:rsid w:val="1F2E2EF5"/>
    <w:rsid w:val="1F4460E6"/>
    <w:rsid w:val="1F918530"/>
    <w:rsid w:val="1FA016A1"/>
    <w:rsid w:val="1FAAC6D0"/>
    <w:rsid w:val="1FDBE208"/>
    <w:rsid w:val="1FE6F2F4"/>
    <w:rsid w:val="1FEBA340"/>
    <w:rsid w:val="1FF3D336"/>
    <w:rsid w:val="201D1A80"/>
    <w:rsid w:val="202C71E5"/>
    <w:rsid w:val="202D1AC7"/>
    <w:rsid w:val="2049AE3C"/>
    <w:rsid w:val="205539AA"/>
    <w:rsid w:val="2064AB2C"/>
    <w:rsid w:val="2097AE31"/>
    <w:rsid w:val="20F97093"/>
    <w:rsid w:val="20FFF9B4"/>
    <w:rsid w:val="210EDB59"/>
    <w:rsid w:val="212D12A0"/>
    <w:rsid w:val="212D61EA"/>
    <w:rsid w:val="213EC499"/>
    <w:rsid w:val="2146F621"/>
    <w:rsid w:val="2165B91C"/>
    <w:rsid w:val="217C2035"/>
    <w:rsid w:val="218EAC43"/>
    <w:rsid w:val="21A318BB"/>
    <w:rsid w:val="21A52266"/>
    <w:rsid w:val="21D8F5A6"/>
    <w:rsid w:val="21DF81D7"/>
    <w:rsid w:val="221D325A"/>
    <w:rsid w:val="228F2332"/>
    <w:rsid w:val="22E3CA7D"/>
    <w:rsid w:val="23526E03"/>
    <w:rsid w:val="2357DA5F"/>
    <w:rsid w:val="239E86B6"/>
    <w:rsid w:val="23C2D480"/>
    <w:rsid w:val="23DDE7B0"/>
    <w:rsid w:val="23F01AF5"/>
    <w:rsid w:val="240F5FD4"/>
    <w:rsid w:val="241B89E4"/>
    <w:rsid w:val="2434673D"/>
    <w:rsid w:val="24A5774E"/>
    <w:rsid w:val="24CC1B7F"/>
    <w:rsid w:val="24F8426C"/>
    <w:rsid w:val="24F93922"/>
    <w:rsid w:val="25018413"/>
    <w:rsid w:val="250DD4F9"/>
    <w:rsid w:val="25333BEB"/>
    <w:rsid w:val="2553F2A8"/>
    <w:rsid w:val="256328DA"/>
    <w:rsid w:val="2566838F"/>
    <w:rsid w:val="25A4D3E1"/>
    <w:rsid w:val="25B125AA"/>
    <w:rsid w:val="25B2016D"/>
    <w:rsid w:val="25E80E61"/>
    <w:rsid w:val="25ED4390"/>
    <w:rsid w:val="25FA87C2"/>
    <w:rsid w:val="26050E89"/>
    <w:rsid w:val="26059EDC"/>
    <w:rsid w:val="2625DFA3"/>
    <w:rsid w:val="2638CDA7"/>
    <w:rsid w:val="2669E959"/>
    <w:rsid w:val="267C54FF"/>
    <w:rsid w:val="26E1389D"/>
    <w:rsid w:val="26E1EEC1"/>
    <w:rsid w:val="26F2FDCD"/>
    <w:rsid w:val="270AFF72"/>
    <w:rsid w:val="271A0AF4"/>
    <w:rsid w:val="27588CBA"/>
    <w:rsid w:val="276FC676"/>
    <w:rsid w:val="2785A113"/>
    <w:rsid w:val="279B44BF"/>
    <w:rsid w:val="27A3DD56"/>
    <w:rsid w:val="27A6093E"/>
    <w:rsid w:val="27B96B26"/>
    <w:rsid w:val="27C3E5ED"/>
    <w:rsid w:val="27EE265C"/>
    <w:rsid w:val="27F3615F"/>
    <w:rsid w:val="27FB5313"/>
    <w:rsid w:val="28358CFD"/>
    <w:rsid w:val="289BC523"/>
    <w:rsid w:val="28A519F6"/>
    <w:rsid w:val="28B79A6B"/>
    <w:rsid w:val="28CA8F72"/>
    <w:rsid w:val="28E084D0"/>
    <w:rsid w:val="2918BA4B"/>
    <w:rsid w:val="294FEF8D"/>
    <w:rsid w:val="2992F7BC"/>
    <w:rsid w:val="29A7AC21"/>
    <w:rsid w:val="29AA2D32"/>
    <w:rsid w:val="29AD1F0F"/>
    <w:rsid w:val="2A6BB04B"/>
    <w:rsid w:val="2A712718"/>
    <w:rsid w:val="2AABEC48"/>
    <w:rsid w:val="2AB7CB1F"/>
    <w:rsid w:val="2AE3192A"/>
    <w:rsid w:val="2B0D9560"/>
    <w:rsid w:val="2B0DCF98"/>
    <w:rsid w:val="2B13D904"/>
    <w:rsid w:val="2B2AA86E"/>
    <w:rsid w:val="2B2CB354"/>
    <w:rsid w:val="2B3EA730"/>
    <w:rsid w:val="2B465E1E"/>
    <w:rsid w:val="2B76BC65"/>
    <w:rsid w:val="2B8AD7E3"/>
    <w:rsid w:val="2BA9735B"/>
    <w:rsid w:val="2BB36DCC"/>
    <w:rsid w:val="2BBE084D"/>
    <w:rsid w:val="2BC1413A"/>
    <w:rsid w:val="2BC22957"/>
    <w:rsid w:val="2BE4AB45"/>
    <w:rsid w:val="2C0FEF22"/>
    <w:rsid w:val="2C100A4B"/>
    <w:rsid w:val="2C23892B"/>
    <w:rsid w:val="2C4A4B09"/>
    <w:rsid w:val="2C4D0C24"/>
    <w:rsid w:val="2C9A5802"/>
    <w:rsid w:val="2C9CE645"/>
    <w:rsid w:val="2CACCBBE"/>
    <w:rsid w:val="2CADD898"/>
    <w:rsid w:val="2CCA491D"/>
    <w:rsid w:val="2CCBFAB3"/>
    <w:rsid w:val="2CCF15DA"/>
    <w:rsid w:val="2CD7896A"/>
    <w:rsid w:val="2CDBA879"/>
    <w:rsid w:val="2CDD7562"/>
    <w:rsid w:val="2CE9A787"/>
    <w:rsid w:val="2CF8C96C"/>
    <w:rsid w:val="2D3695D7"/>
    <w:rsid w:val="2D40153F"/>
    <w:rsid w:val="2D40E62B"/>
    <w:rsid w:val="2D583D98"/>
    <w:rsid w:val="2DB3F13F"/>
    <w:rsid w:val="2DBD0D25"/>
    <w:rsid w:val="2DD9F1A3"/>
    <w:rsid w:val="2E11BEA7"/>
    <w:rsid w:val="2E2C6E20"/>
    <w:rsid w:val="2E7869C6"/>
    <w:rsid w:val="2E7A555C"/>
    <w:rsid w:val="2EBBA445"/>
    <w:rsid w:val="2F0CC0D3"/>
    <w:rsid w:val="2F1C0C3B"/>
    <w:rsid w:val="2F38A755"/>
    <w:rsid w:val="2F41FD59"/>
    <w:rsid w:val="2F5E99EF"/>
    <w:rsid w:val="2F796DBD"/>
    <w:rsid w:val="2FA7B74E"/>
    <w:rsid w:val="2FD04878"/>
    <w:rsid w:val="30047526"/>
    <w:rsid w:val="30324C0E"/>
    <w:rsid w:val="303FD21F"/>
    <w:rsid w:val="304D4C2D"/>
    <w:rsid w:val="30594851"/>
    <w:rsid w:val="30C00537"/>
    <w:rsid w:val="30EE979B"/>
    <w:rsid w:val="3130328C"/>
    <w:rsid w:val="3149E628"/>
    <w:rsid w:val="31544173"/>
    <w:rsid w:val="319234E8"/>
    <w:rsid w:val="31982687"/>
    <w:rsid w:val="3199E518"/>
    <w:rsid w:val="31B0B5CB"/>
    <w:rsid w:val="31D66D98"/>
    <w:rsid w:val="3208D7DA"/>
    <w:rsid w:val="320CE3CE"/>
    <w:rsid w:val="3228018C"/>
    <w:rsid w:val="3233F187"/>
    <w:rsid w:val="32377098"/>
    <w:rsid w:val="323CF5E9"/>
    <w:rsid w:val="326013D2"/>
    <w:rsid w:val="326CD2D0"/>
    <w:rsid w:val="32748FA2"/>
    <w:rsid w:val="32A69F3E"/>
    <w:rsid w:val="32C48FF6"/>
    <w:rsid w:val="33213FD0"/>
    <w:rsid w:val="33351DF9"/>
    <w:rsid w:val="3345C622"/>
    <w:rsid w:val="33493E1D"/>
    <w:rsid w:val="3359B52F"/>
    <w:rsid w:val="33786C09"/>
    <w:rsid w:val="337F8BE8"/>
    <w:rsid w:val="33E0EF9F"/>
    <w:rsid w:val="33E84A3B"/>
    <w:rsid w:val="34069C6B"/>
    <w:rsid w:val="3459600F"/>
    <w:rsid w:val="34624655"/>
    <w:rsid w:val="348C895A"/>
    <w:rsid w:val="34A48571"/>
    <w:rsid w:val="34B6E0D5"/>
    <w:rsid w:val="34D43101"/>
    <w:rsid w:val="35306624"/>
    <w:rsid w:val="3558C66D"/>
    <w:rsid w:val="35846EC8"/>
    <w:rsid w:val="35B98FB6"/>
    <w:rsid w:val="35CB95FF"/>
    <w:rsid w:val="35DB32CD"/>
    <w:rsid w:val="35F0CAD6"/>
    <w:rsid w:val="35F17D3A"/>
    <w:rsid w:val="3605898A"/>
    <w:rsid w:val="36265B6A"/>
    <w:rsid w:val="362DCBBD"/>
    <w:rsid w:val="36E1344B"/>
    <w:rsid w:val="36F36F64"/>
    <w:rsid w:val="36F4AF5E"/>
    <w:rsid w:val="3726AD1D"/>
    <w:rsid w:val="3767FBD4"/>
    <w:rsid w:val="377B5D8A"/>
    <w:rsid w:val="377E0A87"/>
    <w:rsid w:val="377E19F2"/>
    <w:rsid w:val="37ACC010"/>
    <w:rsid w:val="37F59769"/>
    <w:rsid w:val="37FB68FC"/>
    <w:rsid w:val="383723A5"/>
    <w:rsid w:val="386FC294"/>
    <w:rsid w:val="38747FB0"/>
    <w:rsid w:val="38863FB1"/>
    <w:rsid w:val="38D7355B"/>
    <w:rsid w:val="38D9B657"/>
    <w:rsid w:val="38DECE82"/>
    <w:rsid w:val="39274EA8"/>
    <w:rsid w:val="392C8854"/>
    <w:rsid w:val="3960E609"/>
    <w:rsid w:val="399693F0"/>
    <w:rsid w:val="39BB4DE2"/>
    <w:rsid w:val="39CE1B07"/>
    <w:rsid w:val="39E8E87F"/>
    <w:rsid w:val="39E9FC5A"/>
    <w:rsid w:val="39EE2775"/>
    <w:rsid w:val="39FCD135"/>
    <w:rsid w:val="3A0C879A"/>
    <w:rsid w:val="3A42EF3B"/>
    <w:rsid w:val="3A60F3E7"/>
    <w:rsid w:val="3A7CD106"/>
    <w:rsid w:val="3A7E98F3"/>
    <w:rsid w:val="3A86686F"/>
    <w:rsid w:val="3AA2EE71"/>
    <w:rsid w:val="3AA806CC"/>
    <w:rsid w:val="3AB6FBD3"/>
    <w:rsid w:val="3AD0A326"/>
    <w:rsid w:val="3AF86DCE"/>
    <w:rsid w:val="3AF8E9BB"/>
    <w:rsid w:val="3AFFFE8E"/>
    <w:rsid w:val="3B081EFA"/>
    <w:rsid w:val="3B124491"/>
    <w:rsid w:val="3B22DABE"/>
    <w:rsid w:val="3B6C6937"/>
    <w:rsid w:val="3B733392"/>
    <w:rsid w:val="3B939E65"/>
    <w:rsid w:val="3BB5C38E"/>
    <w:rsid w:val="3BC03A1F"/>
    <w:rsid w:val="3BEDD89E"/>
    <w:rsid w:val="3C531DD1"/>
    <w:rsid w:val="3C7F4142"/>
    <w:rsid w:val="3CA1B772"/>
    <w:rsid w:val="3CB3E688"/>
    <w:rsid w:val="3CC3CD04"/>
    <w:rsid w:val="3D13999D"/>
    <w:rsid w:val="3D1B7CCB"/>
    <w:rsid w:val="3D1DF2EC"/>
    <w:rsid w:val="3D3B0A2E"/>
    <w:rsid w:val="3D3DD669"/>
    <w:rsid w:val="3D58840F"/>
    <w:rsid w:val="3D6A2533"/>
    <w:rsid w:val="3D83FA65"/>
    <w:rsid w:val="3D8DDE3B"/>
    <w:rsid w:val="3D910FDB"/>
    <w:rsid w:val="3DC52996"/>
    <w:rsid w:val="3E1C38D5"/>
    <w:rsid w:val="3E5208CD"/>
    <w:rsid w:val="3E55F755"/>
    <w:rsid w:val="3EA2B945"/>
    <w:rsid w:val="3EC581D4"/>
    <w:rsid w:val="3F06BC1B"/>
    <w:rsid w:val="3F07FEC7"/>
    <w:rsid w:val="3F1414A7"/>
    <w:rsid w:val="3F25743C"/>
    <w:rsid w:val="3F477A2E"/>
    <w:rsid w:val="3F6A0FF5"/>
    <w:rsid w:val="3F85C2F5"/>
    <w:rsid w:val="3FD57F00"/>
    <w:rsid w:val="4028E709"/>
    <w:rsid w:val="40365F90"/>
    <w:rsid w:val="404E76D9"/>
    <w:rsid w:val="40666A3F"/>
    <w:rsid w:val="40D43D24"/>
    <w:rsid w:val="40E7B8F1"/>
    <w:rsid w:val="40EB2C79"/>
    <w:rsid w:val="40F9FBE9"/>
    <w:rsid w:val="413967DE"/>
    <w:rsid w:val="413DC954"/>
    <w:rsid w:val="4149F590"/>
    <w:rsid w:val="41589814"/>
    <w:rsid w:val="418B3127"/>
    <w:rsid w:val="418BD06D"/>
    <w:rsid w:val="419538DB"/>
    <w:rsid w:val="41973669"/>
    <w:rsid w:val="41A7A595"/>
    <w:rsid w:val="41B267AB"/>
    <w:rsid w:val="41B4A6B5"/>
    <w:rsid w:val="41DCD19C"/>
    <w:rsid w:val="41F9C890"/>
    <w:rsid w:val="42251641"/>
    <w:rsid w:val="422D0E22"/>
    <w:rsid w:val="423BFD95"/>
    <w:rsid w:val="4291B682"/>
    <w:rsid w:val="4291B7E3"/>
    <w:rsid w:val="429AA30E"/>
    <w:rsid w:val="42B79C47"/>
    <w:rsid w:val="42C6684A"/>
    <w:rsid w:val="42F8C82A"/>
    <w:rsid w:val="4309FB1A"/>
    <w:rsid w:val="431EBDD0"/>
    <w:rsid w:val="43369A7D"/>
    <w:rsid w:val="4362E3B7"/>
    <w:rsid w:val="43796619"/>
    <w:rsid w:val="43FC1886"/>
    <w:rsid w:val="43FF4B8B"/>
    <w:rsid w:val="444DC5B2"/>
    <w:rsid w:val="449A18CD"/>
    <w:rsid w:val="44C00A50"/>
    <w:rsid w:val="44C510D3"/>
    <w:rsid w:val="44E086FB"/>
    <w:rsid w:val="44F8DA98"/>
    <w:rsid w:val="44FA1C69"/>
    <w:rsid w:val="45027075"/>
    <w:rsid w:val="45293ED0"/>
    <w:rsid w:val="45693968"/>
    <w:rsid w:val="457FBCD3"/>
    <w:rsid w:val="45C21AFE"/>
    <w:rsid w:val="45FB5737"/>
    <w:rsid w:val="4632ADA2"/>
    <w:rsid w:val="46565359"/>
    <w:rsid w:val="4657F3D9"/>
    <w:rsid w:val="465D34D7"/>
    <w:rsid w:val="46781727"/>
    <w:rsid w:val="46C74C4A"/>
    <w:rsid w:val="46F472C1"/>
    <w:rsid w:val="470D8A81"/>
    <w:rsid w:val="477AF310"/>
    <w:rsid w:val="4791DF47"/>
    <w:rsid w:val="47AF6646"/>
    <w:rsid w:val="4821E0D8"/>
    <w:rsid w:val="4824B800"/>
    <w:rsid w:val="482E728F"/>
    <w:rsid w:val="4876A6BF"/>
    <w:rsid w:val="48804404"/>
    <w:rsid w:val="4890552D"/>
    <w:rsid w:val="4890DCEF"/>
    <w:rsid w:val="48954AFF"/>
    <w:rsid w:val="48BC0AD6"/>
    <w:rsid w:val="48C73BDE"/>
    <w:rsid w:val="48F15AAE"/>
    <w:rsid w:val="48F75ED8"/>
    <w:rsid w:val="494E92A4"/>
    <w:rsid w:val="497C2D60"/>
    <w:rsid w:val="4999CA50"/>
    <w:rsid w:val="49A59A66"/>
    <w:rsid w:val="49B18898"/>
    <w:rsid w:val="49B56E52"/>
    <w:rsid w:val="49D1EDE8"/>
    <w:rsid w:val="49F88765"/>
    <w:rsid w:val="4A194A9C"/>
    <w:rsid w:val="4A2B1D39"/>
    <w:rsid w:val="4A47DBF6"/>
    <w:rsid w:val="4A600FD4"/>
    <w:rsid w:val="4A9E13C6"/>
    <w:rsid w:val="4AAEC289"/>
    <w:rsid w:val="4AB34F28"/>
    <w:rsid w:val="4AD7FC2D"/>
    <w:rsid w:val="4AEE6981"/>
    <w:rsid w:val="4B5075D0"/>
    <w:rsid w:val="4B6FBCB5"/>
    <w:rsid w:val="4B7C0985"/>
    <w:rsid w:val="4BA5D7C3"/>
    <w:rsid w:val="4BDC6A84"/>
    <w:rsid w:val="4BDD7D6D"/>
    <w:rsid w:val="4BE24D81"/>
    <w:rsid w:val="4C04C741"/>
    <w:rsid w:val="4C264A24"/>
    <w:rsid w:val="4C2B6D0E"/>
    <w:rsid w:val="4C4979D5"/>
    <w:rsid w:val="4C4FA044"/>
    <w:rsid w:val="4C6E98F7"/>
    <w:rsid w:val="4CA27874"/>
    <w:rsid w:val="4CB04E8D"/>
    <w:rsid w:val="4CECE340"/>
    <w:rsid w:val="4CFF5EB9"/>
    <w:rsid w:val="4D15B4AC"/>
    <w:rsid w:val="4D35033A"/>
    <w:rsid w:val="4D826540"/>
    <w:rsid w:val="4DA410A4"/>
    <w:rsid w:val="4DA4540D"/>
    <w:rsid w:val="4DB2E819"/>
    <w:rsid w:val="4DCCA597"/>
    <w:rsid w:val="4DD23AA2"/>
    <w:rsid w:val="4DF24B09"/>
    <w:rsid w:val="4E2BB8B0"/>
    <w:rsid w:val="4E485FBA"/>
    <w:rsid w:val="4EE77134"/>
    <w:rsid w:val="4F0AB13C"/>
    <w:rsid w:val="4F0AF759"/>
    <w:rsid w:val="4F2609E5"/>
    <w:rsid w:val="4F2A5810"/>
    <w:rsid w:val="4F2B9B25"/>
    <w:rsid w:val="4F507309"/>
    <w:rsid w:val="4F6C76B1"/>
    <w:rsid w:val="4F78992A"/>
    <w:rsid w:val="4F7C39B1"/>
    <w:rsid w:val="4F914891"/>
    <w:rsid w:val="4FC74049"/>
    <w:rsid w:val="4FDDC152"/>
    <w:rsid w:val="4FE1FB8C"/>
    <w:rsid w:val="4FE790FA"/>
    <w:rsid w:val="4FFC583C"/>
    <w:rsid w:val="503B76D2"/>
    <w:rsid w:val="503C1F24"/>
    <w:rsid w:val="504591ED"/>
    <w:rsid w:val="5097B018"/>
    <w:rsid w:val="50C6A40B"/>
    <w:rsid w:val="511A20B0"/>
    <w:rsid w:val="5125C6EF"/>
    <w:rsid w:val="5126C755"/>
    <w:rsid w:val="514ED724"/>
    <w:rsid w:val="517210C5"/>
    <w:rsid w:val="517CBA68"/>
    <w:rsid w:val="517D50D5"/>
    <w:rsid w:val="51BAF354"/>
    <w:rsid w:val="51FD56EB"/>
    <w:rsid w:val="5201A232"/>
    <w:rsid w:val="522C7729"/>
    <w:rsid w:val="524E48D8"/>
    <w:rsid w:val="5250E1D0"/>
    <w:rsid w:val="527A145A"/>
    <w:rsid w:val="52DA0D7A"/>
    <w:rsid w:val="5339A103"/>
    <w:rsid w:val="53540B1E"/>
    <w:rsid w:val="53551D23"/>
    <w:rsid w:val="5361A69E"/>
    <w:rsid w:val="5394689B"/>
    <w:rsid w:val="53B9AAFA"/>
    <w:rsid w:val="53C8060E"/>
    <w:rsid w:val="540852EB"/>
    <w:rsid w:val="545888F6"/>
    <w:rsid w:val="546C03D9"/>
    <w:rsid w:val="546ED9A8"/>
    <w:rsid w:val="54712D49"/>
    <w:rsid w:val="5474762E"/>
    <w:rsid w:val="5487214C"/>
    <w:rsid w:val="548EBDDB"/>
    <w:rsid w:val="54D2EC32"/>
    <w:rsid w:val="54E43F70"/>
    <w:rsid w:val="54F63700"/>
    <w:rsid w:val="5521AE0F"/>
    <w:rsid w:val="5526212A"/>
    <w:rsid w:val="554BD5C5"/>
    <w:rsid w:val="5574E555"/>
    <w:rsid w:val="55ACB211"/>
    <w:rsid w:val="55B544F6"/>
    <w:rsid w:val="55B8C75A"/>
    <w:rsid w:val="56328274"/>
    <w:rsid w:val="564B4401"/>
    <w:rsid w:val="565199B5"/>
    <w:rsid w:val="56798FAD"/>
    <w:rsid w:val="567C5E15"/>
    <w:rsid w:val="56A28CC2"/>
    <w:rsid w:val="5707517C"/>
    <w:rsid w:val="5754F95F"/>
    <w:rsid w:val="57804678"/>
    <w:rsid w:val="579A8FEB"/>
    <w:rsid w:val="57E7C897"/>
    <w:rsid w:val="5819A802"/>
    <w:rsid w:val="582557B1"/>
    <w:rsid w:val="5859781B"/>
    <w:rsid w:val="587B9B7E"/>
    <w:rsid w:val="588C23C8"/>
    <w:rsid w:val="58AB345B"/>
    <w:rsid w:val="58F3311F"/>
    <w:rsid w:val="591856FB"/>
    <w:rsid w:val="592B8053"/>
    <w:rsid w:val="592E71BA"/>
    <w:rsid w:val="593CF5DC"/>
    <w:rsid w:val="59770B91"/>
    <w:rsid w:val="598C4CEE"/>
    <w:rsid w:val="598CB98D"/>
    <w:rsid w:val="59A770FF"/>
    <w:rsid w:val="59CC156E"/>
    <w:rsid w:val="59CE47A2"/>
    <w:rsid w:val="59E20588"/>
    <w:rsid w:val="5A05C625"/>
    <w:rsid w:val="5A0C26CC"/>
    <w:rsid w:val="5A1D86B1"/>
    <w:rsid w:val="5A2F1D7A"/>
    <w:rsid w:val="5A49DD27"/>
    <w:rsid w:val="5A71BB31"/>
    <w:rsid w:val="5A7FE539"/>
    <w:rsid w:val="5A860267"/>
    <w:rsid w:val="5AE4C43C"/>
    <w:rsid w:val="5AFDFDC4"/>
    <w:rsid w:val="5B5B70A5"/>
    <w:rsid w:val="5B80B643"/>
    <w:rsid w:val="5B89C076"/>
    <w:rsid w:val="5B908431"/>
    <w:rsid w:val="5BA6DB68"/>
    <w:rsid w:val="5BB19A2F"/>
    <w:rsid w:val="5BB3AF48"/>
    <w:rsid w:val="5BB769D3"/>
    <w:rsid w:val="5BC768F0"/>
    <w:rsid w:val="5BCB10F0"/>
    <w:rsid w:val="5BDC5408"/>
    <w:rsid w:val="5BEED5EC"/>
    <w:rsid w:val="5C014B78"/>
    <w:rsid w:val="5C30FF78"/>
    <w:rsid w:val="5C490378"/>
    <w:rsid w:val="5C55548A"/>
    <w:rsid w:val="5C6DF5D1"/>
    <w:rsid w:val="5C8A91B3"/>
    <w:rsid w:val="5C93826B"/>
    <w:rsid w:val="5C9EC471"/>
    <w:rsid w:val="5CCAF55F"/>
    <w:rsid w:val="5CD006DE"/>
    <w:rsid w:val="5CE5E7B1"/>
    <w:rsid w:val="5D12E424"/>
    <w:rsid w:val="5D186694"/>
    <w:rsid w:val="5D1FDA69"/>
    <w:rsid w:val="5D46ED25"/>
    <w:rsid w:val="5D4BF788"/>
    <w:rsid w:val="5D509EBC"/>
    <w:rsid w:val="5D661D2B"/>
    <w:rsid w:val="5D6DF252"/>
    <w:rsid w:val="5D879C87"/>
    <w:rsid w:val="5DA863CB"/>
    <w:rsid w:val="5DCA3057"/>
    <w:rsid w:val="5DD327B9"/>
    <w:rsid w:val="5DE3BE87"/>
    <w:rsid w:val="5E089513"/>
    <w:rsid w:val="5E1931E6"/>
    <w:rsid w:val="5E44B093"/>
    <w:rsid w:val="5E49823E"/>
    <w:rsid w:val="5E8C9B0C"/>
    <w:rsid w:val="5EA77A61"/>
    <w:rsid w:val="5ECAD52F"/>
    <w:rsid w:val="5EFE4B71"/>
    <w:rsid w:val="5F024E7A"/>
    <w:rsid w:val="5F29CEA7"/>
    <w:rsid w:val="5F2C21BD"/>
    <w:rsid w:val="5F777279"/>
    <w:rsid w:val="5F82F453"/>
    <w:rsid w:val="5F88E659"/>
    <w:rsid w:val="5FDA4C3D"/>
    <w:rsid w:val="5FE05613"/>
    <w:rsid w:val="6046C215"/>
    <w:rsid w:val="605BA425"/>
    <w:rsid w:val="607ED855"/>
    <w:rsid w:val="60A2D1EF"/>
    <w:rsid w:val="60B23308"/>
    <w:rsid w:val="60D81DA6"/>
    <w:rsid w:val="61203259"/>
    <w:rsid w:val="6122CBC3"/>
    <w:rsid w:val="615C055F"/>
    <w:rsid w:val="6162E75C"/>
    <w:rsid w:val="61731A95"/>
    <w:rsid w:val="6198C120"/>
    <w:rsid w:val="61D972FE"/>
    <w:rsid w:val="61DCA6B9"/>
    <w:rsid w:val="61DF23CD"/>
    <w:rsid w:val="621DBFB9"/>
    <w:rsid w:val="622E0F24"/>
    <w:rsid w:val="623920FD"/>
    <w:rsid w:val="62B0C865"/>
    <w:rsid w:val="62B18D1A"/>
    <w:rsid w:val="62C46DBE"/>
    <w:rsid w:val="62F15D17"/>
    <w:rsid w:val="631E43DF"/>
    <w:rsid w:val="632A9915"/>
    <w:rsid w:val="632D7AD7"/>
    <w:rsid w:val="6365CC6A"/>
    <w:rsid w:val="63A0C18C"/>
    <w:rsid w:val="63A4DB8F"/>
    <w:rsid w:val="63D11212"/>
    <w:rsid w:val="641DE770"/>
    <w:rsid w:val="643EDC4A"/>
    <w:rsid w:val="64579634"/>
    <w:rsid w:val="646FAB7D"/>
    <w:rsid w:val="6474C70A"/>
    <w:rsid w:val="647C97CC"/>
    <w:rsid w:val="648296C8"/>
    <w:rsid w:val="64872213"/>
    <w:rsid w:val="64A7328B"/>
    <w:rsid w:val="64C27364"/>
    <w:rsid w:val="64DE2CF6"/>
    <w:rsid w:val="64F89033"/>
    <w:rsid w:val="6529B974"/>
    <w:rsid w:val="652E0712"/>
    <w:rsid w:val="65501B8E"/>
    <w:rsid w:val="65ABB822"/>
    <w:rsid w:val="65B2F034"/>
    <w:rsid w:val="65B85813"/>
    <w:rsid w:val="65EC3E37"/>
    <w:rsid w:val="65F14642"/>
    <w:rsid w:val="65F2EEA3"/>
    <w:rsid w:val="65FC8550"/>
    <w:rsid w:val="65FF0D65"/>
    <w:rsid w:val="66266ACA"/>
    <w:rsid w:val="662D375C"/>
    <w:rsid w:val="662DBD5E"/>
    <w:rsid w:val="6635B109"/>
    <w:rsid w:val="665C4780"/>
    <w:rsid w:val="66AAF290"/>
    <w:rsid w:val="66F6CB13"/>
    <w:rsid w:val="6712B5C4"/>
    <w:rsid w:val="671426F2"/>
    <w:rsid w:val="671F6D33"/>
    <w:rsid w:val="6726A273"/>
    <w:rsid w:val="6739617C"/>
    <w:rsid w:val="67574D48"/>
    <w:rsid w:val="67C2EB65"/>
    <w:rsid w:val="67DAA38F"/>
    <w:rsid w:val="67E0AF79"/>
    <w:rsid w:val="67E69998"/>
    <w:rsid w:val="67EC8A0A"/>
    <w:rsid w:val="680B0B02"/>
    <w:rsid w:val="6837E058"/>
    <w:rsid w:val="6859E084"/>
    <w:rsid w:val="6924424D"/>
    <w:rsid w:val="6925ECCE"/>
    <w:rsid w:val="69342EC8"/>
    <w:rsid w:val="6948BBCE"/>
    <w:rsid w:val="694906E9"/>
    <w:rsid w:val="696A06AA"/>
    <w:rsid w:val="6976C2C0"/>
    <w:rsid w:val="69880153"/>
    <w:rsid w:val="69952D10"/>
    <w:rsid w:val="69BB8EBD"/>
    <w:rsid w:val="69D486D9"/>
    <w:rsid w:val="69DCA24F"/>
    <w:rsid w:val="6A13D3E3"/>
    <w:rsid w:val="6A1EBAD1"/>
    <w:rsid w:val="6A5BC595"/>
    <w:rsid w:val="6A6820E3"/>
    <w:rsid w:val="6A8209DF"/>
    <w:rsid w:val="6A91777C"/>
    <w:rsid w:val="6AA6D545"/>
    <w:rsid w:val="6AA6FC42"/>
    <w:rsid w:val="6AC07342"/>
    <w:rsid w:val="6AD7F489"/>
    <w:rsid w:val="6B60CCB3"/>
    <w:rsid w:val="6B87300D"/>
    <w:rsid w:val="6B880F7D"/>
    <w:rsid w:val="6BAE6E07"/>
    <w:rsid w:val="6BCD1A52"/>
    <w:rsid w:val="6BD78FDB"/>
    <w:rsid w:val="6BDCBF68"/>
    <w:rsid w:val="6BE38C81"/>
    <w:rsid w:val="6BF16E6F"/>
    <w:rsid w:val="6C0DA065"/>
    <w:rsid w:val="6C1BAF7D"/>
    <w:rsid w:val="6C340B50"/>
    <w:rsid w:val="6C39476F"/>
    <w:rsid w:val="6C5219A6"/>
    <w:rsid w:val="6C79DFD7"/>
    <w:rsid w:val="6C7EA2FD"/>
    <w:rsid w:val="6C8654F8"/>
    <w:rsid w:val="6C8979E8"/>
    <w:rsid w:val="6C8BFDF7"/>
    <w:rsid w:val="6CB76684"/>
    <w:rsid w:val="6CCA7644"/>
    <w:rsid w:val="6CCD0080"/>
    <w:rsid w:val="6CD1436A"/>
    <w:rsid w:val="6D076424"/>
    <w:rsid w:val="6D5C326E"/>
    <w:rsid w:val="6D6F161F"/>
    <w:rsid w:val="6DA4BE23"/>
    <w:rsid w:val="6DA9388B"/>
    <w:rsid w:val="6DC249C0"/>
    <w:rsid w:val="6DC3A989"/>
    <w:rsid w:val="6DCF2EE3"/>
    <w:rsid w:val="6E00829B"/>
    <w:rsid w:val="6E05E836"/>
    <w:rsid w:val="6E3BD44C"/>
    <w:rsid w:val="6E6D393F"/>
    <w:rsid w:val="6E8EFA0C"/>
    <w:rsid w:val="6EB5A0EB"/>
    <w:rsid w:val="6ECD8099"/>
    <w:rsid w:val="6ED4128E"/>
    <w:rsid w:val="6F0DE6B9"/>
    <w:rsid w:val="6F164AAB"/>
    <w:rsid w:val="6F398FD1"/>
    <w:rsid w:val="6F401FB4"/>
    <w:rsid w:val="6F70B4B3"/>
    <w:rsid w:val="6F763BD3"/>
    <w:rsid w:val="6F9F8955"/>
    <w:rsid w:val="6FC236A2"/>
    <w:rsid w:val="701C1905"/>
    <w:rsid w:val="702A9EE0"/>
    <w:rsid w:val="704B9FFD"/>
    <w:rsid w:val="7067C401"/>
    <w:rsid w:val="7073E803"/>
    <w:rsid w:val="7075C102"/>
    <w:rsid w:val="707ECEAF"/>
    <w:rsid w:val="708C718F"/>
    <w:rsid w:val="70C13DC6"/>
    <w:rsid w:val="70CE4B22"/>
    <w:rsid w:val="712DB446"/>
    <w:rsid w:val="71582454"/>
    <w:rsid w:val="715CB997"/>
    <w:rsid w:val="7175F9E5"/>
    <w:rsid w:val="71A3105C"/>
    <w:rsid w:val="71BC9471"/>
    <w:rsid w:val="71CE0E57"/>
    <w:rsid w:val="71CE1954"/>
    <w:rsid w:val="71D43537"/>
    <w:rsid w:val="72109348"/>
    <w:rsid w:val="722B4024"/>
    <w:rsid w:val="723C085C"/>
    <w:rsid w:val="7255E1EB"/>
    <w:rsid w:val="72595D3D"/>
    <w:rsid w:val="7270E91F"/>
    <w:rsid w:val="72799AA7"/>
    <w:rsid w:val="72E5FECF"/>
    <w:rsid w:val="7322AFEC"/>
    <w:rsid w:val="732874D5"/>
    <w:rsid w:val="734B9129"/>
    <w:rsid w:val="73624C16"/>
    <w:rsid w:val="737C4DB1"/>
    <w:rsid w:val="738EE8C9"/>
    <w:rsid w:val="73B9DFC5"/>
    <w:rsid w:val="73BFE0E2"/>
    <w:rsid w:val="73F187EB"/>
    <w:rsid w:val="740A0B1F"/>
    <w:rsid w:val="741C0D36"/>
    <w:rsid w:val="741E5BE6"/>
    <w:rsid w:val="745A6438"/>
    <w:rsid w:val="7462467A"/>
    <w:rsid w:val="74723279"/>
    <w:rsid w:val="747680D4"/>
    <w:rsid w:val="7480E820"/>
    <w:rsid w:val="7480EA0D"/>
    <w:rsid w:val="7492D90E"/>
    <w:rsid w:val="749E8D33"/>
    <w:rsid w:val="74DFDF24"/>
    <w:rsid w:val="74EA607D"/>
    <w:rsid w:val="74FBF2B8"/>
    <w:rsid w:val="7507150E"/>
    <w:rsid w:val="75163E86"/>
    <w:rsid w:val="752DF3F3"/>
    <w:rsid w:val="756F3A66"/>
    <w:rsid w:val="756FF837"/>
    <w:rsid w:val="7577C72E"/>
    <w:rsid w:val="759B1C35"/>
    <w:rsid w:val="75A69CBA"/>
    <w:rsid w:val="75ADC47F"/>
    <w:rsid w:val="75ADCD28"/>
    <w:rsid w:val="75B57F92"/>
    <w:rsid w:val="75DC6BC9"/>
    <w:rsid w:val="75DC7131"/>
    <w:rsid w:val="75E90774"/>
    <w:rsid w:val="75EC366B"/>
    <w:rsid w:val="75EC3CA5"/>
    <w:rsid w:val="75F79342"/>
    <w:rsid w:val="760BB0AB"/>
    <w:rsid w:val="761DF733"/>
    <w:rsid w:val="763818E9"/>
    <w:rsid w:val="763A45CF"/>
    <w:rsid w:val="76610443"/>
    <w:rsid w:val="7666DDDF"/>
    <w:rsid w:val="7699119C"/>
    <w:rsid w:val="76D7AC99"/>
    <w:rsid w:val="76D8F4D4"/>
    <w:rsid w:val="7732661F"/>
    <w:rsid w:val="7799CAF8"/>
    <w:rsid w:val="77D00E6C"/>
    <w:rsid w:val="77D72233"/>
    <w:rsid w:val="77F093EB"/>
    <w:rsid w:val="780CB5F0"/>
    <w:rsid w:val="784317EB"/>
    <w:rsid w:val="784A22B4"/>
    <w:rsid w:val="78678115"/>
    <w:rsid w:val="787B8AAA"/>
    <w:rsid w:val="789EAC0E"/>
    <w:rsid w:val="78A9EAFC"/>
    <w:rsid w:val="78B996D0"/>
    <w:rsid w:val="78EA4193"/>
    <w:rsid w:val="78EE464F"/>
    <w:rsid w:val="78FD260A"/>
    <w:rsid w:val="78FEEA11"/>
    <w:rsid w:val="790FC92F"/>
    <w:rsid w:val="79220B2D"/>
    <w:rsid w:val="79257E7C"/>
    <w:rsid w:val="7996EA31"/>
    <w:rsid w:val="79ABBAE7"/>
    <w:rsid w:val="79C6A805"/>
    <w:rsid w:val="79E9B774"/>
    <w:rsid w:val="79EEED08"/>
    <w:rsid w:val="7A17BFB2"/>
    <w:rsid w:val="7A4C1F05"/>
    <w:rsid w:val="7A5DC15E"/>
    <w:rsid w:val="7A871DA9"/>
    <w:rsid w:val="7A9618BD"/>
    <w:rsid w:val="7AA9CB8F"/>
    <w:rsid w:val="7AC31536"/>
    <w:rsid w:val="7AE639BD"/>
    <w:rsid w:val="7B14B324"/>
    <w:rsid w:val="7B191048"/>
    <w:rsid w:val="7B6E062A"/>
    <w:rsid w:val="7B72C42F"/>
    <w:rsid w:val="7B8590D3"/>
    <w:rsid w:val="7BA0A002"/>
    <w:rsid w:val="7BB10E93"/>
    <w:rsid w:val="7C4CAA08"/>
    <w:rsid w:val="7C557406"/>
    <w:rsid w:val="7C576748"/>
    <w:rsid w:val="7C6C49D4"/>
    <w:rsid w:val="7C70294A"/>
    <w:rsid w:val="7C9AF4BD"/>
    <w:rsid w:val="7CA8CA56"/>
    <w:rsid w:val="7CD1A36D"/>
    <w:rsid w:val="7CDFE52E"/>
    <w:rsid w:val="7D072E5C"/>
    <w:rsid w:val="7D2927C1"/>
    <w:rsid w:val="7D326918"/>
    <w:rsid w:val="7D343752"/>
    <w:rsid w:val="7D364703"/>
    <w:rsid w:val="7D526BA1"/>
    <w:rsid w:val="7D7DA676"/>
    <w:rsid w:val="7DCF121E"/>
    <w:rsid w:val="7DDE2D8D"/>
    <w:rsid w:val="7DE461B5"/>
    <w:rsid w:val="7DEC96BB"/>
    <w:rsid w:val="7E0840B6"/>
    <w:rsid w:val="7E33889F"/>
    <w:rsid w:val="7E377767"/>
    <w:rsid w:val="7E4D158A"/>
    <w:rsid w:val="7E62F5AF"/>
    <w:rsid w:val="7E7848DD"/>
    <w:rsid w:val="7E8E0766"/>
    <w:rsid w:val="7EA47CDD"/>
    <w:rsid w:val="7EB36D04"/>
    <w:rsid w:val="7EF8BFE2"/>
    <w:rsid w:val="7F035A6F"/>
    <w:rsid w:val="7F799A31"/>
    <w:rsid w:val="7F7CD31D"/>
    <w:rsid w:val="7F7FFC53"/>
    <w:rsid w:val="7F91A3DB"/>
    <w:rsid w:val="7FAB0117"/>
    <w:rsid w:val="7FAB41ED"/>
    <w:rsid w:val="7FD6B84A"/>
    <w:rsid w:val="7FD93709"/>
    <w:rsid w:val="7FE586D3"/>
    <w:rsid w:val="7FE80E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D61C52"/>
  <w14:defaultImageDpi w14:val="300"/>
  <w15:docId w15:val="{B4573B24-C6BD-4CF1-9834-B1C2CE8EF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73D4"/>
    <w:rPr>
      <w:lang w:val="pt-BR"/>
    </w:rPr>
  </w:style>
  <w:style w:type="paragraph" w:styleId="Ttulo1">
    <w:name w:val="heading 1"/>
    <w:basedOn w:val="Normal"/>
    <w:next w:val="Normal"/>
    <w:link w:val="Ttulo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E618BF"/>
    <w:pPr>
      <w:tabs>
        <w:tab w:val="center" w:pos="4680"/>
        <w:tab w:val="right" w:pos="9360"/>
      </w:tabs>
      <w:spacing w:after="0" w:line="240" w:lineRule="auto"/>
    </w:pPr>
  </w:style>
  <w:style w:type="character" w:customStyle="1" w:styleId="CabealhoChar">
    <w:name w:val="Cabeçalho Char"/>
    <w:basedOn w:val="Fontepargpadro"/>
    <w:link w:val="Cabealho"/>
    <w:uiPriority w:val="99"/>
    <w:rsid w:val="00E618BF"/>
  </w:style>
  <w:style w:type="paragraph" w:styleId="Rodap">
    <w:name w:val="footer"/>
    <w:basedOn w:val="Normal"/>
    <w:link w:val="RodapChar"/>
    <w:uiPriority w:val="99"/>
    <w:unhideWhenUsed/>
    <w:rsid w:val="00E618BF"/>
    <w:pPr>
      <w:tabs>
        <w:tab w:val="center" w:pos="4680"/>
        <w:tab w:val="right" w:pos="9360"/>
      </w:tabs>
      <w:spacing w:after="0" w:line="240" w:lineRule="auto"/>
    </w:pPr>
  </w:style>
  <w:style w:type="character" w:customStyle="1" w:styleId="RodapChar">
    <w:name w:val="Rodapé Char"/>
    <w:basedOn w:val="Fontepargpadro"/>
    <w:link w:val="Rodap"/>
    <w:uiPriority w:val="99"/>
    <w:rsid w:val="00E618BF"/>
  </w:style>
  <w:style w:type="paragraph" w:styleId="SemEspaamento">
    <w:name w:val="No Spacing"/>
    <w:uiPriority w:val="1"/>
    <w:qFormat/>
    <w:rsid w:val="00FC693F"/>
    <w:pPr>
      <w:spacing w:after="0" w:line="240" w:lineRule="auto"/>
    </w:pPr>
  </w:style>
  <w:style w:type="character" w:customStyle="1" w:styleId="Ttulo1Char">
    <w:name w:val="Título 1 Char"/>
    <w:basedOn w:val="Fontepargpadro"/>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argrafodaLista">
    <w:name w:val="List Paragraph"/>
    <w:basedOn w:val="Normal"/>
    <w:uiPriority w:val="34"/>
    <w:qFormat/>
    <w:rsid w:val="00FC693F"/>
    <w:pPr>
      <w:ind w:left="720"/>
      <w:contextualSpacing/>
    </w:pPr>
  </w:style>
  <w:style w:type="paragraph" w:styleId="Corpodetexto">
    <w:name w:val="Body Text"/>
    <w:basedOn w:val="Normal"/>
    <w:link w:val="CorpodetextoChar"/>
    <w:uiPriority w:val="99"/>
    <w:unhideWhenUsed/>
    <w:rsid w:val="00AA1D8D"/>
    <w:pPr>
      <w:spacing w:after="120"/>
    </w:pPr>
  </w:style>
  <w:style w:type="character" w:customStyle="1" w:styleId="CorpodetextoChar">
    <w:name w:val="Corpo de texto Char"/>
    <w:basedOn w:val="Fontepargpadro"/>
    <w:link w:val="Corpodetexto"/>
    <w:uiPriority w:val="99"/>
    <w:rsid w:val="00AA1D8D"/>
  </w:style>
  <w:style w:type="paragraph" w:styleId="Corpodetexto2">
    <w:name w:val="Body Text 2"/>
    <w:basedOn w:val="Normal"/>
    <w:link w:val="Corpodetexto2Char"/>
    <w:uiPriority w:val="99"/>
    <w:unhideWhenUsed/>
    <w:rsid w:val="00AA1D8D"/>
    <w:pPr>
      <w:spacing w:after="120" w:line="480" w:lineRule="auto"/>
    </w:pPr>
  </w:style>
  <w:style w:type="character" w:customStyle="1" w:styleId="Corpodetexto2Char">
    <w:name w:val="Corpo de texto 2 Char"/>
    <w:basedOn w:val="Fontepargpadro"/>
    <w:link w:val="Corpodetexto2"/>
    <w:uiPriority w:val="99"/>
    <w:rsid w:val="00AA1D8D"/>
  </w:style>
  <w:style w:type="paragraph" w:styleId="Corpodetexto3">
    <w:name w:val="Body Text 3"/>
    <w:basedOn w:val="Normal"/>
    <w:link w:val="Corpodetexto3Char"/>
    <w:uiPriority w:val="99"/>
    <w:unhideWhenUsed/>
    <w:rsid w:val="00AA1D8D"/>
    <w:pPr>
      <w:spacing w:after="120"/>
    </w:pPr>
    <w:rPr>
      <w:sz w:val="16"/>
      <w:szCs w:val="16"/>
    </w:rPr>
  </w:style>
  <w:style w:type="character" w:customStyle="1" w:styleId="Corpodetexto3Char">
    <w:name w:val="Corpo de texto 3 Char"/>
    <w:basedOn w:val="Fontepargpadro"/>
    <w:link w:val="Corpodetexto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Commarcadores">
    <w:name w:val="List Bullet"/>
    <w:basedOn w:val="Normal"/>
    <w:uiPriority w:val="99"/>
    <w:unhideWhenUsed/>
    <w:rsid w:val="00326F90"/>
    <w:pPr>
      <w:numPr>
        <w:numId w:val="2"/>
      </w:numPr>
      <w:contextualSpacing/>
    </w:pPr>
  </w:style>
  <w:style w:type="paragraph" w:styleId="Commarcadores2">
    <w:name w:val="List Bullet 2"/>
    <w:basedOn w:val="Normal"/>
    <w:uiPriority w:val="99"/>
    <w:unhideWhenUsed/>
    <w:rsid w:val="00326F90"/>
    <w:pPr>
      <w:numPr>
        <w:numId w:val="3"/>
      </w:numPr>
      <w:contextualSpacing/>
    </w:pPr>
  </w:style>
  <w:style w:type="paragraph" w:styleId="Commarcadores3">
    <w:name w:val="List Bullet 3"/>
    <w:basedOn w:val="Normal"/>
    <w:uiPriority w:val="99"/>
    <w:unhideWhenUsed/>
    <w:rsid w:val="00326F90"/>
    <w:pPr>
      <w:numPr>
        <w:numId w:val="4"/>
      </w:numPr>
      <w:contextualSpacing/>
    </w:pPr>
  </w:style>
  <w:style w:type="paragraph" w:styleId="Numerada">
    <w:name w:val="List Number"/>
    <w:basedOn w:val="Normal"/>
    <w:uiPriority w:val="99"/>
    <w:unhideWhenUsed/>
    <w:rsid w:val="00326F90"/>
    <w:pPr>
      <w:numPr>
        <w:numId w:val="6"/>
      </w:numPr>
      <w:contextualSpacing/>
    </w:pPr>
  </w:style>
  <w:style w:type="paragraph" w:styleId="Numerada2">
    <w:name w:val="List Number 2"/>
    <w:basedOn w:val="Normal"/>
    <w:uiPriority w:val="99"/>
    <w:unhideWhenUsed/>
    <w:rsid w:val="0029639D"/>
    <w:pPr>
      <w:numPr>
        <w:numId w:val="7"/>
      </w:numPr>
      <w:contextualSpacing/>
    </w:pPr>
  </w:style>
  <w:style w:type="paragraph" w:styleId="Numerada3">
    <w:name w:val="List Number 3"/>
    <w:basedOn w:val="Normal"/>
    <w:uiPriority w:val="99"/>
    <w:unhideWhenUsed/>
    <w:rsid w:val="0029639D"/>
    <w:pPr>
      <w:numPr>
        <w:numId w:val="8"/>
      </w:numPr>
      <w:contextualSpacing/>
    </w:pPr>
  </w:style>
  <w:style w:type="paragraph" w:styleId="Listadecontinuao">
    <w:name w:val="List Continue"/>
    <w:basedOn w:val="Normal"/>
    <w:uiPriority w:val="99"/>
    <w:unhideWhenUsed/>
    <w:rsid w:val="0029639D"/>
    <w:pPr>
      <w:spacing w:after="120"/>
      <w:ind w:left="360"/>
      <w:contextualSpacing/>
    </w:pPr>
  </w:style>
  <w:style w:type="paragraph" w:styleId="Listadecontinuao2">
    <w:name w:val="List Continue 2"/>
    <w:basedOn w:val="Normal"/>
    <w:uiPriority w:val="99"/>
    <w:unhideWhenUsed/>
    <w:rsid w:val="0029639D"/>
    <w:pPr>
      <w:spacing w:after="120"/>
      <w:ind w:left="720"/>
      <w:contextualSpacing/>
    </w:pPr>
  </w:style>
  <w:style w:type="paragraph" w:styleId="Listadecontinuao3">
    <w:name w:val="List Continue 3"/>
    <w:basedOn w:val="Normal"/>
    <w:uiPriority w:val="99"/>
    <w:unhideWhenUsed/>
    <w:rsid w:val="0029639D"/>
    <w:pPr>
      <w:spacing w:after="120"/>
      <w:ind w:left="1080"/>
      <w:contextualSpacing/>
    </w:pPr>
  </w:style>
  <w:style w:type="paragraph" w:styleId="Textodemacro">
    <w:name w:val="macro"/>
    <w:link w:val="Textodemacro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demacroChar">
    <w:name w:val="Texto de macro Char"/>
    <w:basedOn w:val="Fontepargpadro"/>
    <w:link w:val="Textodemacro"/>
    <w:uiPriority w:val="99"/>
    <w:rsid w:val="0029639D"/>
    <w:rPr>
      <w:rFonts w:ascii="Courier" w:hAnsi="Courier"/>
      <w:sz w:val="20"/>
      <w:szCs w:val="20"/>
    </w:rPr>
  </w:style>
  <w:style w:type="paragraph" w:styleId="Citao">
    <w:name w:val="Quote"/>
    <w:basedOn w:val="Normal"/>
    <w:next w:val="Normal"/>
    <w:link w:val="CitaoChar"/>
    <w:uiPriority w:val="29"/>
    <w:qFormat/>
    <w:rsid w:val="00FC693F"/>
    <w:rPr>
      <w:i/>
      <w:iCs/>
      <w:color w:val="000000" w:themeColor="text1"/>
    </w:rPr>
  </w:style>
  <w:style w:type="character" w:customStyle="1" w:styleId="CitaoChar">
    <w:name w:val="Citação Char"/>
    <w:basedOn w:val="Fontepargpadro"/>
    <w:link w:val="Citao"/>
    <w:uiPriority w:val="29"/>
    <w:rsid w:val="00FC693F"/>
    <w:rPr>
      <w:i/>
      <w:iCs/>
      <w:color w:val="000000" w:themeColor="text1"/>
    </w:rPr>
  </w:style>
  <w:style w:type="character" w:customStyle="1" w:styleId="Ttulo4Char">
    <w:name w:val="Título 4 Char"/>
    <w:basedOn w:val="Fontepargpadro"/>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har">
    <w:name w:val="Título 9 Char"/>
    <w:basedOn w:val="Fontepargpadro"/>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Legenda">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Forte">
    <w:name w:val="Strong"/>
    <w:basedOn w:val="Fontepargpadro"/>
    <w:uiPriority w:val="22"/>
    <w:qFormat/>
    <w:rsid w:val="00FC693F"/>
    <w:rPr>
      <w:b/>
      <w:bCs/>
    </w:rPr>
  </w:style>
  <w:style w:type="character" w:styleId="nfase">
    <w:name w:val="Emphasis"/>
    <w:basedOn w:val="Fontepargpadro"/>
    <w:uiPriority w:val="20"/>
    <w:qFormat/>
    <w:rsid w:val="00FC693F"/>
    <w:rPr>
      <w:i/>
      <w:iCs/>
    </w:rPr>
  </w:style>
  <w:style w:type="paragraph" w:styleId="CitaoIntensa">
    <w:name w:val="Intense Quote"/>
    <w:basedOn w:val="Normal"/>
    <w:next w:val="Normal"/>
    <w:link w:val="CitaoIntensa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oIntensaChar">
    <w:name w:val="Citação Intensa Char"/>
    <w:basedOn w:val="Fontepargpadro"/>
    <w:link w:val="CitaoIntensa"/>
    <w:uiPriority w:val="30"/>
    <w:rsid w:val="00FC693F"/>
    <w:rPr>
      <w:b/>
      <w:bCs/>
      <w:i/>
      <w:iCs/>
      <w:color w:val="4F81BD" w:themeColor="accent1"/>
    </w:rPr>
  </w:style>
  <w:style w:type="character" w:styleId="nfaseSutil">
    <w:name w:val="Subtle Emphasis"/>
    <w:basedOn w:val="Fontepargpadro"/>
    <w:uiPriority w:val="19"/>
    <w:qFormat/>
    <w:rsid w:val="00FC693F"/>
    <w:rPr>
      <w:i/>
      <w:iCs/>
      <w:color w:val="808080" w:themeColor="text1" w:themeTint="7F"/>
    </w:rPr>
  </w:style>
  <w:style w:type="character" w:styleId="nfaseIntensa">
    <w:name w:val="Intense Emphasis"/>
    <w:basedOn w:val="Fontepargpadro"/>
    <w:uiPriority w:val="21"/>
    <w:qFormat/>
    <w:rsid w:val="00FC693F"/>
    <w:rPr>
      <w:b/>
      <w:bCs/>
      <w:i/>
      <w:iCs/>
      <w:color w:val="4F81BD" w:themeColor="accent1"/>
    </w:rPr>
  </w:style>
  <w:style w:type="character" w:styleId="RefernciaSutil">
    <w:name w:val="Subtle Reference"/>
    <w:basedOn w:val="Fontepargpadro"/>
    <w:uiPriority w:val="31"/>
    <w:qFormat/>
    <w:rsid w:val="00FC693F"/>
    <w:rPr>
      <w:smallCaps/>
      <w:color w:val="C0504D" w:themeColor="accent2"/>
      <w:u w:val="single"/>
    </w:rPr>
  </w:style>
  <w:style w:type="character" w:styleId="RefernciaIntensa">
    <w:name w:val="Intense Reference"/>
    <w:basedOn w:val="Fontepargpadro"/>
    <w:uiPriority w:val="32"/>
    <w:qFormat/>
    <w:rsid w:val="00FC693F"/>
    <w:rPr>
      <w:b/>
      <w:bCs/>
      <w:smallCaps/>
      <w:color w:val="C0504D" w:themeColor="accent2"/>
      <w:spacing w:val="5"/>
      <w:u w:val="single"/>
    </w:rPr>
  </w:style>
  <w:style w:type="character" w:styleId="TtulodoLivro">
    <w:name w:val="Book Title"/>
    <w:basedOn w:val="Fontepargpadro"/>
    <w:uiPriority w:val="33"/>
    <w:qFormat/>
    <w:rsid w:val="00FC693F"/>
    <w:rPr>
      <w:b/>
      <w:bCs/>
      <w:smallCaps/>
      <w:spacing w:val="5"/>
    </w:rPr>
  </w:style>
  <w:style w:type="paragraph" w:styleId="CabealhodoSumrio">
    <w:name w:val="TOC Heading"/>
    <w:basedOn w:val="Ttulo1"/>
    <w:next w:val="Normal"/>
    <w:uiPriority w:val="39"/>
    <w:semiHidden/>
    <w:unhideWhenUsed/>
    <w:qFormat/>
    <w:rsid w:val="00FC693F"/>
    <w:pPr>
      <w:outlineLvl w:val="9"/>
    </w:pPr>
  </w:style>
  <w:style w:type="table" w:styleId="Tabelacomgrade">
    <w:name w:val="Table Grid"/>
    <w:basedOn w:val="Tabe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mentoClaro">
    <w:name w:val="Light Shading"/>
    <w:basedOn w:val="Tabe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mentoClaro-nfase1">
    <w:name w:val="Light Shading Accent 1"/>
    <w:basedOn w:val="Tabe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mentoClaro-nfase2">
    <w:name w:val="Light Shading Accent 2"/>
    <w:basedOn w:val="Tabe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mentoClaro-nfase3">
    <w:name w:val="Light Shading Accent 3"/>
    <w:basedOn w:val="Tabe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nfase4">
    <w:name w:val="Light Shading Accent 4"/>
    <w:basedOn w:val="Tabe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mentoClaro-nfase5">
    <w:name w:val="Light Shading Accent 5"/>
    <w:basedOn w:val="Tabe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mentoClaro-nfase6">
    <w:name w:val="Light Shading Accent 6"/>
    <w:basedOn w:val="Tabe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e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e1">
    <w:name w:val="Light List Accent 1"/>
    <w:basedOn w:val="Tabe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e2">
    <w:name w:val="Light List Accent 2"/>
    <w:basedOn w:val="Tabe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e3">
    <w:name w:val="Light List Accent 3"/>
    <w:basedOn w:val="Tabe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e4">
    <w:name w:val="Light List Accent 4"/>
    <w:basedOn w:val="Tabe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e5">
    <w:name w:val="Light List Accent 5"/>
    <w:basedOn w:val="Tabe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e6">
    <w:name w:val="Light List Accent 6"/>
    <w:basedOn w:val="Tabe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adeClara">
    <w:name w:val="Light Grid"/>
    <w:basedOn w:val="Tabe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adeClara-nfase1">
    <w:name w:val="Light Grid Accent 1"/>
    <w:basedOn w:val="Tabe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adeClara-nfase2">
    <w:name w:val="Light Grid Accent 2"/>
    <w:basedOn w:val="Tabe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adeClara-nfase3">
    <w:name w:val="Light Grid Accent 3"/>
    <w:basedOn w:val="Tabe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adeClara-nfase4">
    <w:name w:val="Light Grid Accent 4"/>
    <w:basedOn w:val="Tabe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adeClara-nfase5">
    <w:name w:val="Light Grid Accent 5"/>
    <w:basedOn w:val="Tabe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adeClara-nfase6">
    <w:name w:val="Light Grid Accent 6"/>
    <w:basedOn w:val="Tabe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mentoMdio1">
    <w:name w:val="Medium Shading 1"/>
    <w:basedOn w:val="Tabe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mentoMdio1-nfase1">
    <w:name w:val="Medium Shading 1 Accent 1"/>
    <w:basedOn w:val="Tabe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mentoMdio1-nfase2">
    <w:name w:val="Medium Shading 1 Accent 2"/>
    <w:basedOn w:val="Tabe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mentoMdio1-nfase3">
    <w:name w:val="Medium Shading 1 Accent 3"/>
    <w:basedOn w:val="Tabe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mentoMdio1-nfase4">
    <w:name w:val="Medium Shading 1 Accent 4"/>
    <w:basedOn w:val="Tabe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mentoMdio1-nfase5">
    <w:name w:val="Medium Shading 1 Accent 5"/>
    <w:basedOn w:val="Tabe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mentoMdio1-nfase6">
    <w:name w:val="Medium Shading 1 Accent 6"/>
    <w:basedOn w:val="Tabe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mentoMdio2">
    <w:name w:val="Medium Shading 2"/>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1">
    <w:name w:val="Medium Shading 2 Accent 1"/>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2">
    <w:name w:val="Medium Shading 2 Accent 2"/>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3">
    <w:name w:val="Medium Shading 2 Accent 3"/>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4">
    <w:name w:val="Medium Shading 2 Accent 4"/>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5">
    <w:name w:val="Medium Shading 2 Accent 5"/>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mentoMdio2-nfase6">
    <w:name w:val="Medium Shading 2 Accent 6"/>
    <w:basedOn w:val="Tabe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dia1">
    <w:name w:val="Medium List 1"/>
    <w:basedOn w:val="Tabe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dia1-nfase1">
    <w:name w:val="Medium List 1 Accent 1"/>
    <w:basedOn w:val="Tabe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dia1-nfase2">
    <w:name w:val="Medium List 1 Accent 2"/>
    <w:basedOn w:val="Tabe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dia1-nfase3">
    <w:name w:val="Medium List 1 Accent 3"/>
    <w:basedOn w:val="Tabe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dia1-nfase4">
    <w:name w:val="Medium List 1 Accent 4"/>
    <w:basedOn w:val="Tabe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dia1-nfase5">
    <w:name w:val="Medium List 1 Accent 5"/>
    <w:basedOn w:val="Tabe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dia1-nfase6">
    <w:name w:val="Medium List 1 Accent 6"/>
    <w:basedOn w:val="Tabe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dia2">
    <w:name w:val="Medium List 2"/>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1">
    <w:name w:val="Medium List 2 Accent 1"/>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2">
    <w:name w:val="Medium List 2 Accent 2"/>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3">
    <w:name w:val="Medium List 2 Accent 3"/>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4">
    <w:name w:val="Medium List 2 Accent 4"/>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5">
    <w:name w:val="Medium List 2 Accent 5"/>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nfase6">
    <w:name w:val="Medium List 2 Accent 6"/>
    <w:basedOn w:val="Tabe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adeMdia1">
    <w:name w:val="Medium Grid 1"/>
    <w:basedOn w:val="Tabe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adeMdia1-nfase1">
    <w:name w:val="Medium Grid 1 Accent 1"/>
    <w:basedOn w:val="Tabe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adeMdia1-nfase2">
    <w:name w:val="Medium Grid 1 Accent 2"/>
    <w:basedOn w:val="Tabe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adeMdia1-nfase3">
    <w:name w:val="Medium Grid 1 Accent 3"/>
    <w:basedOn w:val="Tabe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adeMdia1-nfase4">
    <w:name w:val="Medium Grid 1 Accent 4"/>
    <w:basedOn w:val="Tabe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adeMdia1-nfase5">
    <w:name w:val="Medium Grid 1 Accent 5"/>
    <w:basedOn w:val="Tabe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adeMdia1-nfase6">
    <w:name w:val="Medium Grid 1 Accent 6"/>
    <w:basedOn w:val="Tabe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adeMdia2">
    <w:name w:val="Medium Grid 2"/>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adeMdia2-nfase1">
    <w:name w:val="Medium Grid 2 Accent 1"/>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adeMdia2-nfase2">
    <w:name w:val="Medium Grid 2 Accent 2"/>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adeMdia2-nfase3">
    <w:name w:val="Medium Grid 2 Accent 3"/>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adeMdia2-nfase4">
    <w:name w:val="Medium Grid 2 Accent 4"/>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adeMdia2-nfase5">
    <w:name w:val="Medium Grid 2 Accent 5"/>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adeMdia2-nfase6">
    <w:name w:val="Medium Grid 2 Accent 6"/>
    <w:basedOn w:val="Tabe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adeMdia3">
    <w:name w:val="Medium Grid 3"/>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adeMdia3-nfase1">
    <w:name w:val="Medium Grid 3 Accent 1"/>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adeMdia3-nfase2">
    <w:name w:val="Medium Grid 3 Accent 2"/>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adeMdia3-nfase3">
    <w:name w:val="Medium Grid 3 Accent 3"/>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adeMdia3-nfase4">
    <w:name w:val="Medium Grid 3 Accent 4"/>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adeMdia3-nfase5">
    <w:name w:val="Medium Grid 3 Accent 5"/>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adeMdia3-nfase6">
    <w:name w:val="Medium Grid 3 Accent 6"/>
    <w:basedOn w:val="Tabe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Escura">
    <w:name w:val="Dark List"/>
    <w:basedOn w:val="Tabe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Escura-nfase1">
    <w:name w:val="Dark List Accent 1"/>
    <w:basedOn w:val="Tabe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Escura-nfase2">
    <w:name w:val="Dark List Accent 2"/>
    <w:basedOn w:val="Tabe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Escura-nfase3">
    <w:name w:val="Dark List Accent 3"/>
    <w:basedOn w:val="Tabe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Escura-nfase4">
    <w:name w:val="Dark List Accent 4"/>
    <w:basedOn w:val="Tabe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Escura-nfase5">
    <w:name w:val="Dark List Accent 5"/>
    <w:basedOn w:val="Tabe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Escura-nfase6">
    <w:name w:val="Dark List Accent 6"/>
    <w:basedOn w:val="Tabe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mentoColorido">
    <w:name w:val="Colorful Shading"/>
    <w:basedOn w:val="Tabe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mentoEscuro-nfase1">
    <w:name w:val="Colorful Shading Accent 1"/>
    <w:basedOn w:val="Tabe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mentoColorido-nfase2">
    <w:name w:val="Colorful Shading Accent 2"/>
    <w:basedOn w:val="Tabe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mentoColorido-nfase3">
    <w:name w:val="Colorful Shading Accent 3"/>
    <w:basedOn w:val="Tabe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mentoColorido-nfase4">
    <w:name w:val="Colorful Shading Accent 4"/>
    <w:basedOn w:val="Tabe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mentoColorido-nfase5">
    <w:name w:val="Colorful Shading Accent 5"/>
    <w:basedOn w:val="Tabe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mentoColorido-nfase6">
    <w:name w:val="Colorful Shading Accent 6"/>
    <w:basedOn w:val="Tabe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Colorida">
    <w:name w:val="Colorful List"/>
    <w:basedOn w:val="Tabe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Colorida-nfase1">
    <w:name w:val="Colorful List Accent 1"/>
    <w:basedOn w:val="Tabe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Colorida-nfase2">
    <w:name w:val="Colorful List Accent 2"/>
    <w:basedOn w:val="Tabe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Colorida-nfase3">
    <w:name w:val="Colorful List Accent 3"/>
    <w:basedOn w:val="Tabe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Colorida-nfase4">
    <w:name w:val="Colorful List Accent 4"/>
    <w:basedOn w:val="Tabe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Colorida-nfase5">
    <w:name w:val="Colorful List Accent 5"/>
    <w:basedOn w:val="Tabe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Colorida-nfase6">
    <w:name w:val="Colorful List Accent 6"/>
    <w:basedOn w:val="Tabe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adeColorida">
    <w:name w:val="Colorful Grid"/>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adeColorida-nfase1">
    <w:name w:val="Colorful Grid Accent 1"/>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adeColorida-nfase2">
    <w:name w:val="Colorful Grid Accent 2"/>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adeColorida-nfase3">
    <w:name w:val="Colorful Grid Accent 3"/>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adeColorida-nfase4">
    <w:name w:val="Colorful Grid Accent 4"/>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adeColorida-nfase5">
    <w:name w:val="Colorful Grid Accent 5"/>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adeColorida-nfase6">
    <w:name w:val="Colorful Grid Accent 6"/>
    <w:basedOn w:val="Tabe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Reviso">
    <w:name w:val="Revision"/>
    <w:hidden/>
    <w:uiPriority w:val="99"/>
    <w:semiHidden/>
    <w:rsid w:val="003B46CC"/>
    <w:pPr>
      <w:spacing w:after="0" w:line="240" w:lineRule="auto"/>
    </w:pPr>
  </w:style>
  <w:style w:type="character" w:styleId="Refdecomentrio">
    <w:name w:val="annotation reference"/>
    <w:basedOn w:val="Fontepargpadro"/>
    <w:uiPriority w:val="99"/>
    <w:semiHidden/>
    <w:unhideWhenUsed/>
    <w:rsid w:val="00850ED9"/>
    <w:rPr>
      <w:sz w:val="16"/>
      <w:szCs w:val="16"/>
    </w:rPr>
  </w:style>
  <w:style w:type="paragraph" w:styleId="Textodecomentrio">
    <w:name w:val="annotation text"/>
    <w:basedOn w:val="Normal"/>
    <w:link w:val="TextodecomentrioChar"/>
    <w:uiPriority w:val="99"/>
    <w:unhideWhenUsed/>
    <w:rsid w:val="00850ED9"/>
    <w:pPr>
      <w:spacing w:line="240" w:lineRule="auto"/>
    </w:pPr>
    <w:rPr>
      <w:sz w:val="20"/>
      <w:szCs w:val="20"/>
    </w:rPr>
  </w:style>
  <w:style w:type="character" w:customStyle="1" w:styleId="TextodecomentrioChar">
    <w:name w:val="Texto de comentário Char"/>
    <w:basedOn w:val="Fontepargpadro"/>
    <w:link w:val="Textodecomentrio"/>
    <w:uiPriority w:val="99"/>
    <w:rsid w:val="00850ED9"/>
    <w:rPr>
      <w:sz w:val="20"/>
      <w:szCs w:val="20"/>
    </w:rPr>
  </w:style>
  <w:style w:type="paragraph" w:styleId="Assuntodocomentrio">
    <w:name w:val="annotation subject"/>
    <w:basedOn w:val="Textodecomentrio"/>
    <w:next w:val="Textodecomentrio"/>
    <w:link w:val="AssuntodocomentrioChar"/>
    <w:uiPriority w:val="99"/>
    <w:semiHidden/>
    <w:unhideWhenUsed/>
    <w:rsid w:val="00850ED9"/>
    <w:rPr>
      <w:b/>
      <w:bCs/>
    </w:rPr>
  </w:style>
  <w:style w:type="character" w:customStyle="1" w:styleId="AssuntodocomentrioChar">
    <w:name w:val="Assunto do comentário Char"/>
    <w:basedOn w:val="TextodecomentrioChar"/>
    <w:link w:val="Assuntodocomentrio"/>
    <w:uiPriority w:val="99"/>
    <w:semiHidden/>
    <w:rsid w:val="00850ED9"/>
    <w:rPr>
      <w:b/>
      <w:bCs/>
      <w:sz w:val="20"/>
      <w:szCs w:val="20"/>
    </w:rPr>
  </w:style>
  <w:style w:type="character" w:styleId="Hyperlink">
    <w:name w:val="Hyperlink"/>
    <w:basedOn w:val="Fontepargpadro"/>
    <w:uiPriority w:val="99"/>
    <w:unhideWhenUsed/>
    <w:rsid w:val="006D70F1"/>
    <w:rPr>
      <w:color w:val="0000FF" w:themeColor="hyperlink"/>
      <w:u w:val="single"/>
    </w:rPr>
  </w:style>
  <w:style w:type="character" w:styleId="MenoPendente">
    <w:name w:val="Unresolved Mention"/>
    <w:basedOn w:val="Fontepargpadro"/>
    <w:uiPriority w:val="99"/>
    <w:semiHidden/>
    <w:unhideWhenUsed/>
    <w:rsid w:val="006D70F1"/>
    <w:rPr>
      <w:color w:val="605E5C"/>
      <w:shd w:val="clear" w:color="auto" w:fill="E1DFDD"/>
    </w:rPr>
  </w:style>
  <w:style w:type="paragraph" w:styleId="Textodebalo">
    <w:name w:val="Balloon Text"/>
    <w:basedOn w:val="Normal"/>
    <w:link w:val="TextodebaloChar"/>
    <w:uiPriority w:val="99"/>
    <w:semiHidden/>
    <w:unhideWhenUsed/>
    <w:rsid w:val="00D61E94"/>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61E94"/>
    <w:rPr>
      <w:rFonts w:ascii="Segoe UI" w:hAnsi="Segoe UI" w:cs="Segoe UI"/>
      <w:sz w:val="18"/>
      <w:szCs w:val="18"/>
    </w:rPr>
  </w:style>
  <w:style w:type="character" w:styleId="Meno">
    <w:name w:val="Mention"/>
    <w:basedOn w:val="Fontepargpadro"/>
    <w:uiPriority w:val="99"/>
    <w:unhideWhenUsed/>
    <w:rsid w:val="00BE132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88387">
      <w:bodyDiv w:val="1"/>
      <w:marLeft w:val="0"/>
      <w:marRight w:val="0"/>
      <w:marTop w:val="0"/>
      <w:marBottom w:val="0"/>
      <w:divBdr>
        <w:top w:val="none" w:sz="0" w:space="0" w:color="auto"/>
        <w:left w:val="none" w:sz="0" w:space="0" w:color="auto"/>
        <w:bottom w:val="none" w:sz="0" w:space="0" w:color="auto"/>
        <w:right w:val="none" w:sz="0" w:space="0" w:color="auto"/>
      </w:divBdr>
    </w:div>
    <w:div w:id="252469626">
      <w:bodyDiv w:val="1"/>
      <w:marLeft w:val="0"/>
      <w:marRight w:val="0"/>
      <w:marTop w:val="0"/>
      <w:marBottom w:val="0"/>
      <w:divBdr>
        <w:top w:val="none" w:sz="0" w:space="0" w:color="auto"/>
        <w:left w:val="none" w:sz="0" w:space="0" w:color="auto"/>
        <w:bottom w:val="none" w:sz="0" w:space="0" w:color="auto"/>
        <w:right w:val="none" w:sz="0" w:space="0" w:color="auto"/>
      </w:divBdr>
    </w:div>
    <w:div w:id="442384470">
      <w:bodyDiv w:val="1"/>
      <w:marLeft w:val="0"/>
      <w:marRight w:val="0"/>
      <w:marTop w:val="0"/>
      <w:marBottom w:val="0"/>
      <w:divBdr>
        <w:top w:val="none" w:sz="0" w:space="0" w:color="auto"/>
        <w:left w:val="none" w:sz="0" w:space="0" w:color="auto"/>
        <w:bottom w:val="none" w:sz="0" w:space="0" w:color="auto"/>
        <w:right w:val="none" w:sz="0" w:space="0" w:color="auto"/>
      </w:divBdr>
    </w:div>
    <w:div w:id="797800348">
      <w:bodyDiv w:val="1"/>
      <w:marLeft w:val="0"/>
      <w:marRight w:val="0"/>
      <w:marTop w:val="0"/>
      <w:marBottom w:val="0"/>
      <w:divBdr>
        <w:top w:val="none" w:sz="0" w:space="0" w:color="auto"/>
        <w:left w:val="none" w:sz="0" w:space="0" w:color="auto"/>
        <w:bottom w:val="none" w:sz="0" w:space="0" w:color="auto"/>
        <w:right w:val="none" w:sz="0" w:space="0" w:color="auto"/>
      </w:divBdr>
    </w:div>
    <w:div w:id="1180198557">
      <w:bodyDiv w:val="1"/>
      <w:marLeft w:val="0"/>
      <w:marRight w:val="0"/>
      <w:marTop w:val="0"/>
      <w:marBottom w:val="0"/>
      <w:divBdr>
        <w:top w:val="none" w:sz="0" w:space="0" w:color="auto"/>
        <w:left w:val="none" w:sz="0" w:space="0" w:color="auto"/>
        <w:bottom w:val="none" w:sz="0" w:space="0" w:color="auto"/>
        <w:right w:val="none" w:sz="0" w:space="0" w:color="auto"/>
      </w:divBdr>
    </w:div>
    <w:div w:id="1522553535">
      <w:bodyDiv w:val="1"/>
      <w:marLeft w:val="0"/>
      <w:marRight w:val="0"/>
      <w:marTop w:val="0"/>
      <w:marBottom w:val="0"/>
      <w:divBdr>
        <w:top w:val="none" w:sz="0" w:space="0" w:color="auto"/>
        <w:left w:val="none" w:sz="0" w:space="0" w:color="auto"/>
        <w:bottom w:val="none" w:sz="0" w:space="0" w:color="auto"/>
        <w:right w:val="none" w:sz="0" w:space="0" w:color="auto"/>
      </w:divBdr>
    </w:div>
    <w:div w:id="1530989515">
      <w:bodyDiv w:val="1"/>
      <w:marLeft w:val="0"/>
      <w:marRight w:val="0"/>
      <w:marTop w:val="0"/>
      <w:marBottom w:val="0"/>
      <w:divBdr>
        <w:top w:val="none" w:sz="0" w:space="0" w:color="auto"/>
        <w:left w:val="none" w:sz="0" w:space="0" w:color="auto"/>
        <w:bottom w:val="none" w:sz="0" w:space="0" w:color="auto"/>
        <w:right w:val="none" w:sz="0" w:space="0" w:color="auto"/>
      </w:divBdr>
    </w:div>
    <w:div w:id="1594821040">
      <w:bodyDiv w:val="1"/>
      <w:marLeft w:val="0"/>
      <w:marRight w:val="0"/>
      <w:marTop w:val="0"/>
      <w:marBottom w:val="0"/>
      <w:divBdr>
        <w:top w:val="none" w:sz="0" w:space="0" w:color="auto"/>
        <w:left w:val="none" w:sz="0" w:space="0" w:color="auto"/>
        <w:bottom w:val="none" w:sz="0" w:space="0" w:color="auto"/>
        <w:right w:val="none" w:sz="0" w:space="0" w:color="auto"/>
      </w:divBdr>
    </w:div>
    <w:div w:id="174182899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1E1140-AC8F-41AB-A5B6-9CC05AC27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11069</Words>
  <Characters>59773</Characters>
  <Application>Microsoft Office Word</Application>
  <DocSecurity>0</DocSecurity>
  <Lines>498</Lines>
  <Paragraphs>141</Paragraphs>
  <ScaleCrop>false</ScaleCrop>
  <Manager/>
  <Company/>
  <LinksUpToDate>false</LinksUpToDate>
  <CharactersWithSpaces>70701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
  <cp:lastModifiedBy>Priscila Kelly Carvalho Sabino - PREVICDF</cp:lastModifiedBy>
  <cp:revision>2</cp:revision>
  <dcterms:created xsi:type="dcterms:W3CDTF">2025-09-05T19:10:00Z</dcterms:created>
  <dcterms:modified xsi:type="dcterms:W3CDTF">2025-09-05T19:10:00Z</dcterms:modified>
  <cp:category/>
</cp:coreProperties>
</file>