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01"/>
        <w:gridCol w:w="3942"/>
        <w:gridCol w:w="4409"/>
        <w:gridCol w:w="3842"/>
      </w:tblGrid>
      <w:tr w:rsidR="00CB1B8C" w:rsidRPr="00CB1B8C" w14:paraId="21AB205F" w14:textId="77777777" w:rsidTr="00CB1B8C">
        <w:trPr>
          <w:tblHeader/>
          <w:tblCellSpacing w:w="15" w:type="dxa"/>
        </w:trPr>
        <w:tc>
          <w:tcPr>
            <w:tcW w:w="0" w:type="auto"/>
            <w:vAlign w:val="center"/>
            <w:hideMark/>
          </w:tcPr>
          <w:p w14:paraId="7A5A605D" w14:textId="77777777" w:rsidR="00CB1B8C" w:rsidRPr="00CB1B8C" w:rsidRDefault="00CB1B8C" w:rsidP="00CB1B8C">
            <w:pPr>
              <w:rPr>
                <w:b/>
                <w:bCs/>
              </w:rPr>
            </w:pPr>
            <w:r w:rsidRPr="00CB1B8C">
              <w:rPr>
                <w:b/>
                <w:bCs/>
              </w:rPr>
              <w:t>Artigo/Parágrafo</w:t>
            </w:r>
          </w:p>
        </w:tc>
        <w:tc>
          <w:tcPr>
            <w:tcW w:w="3912" w:type="dxa"/>
            <w:vAlign w:val="center"/>
            <w:hideMark/>
          </w:tcPr>
          <w:p w14:paraId="782FCEDC" w14:textId="59CA8338" w:rsidR="00CB1B8C" w:rsidRPr="00CB1B8C" w:rsidRDefault="00CB1B8C" w:rsidP="00CB1B8C">
            <w:pPr>
              <w:rPr>
                <w:b/>
                <w:bCs/>
              </w:rPr>
            </w:pPr>
            <w:r w:rsidRPr="00CB1B8C">
              <w:rPr>
                <w:b/>
                <w:bCs/>
              </w:rPr>
              <w:t xml:space="preserve">Texto </w:t>
            </w:r>
            <w:r>
              <w:rPr>
                <w:b/>
                <w:bCs/>
              </w:rPr>
              <w:t xml:space="preserve">atual </w:t>
            </w:r>
            <w:r w:rsidRPr="00CB1B8C">
              <w:rPr>
                <w:b/>
                <w:bCs/>
              </w:rPr>
              <w:t>Resolução Previc nº 23/2023</w:t>
            </w:r>
          </w:p>
        </w:tc>
        <w:tc>
          <w:tcPr>
            <w:tcW w:w="4379" w:type="dxa"/>
            <w:vAlign w:val="center"/>
            <w:hideMark/>
          </w:tcPr>
          <w:p w14:paraId="5D1FD085" w14:textId="757B98C3" w:rsidR="00CB1B8C" w:rsidRPr="00CB1B8C" w:rsidRDefault="00CB1B8C" w:rsidP="00CB1B8C">
            <w:pPr>
              <w:rPr>
                <w:b/>
                <w:bCs/>
              </w:rPr>
            </w:pPr>
            <w:r w:rsidRPr="00CB1B8C">
              <w:rPr>
                <w:b/>
                <w:bCs/>
              </w:rPr>
              <w:t xml:space="preserve">Texto </w:t>
            </w:r>
            <w:r>
              <w:rPr>
                <w:b/>
                <w:bCs/>
              </w:rPr>
              <w:t xml:space="preserve">Proposto </w:t>
            </w:r>
            <w:r w:rsidRPr="00CB1B8C">
              <w:rPr>
                <w:b/>
                <w:bCs/>
              </w:rPr>
              <w:t>Resolução Previc nº 2</w:t>
            </w:r>
            <w:r>
              <w:rPr>
                <w:b/>
                <w:bCs/>
              </w:rPr>
              <w:t>3</w:t>
            </w:r>
            <w:r w:rsidRPr="00CB1B8C">
              <w:rPr>
                <w:b/>
                <w:bCs/>
              </w:rPr>
              <w:t>/202</w:t>
            </w:r>
            <w:r>
              <w:rPr>
                <w:b/>
                <w:bCs/>
              </w:rPr>
              <w:t>3</w:t>
            </w:r>
          </w:p>
        </w:tc>
        <w:tc>
          <w:tcPr>
            <w:tcW w:w="0" w:type="auto"/>
            <w:vAlign w:val="center"/>
            <w:hideMark/>
          </w:tcPr>
          <w:p w14:paraId="288F6F3C" w14:textId="77777777" w:rsidR="00CB1B8C" w:rsidRPr="00CB1B8C" w:rsidRDefault="00CB1B8C" w:rsidP="00CB1B8C">
            <w:pPr>
              <w:rPr>
                <w:b/>
                <w:bCs/>
              </w:rPr>
            </w:pPr>
            <w:r w:rsidRPr="00CB1B8C">
              <w:rPr>
                <w:b/>
                <w:bCs/>
              </w:rPr>
              <w:t>Justificativa</w:t>
            </w:r>
          </w:p>
        </w:tc>
      </w:tr>
      <w:tr w:rsidR="007425F0" w:rsidRPr="00CB1B8C" w14:paraId="2BD8DDB3" w14:textId="77777777" w:rsidTr="00CB1B8C">
        <w:trPr>
          <w:tblCellSpacing w:w="15" w:type="dxa"/>
        </w:trPr>
        <w:tc>
          <w:tcPr>
            <w:tcW w:w="0" w:type="auto"/>
            <w:vAlign w:val="center"/>
          </w:tcPr>
          <w:p w14:paraId="0DFB242E" w14:textId="42295CA6" w:rsidR="007425F0" w:rsidRDefault="007425F0" w:rsidP="001F00E1">
            <w:pPr>
              <w:rPr>
                <w:b/>
                <w:bCs/>
              </w:rPr>
            </w:pPr>
            <w:r>
              <w:rPr>
                <w:b/>
                <w:bCs/>
              </w:rPr>
              <w:t>Art. 131</w:t>
            </w:r>
            <w:r w:rsidR="001F00E1">
              <w:rPr>
                <w:b/>
                <w:bCs/>
              </w:rPr>
              <w:t xml:space="preserve">, </w:t>
            </w:r>
            <w:r>
              <w:rPr>
                <w:b/>
                <w:bCs/>
              </w:rPr>
              <w:t>Parágrafo único</w:t>
            </w:r>
            <w:r w:rsidR="001F00E1">
              <w:rPr>
                <w:b/>
                <w:bCs/>
              </w:rPr>
              <w:t>, II</w:t>
            </w:r>
            <w:r>
              <w:rPr>
                <w:b/>
                <w:bCs/>
              </w:rPr>
              <w:t xml:space="preserve"> </w:t>
            </w:r>
          </w:p>
        </w:tc>
        <w:tc>
          <w:tcPr>
            <w:tcW w:w="3912" w:type="dxa"/>
            <w:vAlign w:val="center"/>
          </w:tcPr>
          <w:p w14:paraId="76A7B40D" w14:textId="231C3C1F" w:rsidR="007425F0" w:rsidRDefault="007425F0" w:rsidP="00CB1B8C">
            <w:r w:rsidRPr="007425F0">
              <w:t>a estrutura de governança das entidades de origem e de destino, mediante comparativo que explicite a representação dos patrocinadores e participantes e assistidos vinculados aos planos objeto da transferência de gerenciamento;</w:t>
            </w:r>
          </w:p>
        </w:tc>
        <w:tc>
          <w:tcPr>
            <w:tcW w:w="4379" w:type="dxa"/>
            <w:vAlign w:val="center"/>
          </w:tcPr>
          <w:p w14:paraId="1AB35188" w14:textId="64A1828D" w:rsidR="007425F0" w:rsidRDefault="007425F0" w:rsidP="00CB1B8C">
            <w:r w:rsidRPr="007425F0">
              <w:t>a estrutura de governança das entidades de origem e de destino</w:t>
            </w:r>
            <w:r>
              <w:t xml:space="preserve"> que explicite a eventual representação ou participação</w:t>
            </w:r>
            <w:r w:rsidRPr="007425F0">
              <w:t xml:space="preserve"> dos patrocinadores</w:t>
            </w:r>
            <w:r>
              <w:t xml:space="preserve">, </w:t>
            </w:r>
            <w:r w:rsidRPr="007425F0">
              <w:t>participantes e assistidos</w:t>
            </w:r>
            <w:r>
              <w:t xml:space="preserve"> vinculados </w:t>
            </w:r>
            <w:r w:rsidRPr="007425F0">
              <w:t>aos planos objeto da transferência de gerenciamento;</w:t>
            </w:r>
          </w:p>
        </w:tc>
        <w:tc>
          <w:tcPr>
            <w:tcW w:w="0" w:type="auto"/>
            <w:vAlign w:val="center"/>
          </w:tcPr>
          <w:p w14:paraId="6C4B9D27" w14:textId="11F8990F" w:rsidR="007425F0" w:rsidRDefault="007425F0" w:rsidP="00CB1B8C">
            <w:r>
              <w:t>Proposta de ajuste redacional para maior clareza e segurança para o licenciamento e para harmonia com o §2º do art. 35 da LC nº 109, de 2001.</w:t>
            </w:r>
          </w:p>
        </w:tc>
      </w:tr>
      <w:tr w:rsidR="00862192" w:rsidRPr="00CB1B8C" w14:paraId="0BF6A014" w14:textId="77777777" w:rsidTr="00CB1B8C">
        <w:trPr>
          <w:tblCellSpacing w:w="15" w:type="dxa"/>
        </w:trPr>
        <w:tc>
          <w:tcPr>
            <w:tcW w:w="0" w:type="auto"/>
            <w:vAlign w:val="center"/>
          </w:tcPr>
          <w:p w14:paraId="68737BAA" w14:textId="2D7782E9" w:rsidR="00862192" w:rsidRPr="00CB1B8C" w:rsidRDefault="00862192" w:rsidP="00CB1B8C">
            <w:pPr>
              <w:rPr>
                <w:b/>
                <w:bCs/>
              </w:rPr>
            </w:pPr>
            <w:r>
              <w:rPr>
                <w:b/>
                <w:bCs/>
              </w:rPr>
              <w:t>Art. 135</w:t>
            </w:r>
          </w:p>
        </w:tc>
        <w:tc>
          <w:tcPr>
            <w:tcW w:w="3912" w:type="dxa"/>
            <w:vAlign w:val="center"/>
          </w:tcPr>
          <w:p w14:paraId="315C1FF8" w14:textId="77F8BB81" w:rsidR="00862192" w:rsidRPr="00DA0F76" w:rsidRDefault="00862192" w:rsidP="00CB1B8C">
            <w:r>
              <w:t>Para os fins desta Seção, considera-se as seguintes definições:</w:t>
            </w:r>
          </w:p>
        </w:tc>
        <w:tc>
          <w:tcPr>
            <w:tcW w:w="4379" w:type="dxa"/>
            <w:vAlign w:val="center"/>
          </w:tcPr>
          <w:p w14:paraId="3643468F" w14:textId="13DAC829" w:rsidR="00862192" w:rsidRPr="00DA0F76" w:rsidRDefault="00862192" w:rsidP="00CB1B8C">
            <w:r>
              <w:t>Para os fins desta Subseção, considera-se as seguintes definições:</w:t>
            </w:r>
          </w:p>
        </w:tc>
        <w:tc>
          <w:tcPr>
            <w:tcW w:w="0" w:type="auto"/>
            <w:vAlign w:val="center"/>
          </w:tcPr>
          <w:p w14:paraId="4DF6B124" w14:textId="5A30E072" w:rsidR="00862192" w:rsidRPr="00CF1879" w:rsidRDefault="00862192" w:rsidP="00CB1B8C">
            <w:r>
              <w:t>A proposta visa corrigir a remissão.</w:t>
            </w:r>
          </w:p>
        </w:tc>
      </w:tr>
      <w:tr w:rsidR="00CB1B8C" w:rsidRPr="00CB1B8C" w14:paraId="5B3253B9" w14:textId="77777777" w:rsidTr="00CB1B8C">
        <w:trPr>
          <w:tblCellSpacing w:w="15" w:type="dxa"/>
        </w:trPr>
        <w:tc>
          <w:tcPr>
            <w:tcW w:w="0" w:type="auto"/>
            <w:vAlign w:val="center"/>
            <w:hideMark/>
          </w:tcPr>
          <w:p w14:paraId="3D05B29B" w14:textId="14B8008B" w:rsidR="00CB1B8C" w:rsidRPr="00CB1B8C" w:rsidRDefault="00CB1B8C" w:rsidP="00CB1B8C">
            <w:r w:rsidRPr="00CB1B8C">
              <w:rPr>
                <w:b/>
                <w:bCs/>
              </w:rPr>
              <w:t>Art. 1</w:t>
            </w:r>
            <w:r w:rsidR="00A51157">
              <w:rPr>
                <w:b/>
                <w:bCs/>
              </w:rPr>
              <w:t>42</w:t>
            </w:r>
          </w:p>
        </w:tc>
        <w:tc>
          <w:tcPr>
            <w:tcW w:w="3912" w:type="dxa"/>
            <w:vAlign w:val="center"/>
            <w:hideMark/>
          </w:tcPr>
          <w:p w14:paraId="1EA1B2D6" w14:textId="2B3541DA" w:rsidR="00CB1B8C" w:rsidRPr="00CB1B8C" w:rsidRDefault="00DA0F76" w:rsidP="00CB1B8C">
            <w:r w:rsidRPr="00DA0F76">
              <w:t xml:space="preserve">A EFPC deve encaminhar a documentação comprobatória da finalização da retirada de patrocínio em até noventa dias contados da data de conclusão da retirada. </w:t>
            </w:r>
          </w:p>
        </w:tc>
        <w:tc>
          <w:tcPr>
            <w:tcW w:w="4379" w:type="dxa"/>
            <w:vAlign w:val="center"/>
            <w:hideMark/>
          </w:tcPr>
          <w:p w14:paraId="3C567D01" w14:textId="6BDF180B" w:rsidR="000F66CB" w:rsidRPr="00CB1B8C" w:rsidRDefault="000F66CB" w:rsidP="00CB1B8C">
            <w:r w:rsidRPr="00DA0F76">
              <w:t xml:space="preserve">A EFPC deve encaminhar a documentação comprobatória da finalização da retirada de patrocínio </w:t>
            </w:r>
            <w:r>
              <w:t>ou da r</w:t>
            </w:r>
            <w:r w:rsidRPr="000F66CB">
              <w:t xml:space="preserve">escisão de </w:t>
            </w:r>
            <w:r>
              <w:t>c</w:t>
            </w:r>
            <w:r w:rsidRPr="000F66CB">
              <w:t xml:space="preserve">onvênio de </w:t>
            </w:r>
            <w:r>
              <w:t>a</w:t>
            </w:r>
            <w:r w:rsidRPr="000F66CB">
              <w:t>desão por iniciativa da EFP</w:t>
            </w:r>
            <w:r>
              <w:t xml:space="preserve">C </w:t>
            </w:r>
            <w:r w:rsidRPr="00DA0F76">
              <w:t xml:space="preserve">em até noventa dias contados da data de conclusão da </w:t>
            </w:r>
            <w:r w:rsidR="00C00E91">
              <w:t>operação</w:t>
            </w:r>
            <w:r w:rsidRPr="00DA0F76">
              <w:t xml:space="preserve">. </w:t>
            </w:r>
          </w:p>
        </w:tc>
        <w:tc>
          <w:tcPr>
            <w:tcW w:w="0" w:type="auto"/>
            <w:vAlign w:val="center"/>
            <w:hideMark/>
          </w:tcPr>
          <w:p w14:paraId="5D067138" w14:textId="39477965" w:rsidR="00CB1B8C" w:rsidRPr="00CB1B8C" w:rsidRDefault="002116E8" w:rsidP="00CB1B8C">
            <w:r w:rsidRPr="00CF1879">
              <w:t>A proposta de ajuste no dispositivo</w:t>
            </w:r>
            <w:r w:rsidR="00CB1B8C" w:rsidRPr="00CB1B8C">
              <w:t xml:space="preserve"> busca garantir maior clareza e conformidade legal nos processos de licenciamento</w:t>
            </w:r>
            <w:r w:rsidR="00C93A21">
              <w:t xml:space="preserve"> d</w:t>
            </w:r>
            <w:r w:rsidR="0066762D">
              <w:t xml:space="preserve">a retirada de patrocínio e rescisão </w:t>
            </w:r>
            <w:r w:rsidR="00D91367">
              <w:t xml:space="preserve">de convênio de adesão por iniciativa da EFPC, </w:t>
            </w:r>
            <w:r w:rsidR="00D559B6">
              <w:t>em conformidade com o que dispõe o art. 150 da Resolução</w:t>
            </w:r>
            <w:r w:rsidR="00415E6F">
              <w:t xml:space="preserve"> Previc nº</w:t>
            </w:r>
            <w:r w:rsidR="00D559B6">
              <w:t xml:space="preserve"> 23/2</w:t>
            </w:r>
            <w:r w:rsidR="00415E6F">
              <w:t>02</w:t>
            </w:r>
            <w:r w:rsidR="00D559B6">
              <w:t>3.</w:t>
            </w:r>
            <w:r w:rsidR="00CB1B8C" w:rsidRPr="00CB1B8C">
              <w:t xml:space="preserve"> </w:t>
            </w:r>
          </w:p>
        </w:tc>
      </w:tr>
      <w:tr w:rsidR="00CB1B8C" w:rsidRPr="00CB1B8C" w14:paraId="009DDEDB" w14:textId="77777777" w:rsidTr="004D2683">
        <w:trPr>
          <w:tblCellSpacing w:w="15" w:type="dxa"/>
        </w:trPr>
        <w:tc>
          <w:tcPr>
            <w:tcW w:w="0" w:type="auto"/>
            <w:vAlign w:val="center"/>
            <w:hideMark/>
          </w:tcPr>
          <w:p w14:paraId="34C2CD01" w14:textId="77777777" w:rsidR="00CB1B8C" w:rsidRPr="00CB1B8C" w:rsidRDefault="00CB1B8C" w:rsidP="00CB1B8C">
            <w:r w:rsidRPr="00CB1B8C">
              <w:rPr>
                <w:b/>
                <w:bCs/>
              </w:rPr>
              <w:t>Art. 152, §2º</w:t>
            </w:r>
          </w:p>
        </w:tc>
        <w:tc>
          <w:tcPr>
            <w:tcW w:w="3912" w:type="dxa"/>
            <w:vAlign w:val="center"/>
            <w:hideMark/>
          </w:tcPr>
          <w:p w14:paraId="303F6F50" w14:textId="3454BD9D" w:rsidR="00CB1B8C" w:rsidRPr="00CB1B8C" w:rsidRDefault="00CB1B8C" w:rsidP="00CB1B8C">
            <w:r w:rsidRPr="00CB1B8C">
              <w:t xml:space="preserve">As associações de participantes e assistidos que demonstrem sua representatividade poderão ser legitimadas como interessados no processo, nos termos do art. 9º, incisos II e III, da Lei nº 9.784, de 1999, podendo </w:t>
            </w:r>
            <w:r w:rsidRPr="00CB1B8C">
              <w:lastRenderedPageBreak/>
              <w:t>solicitar sua admissão no processo a qualquer momento na fase de instrução, com direito a formular alegações e apresentar documentos antes da decisão final da Previc.</w:t>
            </w:r>
          </w:p>
        </w:tc>
        <w:tc>
          <w:tcPr>
            <w:tcW w:w="4379" w:type="dxa"/>
            <w:vAlign w:val="center"/>
            <w:hideMark/>
          </w:tcPr>
          <w:p w14:paraId="0C9E22A3" w14:textId="21A631B5" w:rsidR="00CB1B8C" w:rsidRPr="00CB1B8C" w:rsidRDefault="00CB1B8C" w:rsidP="00CB1B8C">
            <w:r w:rsidRPr="00CB1B8C">
              <w:lastRenderedPageBreak/>
              <w:t xml:space="preserve">As associações de participantes e assistidos que demonstrem sua representatividade poderão </w:t>
            </w:r>
            <w:r w:rsidR="00967113">
              <w:t>solicitar admissão</w:t>
            </w:r>
            <w:r w:rsidR="00544C1E">
              <w:t xml:space="preserve"> </w:t>
            </w:r>
            <w:r w:rsidRPr="00CB1B8C">
              <w:t>como interessad</w:t>
            </w:r>
            <w:r w:rsidR="00302941">
              <w:t>a</w:t>
            </w:r>
            <w:r w:rsidRPr="00CB1B8C">
              <w:t>s no</w:t>
            </w:r>
            <w:r w:rsidR="00302941">
              <w:t>s</w:t>
            </w:r>
            <w:r w:rsidRPr="00CB1B8C">
              <w:t xml:space="preserve"> processo</w:t>
            </w:r>
            <w:r w:rsidR="00302941">
              <w:t>s</w:t>
            </w:r>
            <w:r w:rsidRPr="00CB1B8C">
              <w:t xml:space="preserve">, podendo </w:t>
            </w:r>
            <w:r w:rsidR="003B0DE8" w:rsidRPr="00CB1B8C">
              <w:t>formular alegações e apresentar documentos</w:t>
            </w:r>
            <w:r w:rsidRPr="00CB1B8C">
              <w:t xml:space="preserve"> </w:t>
            </w:r>
            <w:r w:rsidR="003B0DE8" w:rsidRPr="003B0DE8">
              <w:t xml:space="preserve">na fase instrutória e antes da tomada da </w:t>
            </w:r>
            <w:r w:rsidR="003B0DE8" w:rsidRPr="003B0DE8">
              <w:lastRenderedPageBreak/>
              <w:t>decisão</w:t>
            </w:r>
            <w:r w:rsidRPr="00CB1B8C">
              <w:t xml:space="preserve">, </w:t>
            </w:r>
            <w:r w:rsidR="00E7695A" w:rsidRPr="00CB1B8C">
              <w:t>nos termos do art. 9º, incisos II e III</w:t>
            </w:r>
            <w:r w:rsidR="00B104EE">
              <w:t>;</w:t>
            </w:r>
            <w:r w:rsidR="00E7695A" w:rsidRPr="00CB1B8C">
              <w:t xml:space="preserve"> </w:t>
            </w:r>
            <w:r w:rsidR="00E7695A">
              <w:t>e art. 4</w:t>
            </w:r>
            <w:r w:rsidR="00681B2F">
              <w:t>4</w:t>
            </w:r>
            <w:r w:rsidR="00E7695A">
              <w:t xml:space="preserve"> </w:t>
            </w:r>
            <w:r w:rsidR="00E7695A" w:rsidRPr="00CB1B8C">
              <w:t>da Lei nº 9.784, de 1999</w:t>
            </w:r>
            <w:r w:rsidR="00B104EE">
              <w:t>.</w:t>
            </w:r>
          </w:p>
        </w:tc>
        <w:tc>
          <w:tcPr>
            <w:tcW w:w="0" w:type="auto"/>
            <w:shd w:val="clear" w:color="auto" w:fill="auto"/>
            <w:vAlign w:val="center"/>
            <w:hideMark/>
          </w:tcPr>
          <w:p w14:paraId="29A38123" w14:textId="132BF3B2" w:rsidR="00CB1B8C" w:rsidRPr="00CB1B8C" w:rsidRDefault="00CB1B8C" w:rsidP="00CB1B8C">
            <w:r w:rsidRPr="00CB1B8C">
              <w:lastRenderedPageBreak/>
              <w:t xml:space="preserve">A </w:t>
            </w:r>
            <w:r w:rsidR="002116E8" w:rsidRPr="00C401EE">
              <w:t xml:space="preserve">proposta de alteração </w:t>
            </w:r>
            <w:r w:rsidRPr="00CB1B8C">
              <w:t>do texto</w:t>
            </w:r>
            <w:r w:rsidR="002116E8" w:rsidRPr="00C401EE">
              <w:t xml:space="preserve"> busca</w:t>
            </w:r>
            <w:r w:rsidRPr="00CB1B8C">
              <w:t xml:space="preserve"> reflet</w:t>
            </w:r>
            <w:r w:rsidR="00D1220B">
              <w:t>ir</w:t>
            </w:r>
            <w:r w:rsidRPr="00CB1B8C">
              <w:t xml:space="preserve"> a continuidade da política de garantia de participação de associações representativas no processo de licenciamento, assegurando transparência e </w:t>
            </w:r>
            <w:r w:rsidRPr="00CB1B8C">
              <w:lastRenderedPageBreak/>
              <w:t>conformidade com</w:t>
            </w:r>
            <w:r w:rsidR="00E867C7">
              <w:t xml:space="preserve"> o disposto no</w:t>
            </w:r>
            <w:r w:rsidR="00F6597A">
              <w:t>s</w:t>
            </w:r>
            <w:r w:rsidR="00E867C7">
              <w:t xml:space="preserve"> a</w:t>
            </w:r>
            <w:r w:rsidR="00891305">
              <w:t>rt</w:t>
            </w:r>
            <w:r w:rsidR="00F6597A">
              <w:t>igos</w:t>
            </w:r>
            <w:r w:rsidR="00891305">
              <w:t xml:space="preserve"> 38</w:t>
            </w:r>
            <w:r w:rsidR="00F6597A">
              <w:t xml:space="preserve"> e 4</w:t>
            </w:r>
            <w:r w:rsidR="00B104EE">
              <w:t>4</w:t>
            </w:r>
            <w:r w:rsidR="00891305">
              <w:t xml:space="preserve"> d</w:t>
            </w:r>
            <w:r w:rsidRPr="00CB1B8C">
              <w:t>a Lei nº 9.784/1999, que regula o processo administrativo.</w:t>
            </w:r>
          </w:p>
        </w:tc>
      </w:tr>
      <w:tr w:rsidR="00CB1B8C" w:rsidRPr="00CB1B8C" w14:paraId="1B7CAA17" w14:textId="77777777" w:rsidTr="00CB1B8C">
        <w:trPr>
          <w:tblCellSpacing w:w="15" w:type="dxa"/>
        </w:trPr>
        <w:tc>
          <w:tcPr>
            <w:tcW w:w="0" w:type="auto"/>
            <w:vAlign w:val="center"/>
            <w:hideMark/>
          </w:tcPr>
          <w:p w14:paraId="437B2172" w14:textId="77777777" w:rsidR="00CB1B8C" w:rsidRPr="00CB1B8C" w:rsidRDefault="00CB1B8C" w:rsidP="00CB1B8C">
            <w:r w:rsidRPr="00CB1B8C">
              <w:rPr>
                <w:b/>
                <w:bCs/>
              </w:rPr>
              <w:lastRenderedPageBreak/>
              <w:t>Art. 158</w:t>
            </w:r>
          </w:p>
        </w:tc>
        <w:tc>
          <w:tcPr>
            <w:tcW w:w="3912" w:type="dxa"/>
            <w:vAlign w:val="center"/>
            <w:hideMark/>
          </w:tcPr>
          <w:p w14:paraId="65BEDA7F" w14:textId="22C7BFB2" w:rsidR="00CB1B8C" w:rsidRPr="00CB1B8C" w:rsidRDefault="00CB1B8C" w:rsidP="00CB1B8C">
            <w:r w:rsidRPr="00CB1B8C">
              <w:t xml:space="preserve"> A EFPC deve encaminhar a documentação comprobatória da finalização das operações previstas nos incisos VII a XII do art. 151 em até noventa dias contados da data efetiva.</w:t>
            </w:r>
          </w:p>
        </w:tc>
        <w:tc>
          <w:tcPr>
            <w:tcW w:w="4379" w:type="dxa"/>
            <w:vAlign w:val="center"/>
            <w:hideMark/>
          </w:tcPr>
          <w:p w14:paraId="65D11566" w14:textId="08F639DD" w:rsidR="00CB1B8C" w:rsidRPr="00CB1B8C" w:rsidRDefault="002116E8" w:rsidP="00CB1B8C">
            <w:r>
              <w:rPr>
                <w:b/>
                <w:bCs/>
              </w:rPr>
              <w:t>Excluir</w:t>
            </w:r>
          </w:p>
        </w:tc>
        <w:tc>
          <w:tcPr>
            <w:tcW w:w="0" w:type="auto"/>
            <w:vAlign w:val="center"/>
            <w:hideMark/>
          </w:tcPr>
          <w:p w14:paraId="212ECD0A" w14:textId="79FFB4D7" w:rsidR="00CB1B8C" w:rsidRPr="00CB1B8C" w:rsidRDefault="002116E8" w:rsidP="006D4537">
            <w:r>
              <w:t>A proposta de exclusão</w:t>
            </w:r>
            <w:r w:rsidR="00495B1A">
              <w:t xml:space="preserve"> se justifica pela</w:t>
            </w:r>
            <w:r w:rsidR="009C3418">
              <w:t xml:space="preserve"> redundância </w:t>
            </w:r>
            <w:r w:rsidR="00A8132D">
              <w:t xml:space="preserve">em relação ao texto </w:t>
            </w:r>
            <w:r w:rsidR="00277BB7">
              <w:t>do</w:t>
            </w:r>
            <w:r w:rsidR="00A8132D">
              <w:t xml:space="preserve"> </w:t>
            </w:r>
            <w:r w:rsidR="004F39EF">
              <w:t>art. 142</w:t>
            </w:r>
            <w:r w:rsidR="00A8132D">
              <w:t xml:space="preserve"> </w:t>
            </w:r>
            <w:r w:rsidR="006D4537">
              <w:t>c/c</w:t>
            </w:r>
            <w:r w:rsidR="00341870">
              <w:t xml:space="preserve"> </w:t>
            </w:r>
            <w:r w:rsidR="006D4537">
              <w:t xml:space="preserve">150-A </w:t>
            </w:r>
            <w:r w:rsidR="00341870">
              <w:t xml:space="preserve">desta Resolução </w:t>
            </w:r>
            <w:r w:rsidR="00A8132D">
              <w:t xml:space="preserve">que já </w:t>
            </w:r>
            <w:r w:rsidR="004F39EF">
              <w:t>tratam da documenta</w:t>
            </w:r>
            <w:r w:rsidR="00C86EAE">
              <w:t>ção para finalização das operações de competência da CGOE/DILIC</w:t>
            </w:r>
          </w:p>
        </w:tc>
      </w:tr>
      <w:tr w:rsidR="00862192" w:rsidRPr="00CB1B8C" w14:paraId="2E6FBC2F" w14:textId="77777777" w:rsidTr="00CB1B8C">
        <w:trPr>
          <w:tblCellSpacing w:w="15" w:type="dxa"/>
        </w:trPr>
        <w:tc>
          <w:tcPr>
            <w:tcW w:w="0" w:type="auto"/>
            <w:vAlign w:val="center"/>
          </w:tcPr>
          <w:p w14:paraId="014535A6" w14:textId="41201DB4" w:rsidR="00862192" w:rsidRPr="00CB1B8C" w:rsidRDefault="00862192" w:rsidP="00CB1B8C">
            <w:pPr>
              <w:rPr>
                <w:b/>
                <w:bCs/>
              </w:rPr>
            </w:pPr>
            <w:r w:rsidRPr="00CB1B8C">
              <w:rPr>
                <w:b/>
                <w:bCs/>
              </w:rPr>
              <w:t>Art. 176</w:t>
            </w:r>
          </w:p>
        </w:tc>
        <w:tc>
          <w:tcPr>
            <w:tcW w:w="3912" w:type="dxa"/>
            <w:vAlign w:val="center"/>
          </w:tcPr>
          <w:p w14:paraId="5727CFE9" w14:textId="7C426B72" w:rsidR="00862192" w:rsidRPr="00CB1B8C" w:rsidRDefault="00862192" w:rsidP="00CB1B8C">
            <w:r w:rsidRPr="00862192">
              <w:t>Art. 176. Nas operações de Cisão, Migração, Fusão ou Incorporação os regulamentos dos planos envolvidos nas referidas operações não devem dispor sobre os critérios estabelecidos respectivamente nos Termos de Cisão, Termo de Migração, Termo de Fusão e Termo de Incorporação.</w:t>
            </w:r>
          </w:p>
        </w:tc>
        <w:tc>
          <w:tcPr>
            <w:tcW w:w="4379" w:type="dxa"/>
            <w:vAlign w:val="center"/>
          </w:tcPr>
          <w:p w14:paraId="2D60023C" w14:textId="4B2ED8F8" w:rsidR="00862192" w:rsidRPr="00862192" w:rsidRDefault="00862192" w:rsidP="00CB1B8C">
            <w:r w:rsidRPr="00862192">
              <w:t xml:space="preserve">Art. 176. Nas operações de </w:t>
            </w:r>
            <w:r w:rsidRPr="00862192">
              <w:t xml:space="preserve">Transferência de Gerenciamento, </w:t>
            </w:r>
            <w:r w:rsidRPr="00862192">
              <w:t xml:space="preserve">Cisão, Migração, Fusão ou Incorporação os regulamentos dos planos envolvidos nas referidas operações não devem dispor sobre os critérios estabelecidos respectivamente nos Termos </w:t>
            </w:r>
            <w:r>
              <w:t xml:space="preserve">de Transferência de Gerenciamento, Termo </w:t>
            </w:r>
            <w:r w:rsidRPr="00862192">
              <w:t>de Cisão, Termo de Migração, Termo de Fusão e Termo de Incorporação.</w:t>
            </w:r>
          </w:p>
        </w:tc>
        <w:tc>
          <w:tcPr>
            <w:tcW w:w="0" w:type="auto"/>
            <w:vAlign w:val="center"/>
          </w:tcPr>
          <w:p w14:paraId="57428832" w14:textId="14700C0C" w:rsidR="00862192" w:rsidRDefault="00DF7133" w:rsidP="006D4537">
            <w:r>
              <w:t>A</w:t>
            </w:r>
            <w:r w:rsidR="00862192">
              <w:t xml:space="preserve"> proposta da inclusão visa</w:t>
            </w:r>
            <w:r w:rsidR="00862192">
              <w:t xml:space="preserve"> uma otimização </w:t>
            </w:r>
            <w:r w:rsidR="00862192" w:rsidRPr="00F62383">
              <w:t>na</w:t>
            </w:r>
            <w:r w:rsidR="00862192">
              <w:t>s orientações</w:t>
            </w:r>
            <w:r w:rsidR="00862192" w:rsidRPr="00F62383">
              <w:t xml:space="preserve"> </w:t>
            </w:r>
            <w:r w:rsidR="00862192">
              <w:t xml:space="preserve">para </w:t>
            </w:r>
            <w:r w:rsidR="00862192" w:rsidRPr="00F62383">
              <w:t>instrução dos requerimentos e à segurança na análise das informações, dos documentos e do atendimento às condições legais e técnicas</w:t>
            </w:r>
            <w:r w:rsidR="00862192">
              <w:t xml:space="preserve"> </w:t>
            </w:r>
          </w:p>
        </w:tc>
      </w:tr>
      <w:tr w:rsidR="00CB1B8C" w:rsidRPr="00CB1B8C" w14:paraId="526ACC74" w14:textId="77777777" w:rsidTr="00CB1B8C">
        <w:trPr>
          <w:tblCellSpacing w:w="15" w:type="dxa"/>
        </w:trPr>
        <w:tc>
          <w:tcPr>
            <w:tcW w:w="0" w:type="auto"/>
            <w:vAlign w:val="center"/>
            <w:hideMark/>
          </w:tcPr>
          <w:p w14:paraId="1895E357" w14:textId="4A6A27F2" w:rsidR="00CB1B8C" w:rsidRPr="00CB1B8C" w:rsidRDefault="00CB1B8C" w:rsidP="00CB1B8C">
            <w:r w:rsidRPr="00CB1B8C">
              <w:rPr>
                <w:b/>
                <w:bCs/>
              </w:rPr>
              <w:t>Art. 176</w:t>
            </w:r>
            <w:r w:rsidR="0047511A">
              <w:rPr>
                <w:b/>
                <w:bCs/>
              </w:rPr>
              <w:t>-A</w:t>
            </w:r>
          </w:p>
        </w:tc>
        <w:tc>
          <w:tcPr>
            <w:tcW w:w="3912" w:type="dxa"/>
            <w:vAlign w:val="center"/>
            <w:hideMark/>
          </w:tcPr>
          <w:p w14:paraId="493F2FCF" w14:textId="7A82FA03" w:rsidR="00CB1B8C" w:rsidRPr="00CB1B8C" w:rsidRDefault="0047511A" w:rsidP="00CB1B8C">
            <w:r>
              <w:rPr>
                <w:b/>
                <w:bCs/>
              </w:rPr>
              <w:t>inexistente</w:t>
            </w:r>
          </w:p>
        </w:tc>
        <w:tc>
          <w:tcPr>
            <w:tcW w:w="4379" w:type="dxa"/>
            <w:vAlign w:val="center"/>
            <w:hideMark/>
          </w:tcPr>
          <w:p w14:paraId="0A3F8193" w14:textId="39B4CF38" w:rsidR="00CB1B8C" w:rsidRDefault="005E0E96" w:rsidP="00CB1B8C">
            <w:r w:rsidRPr="005E0E96">
              <w:t>Para os fins desta S</w:t>
            </w:r>
            <w:r w:rsidR="00A90B2C">
              <w:t>ubs</w:t>
            </w:r>
            <w:r w:rsidRPr="005E0E96">
              <w:t>eção, considera-se as seguintes definições</w:t>
            </w:r>
            <w:r>
              <w:t>:</w:t>
            </w:r>
          </w:p>
          <w:p w14:paraId="4FBF8080" w14:textId="77777777" w:rsidR="000A26A6" w:rsidRDefault="000A26A6" w:rsidP="00CB1B8C">
            <w:r w:rsidRPr="000A26A6">
              <w:lastRenderedPageBreak/>
              <w:t>a) data-base: o dia trinta e um de dezembro do exercício imediatamente anterior ao da data do protocolo do requerimento de licenciamento na Previc ou a data de referência da úl</w:t>
            </w:r>
            <w:r>
              <w:t>ti</w:t>
            </w:r>
            <w:r w:rsidRPr="000A26A6">
              <w:t xml:space="preserve">ma demonstração atuarial dos planos envolvidos na operação, o que for mais recente, em que devem ser posicionados os cálculos referenciais que servirão para a instrução do requerimento; </w:t>
            </w:r>
          </w:p>
          <w:p w14:paraId="38746480" w14:textId="71F3A3EB" w:rsidR="000A26A6" w:rsidRDefault="000A26A6" w:rsidP="00CB1B8C">
            <w:r w:rsidRPr="000A26A6">
              <w:t>b) data de autorização: aquela em que for publicado</w:t>
            </w:r>
            <w:r w:rsidR="00422E09">
              <w:t xml:space="preserve"> </w:t>
            </w:r>
            <w:r w:rsidRPr="000A26A6">
              <w:t>o ato de aprovação da Previc</w:t>
            </w:r>
            <w:r w:rsidR="00BC20CA">
              <w:t xml:space="preserve"> </w:t>
            </w:r>
            <w:r w:rsidR="00BC20CA" w:rsidRPr="000A26A6">
              <w:t xml:space="preserve">no Diário Oficial da União (DOU), </w:t>
            </w:r>
            <w:r w:rsidRPr="000A26A6">
              <w:t xml:space="preserve">referente à operação pretendida; </w:t>
            </w:r>
          </w:p>
          <w:p w14:paraId="0B099C87" w14:textId="77777777" w:rsidR="000A26A6" w:rsidRDefault="000A26A6" w:rsidP="00CB1B8C">
            <w:r w:rsidRPr="000A26A6">
              <w:t>c) data do cálculo: aquela correspondente ao úl</w:t>
            </w:r>
            <w:r>
              <w:t>ti</w:t>
            </w:r>
            <w:r w:rsidRPr="000A26A6">
              <w:t xml:space="preserve">mo dia do mês em que ocorrer a data de autorização, momento em que os cálculos devem ser posicionados para a finalização da operação; </w:t>
            </w:r>
          </w:p>
          <w:p w14:paraId="03758BB6" w14:textId="5BE57276" w:rsidR="000A26A6" w:rsidRDefault="000A26A6" w:rsidP="00CB1B8C">
            <w:r w:rsidRPr="000A26A6">
              <w:t xml:space="preserve">d) data-efetiva: aquela, posterior à data de autorização, </w:t>
            </w:r>
            <w:r w:rsidR="001F00E1">
              <w:t xml:space="preserve">acordada formalmente entre as partes, </w:t>
            </w:r>
            <w:r w:rsidRPr="000A26A6">
              <w:t xml:space="preserve">até a qual deve ocorrer a finalização da operação; </w:t>
            </w:r>
          </w:p>
          <w:p w14:paraId="1CA1E438" w14:textId="77777777" w:rsidR="000A26A6" w:rsidRDefault="000A26A6" w:rsidP="00CB1B8C">
            <w:r w:rsidRPr="000A26A6">
              <w:lastRenderedPageBreak/>
              <w:t>e) termo da operação: instrumento contratual firmado entre as partes envolvidas na operação pretendida, no qual são pactuadas as condições, os critérios e as</w:t>
            </w:r>
            <w:r>
              <w:t xml:space="preserve"> </w:t>
            </w:r>
            <w:r w:rsidRPr="000A26A6">
              <w:t xml:space="preserve">metodologias aplicáveis ao requerimento; e </w:t>
            </w:r>
          </w:p>
          <w:p w14:paraId="181A02AD" w14:textId="68BF7D26" w:rsidR="000A26A6" w:rsidRPr="00CB1B8C" w:rsidRDefault="000A26A6" w:rsidP="00CB1B8C">
            <w:r w:rsidRPr="000A26A6">
              <w:t>f) relatório da operação: documento, posicionado na data-base, que apresenta as informações e os valores relacionados com a operação pretendida, resultantes da aplicação das condições, dos critérios e das metodologias definidas no termo da operação, observado o formato “xlsx”, conforme modelo disponível no sí</w:t>
            </w:r>
            <w:r w:rsidR="00A8547C">
              <w:t>ti</w:t>
            </w:r>
            <w:r w:rsidRPr="000A26A6">
              <w:t>o eletrônico da Previc na internet.</w:t>
            </w:r>
          </w:p>
        </w:tc>
        <w:tc>
          <w:tcPr>
            <w:tcW w:w="0" w:type="auto"/>
            <w:vAlign w:val="center"/>
            <w:hideMark/>
          </w:tcPr>
          <w:p w14:paraId="38E55E98" w14:textId="0DA1A1C2" w:rsidR="00CB1B8C" w:rsidRPr="00CB1B8C" w:rsidRDefault="005C23A8" w:rsidP="00CB1B8C">
            <w:r>
              <w:lastRenderedPageBreak/>
              <w:t xml:space="preserve">A proposta de </w:t>
            </w:r>
            <w:r w:rsidR="0003031A">
              <w:t>inclusão</w:t>
            </w:r>
            <w:r>
              <w:t xml:space="preserve"> visa </w:t>
            </w:r>
            <w:r w:rsidR="006B6B0E">
              <w:t xml:space="preserve">uma otimização </w:t>
            </w:r>
            <w:r w:rsidR="00F62383" w:rsidRPr="00F62383">
              <w:t>na</w:t>
            </w:r>
            <w:r w:rsidR="000C00D6">
              <w:t>s orientações</w:t>
            </w:r>
            <w:r w:rsidR="00F62383" w:rsidRPr="00F62383">
              <w:t xml:space="preserve"> </w:t>
            </w:r>
            <w:r w:rsidR="00A863BA">
              <w:t xml:space="preserve">para </w:t>
            </w:r>
            <w:r w:rsidR="00F62383" w:rsidRPr="00F62383">
              <w:t xml:space="preserve">instrução dos requerimentos e à </w:t>
            </w:r>
            <w:r w:rsidR="00F62383" w:rsidRPr="00F62383">
              <w:lastRenderedPageBreak/>
              <w:t>segurança na análise das informações, dos documentos e do atendimento às condições legais e técnicas estabelecidas para os tipos de requerimentos</w:t>
            </w:r>
            <w:r w:rsidR="00F62383">
              <w:t>, retirando da Nota Técnica DILIC 1026 e inserid</w:t>
            </w:r>
            <w:r w:rsidR="00627114">
              <w:t xml:space="preserve">o os conceitos na Resolução, </w:t>
            </w:r>
            <w:r w:rsidR="00742A16">
              <w:t xml:space="preserve">atribuindo maior </w:t>
            </w:r>
            <w:r w:rsidR="001E1093">
              <w:t>segurança e</w:t>
            </w:r>
            <w:r w:rsidR="00627114">
              <w:t xml:space="preserve"> relevância normativa</w:t>
            </w:r>
          </w:p>
        </w:tc>
      </w:tr>
    </w:tbl>
    <w:p w14:paraId="096D797C" w14:textId="77777777" w:rsidR="00386FFB" w:rsidRDefault="00386FFB"/>
    <w:sectPr w:rsidR="00386FFB" w:rsidSect="00CB1B8C">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B8C"/>
    <w:rsid w:val="0003031A"/>
    <w:rsid w:val="000A26A6"/>
    <w:rsid w:val="000A3A27"/>
    <w:rsid w:val="000C00D6"/>
    <w:rsid w:val="000D23E3"/>
    <w:rsid w:val="000F1BC8"/>
    <w:rsid w:val="000F66CB"/>
    <w:rsid w:val="001376B7"/>
    <w:rsid w:val="00172E13"/>
    <w:rsid w:val="001D0237"/>
    <w:rsid w:val="001E1093"/>
    <w:rsid w:val="001F00E1"/>
    <w:rsid w:val="002116E8"/>
    <w:rsid w:val="00276837"/>
    <w:rsid w:val="00277BB7"/>
    <w:rsid w:val="00302941"/>
    <w:rsid w:val="00326F00"/>
    <w:rsid w:val="00341870"/>
    <w:rsid w:val="00343730"/>
    <w:rsid w:val="00386FFB"/>
    <w:rsid w:val="00397BB1"/>
    <w:rsid w:val="003B0DE8"/>
    <w:rsid w:val="00415E6F"/>
    <w:rsid w:val="00422E09"/>
    <w:rsid w:val="0047511A"/>
    <w:rsid w:val="00495B1A"/>
    <w:rsid w:val="004D2683"/>
    <w:rsid w:val="004F39EF"/>
    <w:rsid w:val="00544C1E"/>
    <w:rsid w:val="005C23A8"/>
    <w:rsid w:val="005E0E96"/>
    <w:rsid w:val="006148C0"/>
    <w:rsid w:val="00627114"/>
    <w:rsid w:val="0066762D"/>
    <w:rsid w:val="00681B2F"/>
    <w:rsid w:val="006B6B0E"/>
    <w:rsid w:val="006D4537"/>
    <w:rsid w:val="007425F0"/>
    <w:rsid w:val="00742A16"/>
    <w:rsid w:val="00797BE2"/>
    <w:rsid w:val="007C3C66"/>
    <w:rsid w:val="00862192"/>
    <w:rsid w:val="00891305"/>
    <w:rsid w:val="00967113"/>
    <w:rsid w:val="009C3418"/>
    <w:rsid w:val="00A51157"/>
    <w:rsid w:val="00A8132D"/>
    <w:rsid w:val="00A8547C"/>
    <w:rsid w:val="00A863BA"/>
    <w:rsid w:val="00A90B2C"/>
    <w:rsid w:val="00B104EE"/>
    <w:rsid w:val="00B72603"/>
    <w:rsid w:val="00BC20CA"/>
    <w:rsid w:val="00C00E91"/>
    <w:rsid w:val="00C401EE"/>
    <w:rsid w:val="00C86EAE"/>
    <w:rsid w:val="00C93A21"/>
    <w:rsid w:val="00CB1B8C"/>
    <w:rsid w:val="00CF1879"/>
    <w:rsid w:val="00D1220B"/>
    <w:rsid w:val="00D44ECE"/>
    <w:rsid w:val="00D559B6"/>
    <w:rsid w:val="00D66153"/>
    <w:rsid w:val="00D91367"/>
    <w:rsid w:val="00DA0F76"/>
    <w:rsid w:val="00DC1DD1"/>
    <w:rsid w:val="00DF7133"/>
    <w:rsid w:val="00E2023A"/>
    <w:rsid w:val="00E373ED"/>
    <w:rsid w:val="00E7695A"/>
    <w:rsid w:val="00E867C7"/>
    <w:rsid w:val="00F62383"/>
    <w:rsid w:val="00F6597A"/>
    <w:rsid w:val="00F7458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31B39"/>
  <w15:chartTrackingRefBased/>
  <w15:docId w15:val="{E7B16621-15BF-475A-B37D-A0483079E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CB1B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CB1B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CB1B8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CB1B8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CB1B8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CB1B8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CB1B8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CB1B8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CB1B8C"/>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CB1B8C"/>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CB1B8C"/>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CB1B8C"/>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CB1B8C"/>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CB1B8C"/>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CB1B8C"/>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CB1B8C"/>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CB1B8C"/>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CB1B8C"/>
    <w:rPr>
      <w:rFonts w:eastAsiaTheme="majorEastAsia" w:cstheme="majorBidi"/>
      <w:color w:val="272727" w:themeColor="text1" w:themeTint="D8"/>
    </w:rPr>
  </w:style>
  <w:style w:type="paragraph" w:styleId="Ttulo">
    <w:name w:val="Title"/>
    <w:basedOn w:val="Normal"/>
    <w:next w:val="Normal"/>
    <w:link w:val="TtuloChar"/>
    <w:uiPriority w:val="10"/>
    <w:qFormat/>
    <w:rsid w:val="00CB1B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CB1B8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CB1B8C"/>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CB1B8C"/>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CB1B8C"/>
    <w:pPr>
      <w:spacing w:before="160"/>
      <w:jc w:val="center"/>
    </w:pPr>
    <w:rPr>
      <w:i/>
      <w:iCs/>
      <w:color w:val="404040" w:themeColor="text1" w:themeTint="BF"/>
    </w:rPr>
  </w:style>
  <w:style w:type="character" w:customStyle="1" w:styleId="CitaoChar">
    <w:name w:val="Citação Char"/>
    <w:basedOn w:val="Fontepargpadro"/>
    <w:link w:val="Citao"/>
    <w:uiPriority w:val="29"/>
    <w:rsid w:val="00CB1B8C"/>
    <w:rPr>
      <w:i/>
      <w:iCs/>
      <w:color w:val="404040" w:themeColor="text1" w:themeTint="BF"/>
    </w:rPr>
  </w:style>
  <w:style w:type="paragraph" w:styleId="PargrafodaLista">
    <w:name w:val="List Paragraph"/>
    <w:basedOn w:val="Normal"/>
    <w:uiPriority w:val="34"/>
    <w:qFormat/>
    <w:rsid w:val="00CB1B8C"/>
    <w:pPr>
      <w:ind w:left="720"/>
      <w:contextualSpacing/>
    </w:pPr>
  </w:style>
  <w:style w:type="character" w:styleId="nfaseIntensa">
    <w:name w:val="Intense Emphasis"/>
    <w:basedOn w:val="Fontepargpadro"/>
    <w:uiPriority w:val="21"/>
    <w:qFormat/>
    <w:rsid w:val="00CB1B8C"/>
    <w:rPr>
      <w:i/>
      <w:iCs/>
      <w:color w:val="0F4761" w:themeColor="accent1" w:themeShade="BF"/>
    </w:rPr>
  </w:style>
  <w:style w:type="paragraph" w:styleId="CitaoIntensa">
    <w:name w:val="Intense Quote"/>
    <w:basedOn w:val="Normal"/>
    <w:next w:val="Normal"/>
    <w:link w:val="CitaoIntensaChar"/>
    <w:uiPriority w:val="30"/>
    <w:qFormat/>
    <w:rsid w:val="00CB1B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CB1B8C"/>
    <w:rPr>
      <w:i/>
      <w:iCs/>
      <w:color w:val="0F4761" w:themeColor="accent1" w:themeShade="BF"/>
    </w:rPr>
  </w:style>
  <w:style w:type="character" w:styleId="RefernciaIntensa">
    <w:name w:val="Intense Reference"/>
    <w:basedOn w:val="Fontepargpadro"/>
    <w:uiPriority w:val="32"/>
    <w:qFormat/>
    <w:rsid w:val="00CB1B8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63382">
      <w:bodyDiv w:val="1"/>
      <w:marLeft w:val="0"/>
      <w:marRight w:val="0"/>
      <w:marTop w:val="0"/>
      <w:marBottom w:val="0"/>
      <w:divBdr>
        <w:top w:val="none" w:sz="0" w:space="0" w:color="auto"/>
        <w:left w:val="none" w:sz="0" w:space="0" w:color="auto"/>
        <w:bottom w:val="none" w:sz="0" w:space="0" w:color="auto"/>
        <w:right w:val="none" w:sz="0" w:space="0" w:color="auto"/>
      </w:divBdr>
    </w:div>
    <w:div w:id="371686732">
      <w:bodyDiv w:val="1"/>
      <w:marLeft w:val="0"/>
      <w:marRight w:val="0"/>
      <w:marTop w:val="0"/>
      <w:marBottom w:val="0"/>
      <w:divBdr>
        <w:top w:val="none" w:sz="0" w:space="0" w:color="auto"/>
        <w:left w:val="none" w:sz="0" w:space="0" w:color="auto"/>
        <w:bottom w:val="none" w:sz="0" w:space="0" w:color="auto"/>
        <w:right w:val="none" w:sz="0" w:space="0" w:color="auto"/>
      </w:divBdr>
    </w:div>
    <w:div w:id="1327319389">
      <w:bodyDiv w:val="1"/>
      <w:marLeft w:val="0"/>
      <w:marRight w:val="0"/>
      <w:marTop w:val="0"/>
      <w:marBottom w:val="0"/>
      <w:divBdr>
        <w:top w:val="none" w:sz="0" w:space="0" w:color="auto"/>
        <w:left w:val="none" w:sz="0" w:space="0" w:color="auto"/>
        <w:bottom w:val="none" w:sz="0" w:space="0" w:color="auto"/>
        <w:right w:val="none" w:sz="0" w:space="0" w:color="auto"/>
      </w:divBdr>
    </w:div>
    <w:div w:id="1654139033">
      <w:bodyDiv w:val="1"/>
      <w:marLeft w:val="0"/>
      <w:marRight w:val="0"/>
      <w:marTop w:val="0"/>
      <w:marBottom w:val="0"/>
      <w:divBdr>
        <w:top w:val="none" w:sz="0" w:space="0" w:color="auto"/>
        <w:left w:val="none" w:sz="0" w:space="0" w:color="auto"/>
        <w:bottom w:val="none" w:sz="0" w:space="0" w:color="auto"/>
        <w:right w:val="none" w:sz="0" w:space="0" w:color="auto"/>
      </w:divBdr>
    </w:div>
    <w:div w:id="1849371987">
      <w:bodyDiv w:val="1"/>
      <w:marLeft w:val="0"/>
      <w:marRight w:val="0"/>
      <w:marTop w:val="0"/>
      <w:marBottom w:val="0"/>
      <w:divBdr>
        <w:top w:val="none" w:sz="0" w:space="0" w:color="auto"/>
        <w:left w:val="none" w:sz="0" w:space="0" w:color="auto"/>
        <w:bottom w:val="none" w:sz="0" w:space="0" w:color="auto"/>
        <w:right w:val="none" w:sz="0" w:space="0" w:color="auto"/>
      </w:divBdr>
    </w:div>
    <w:div w:id="199591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4</Pages>
  <Words>886</Words>
  <Characters>4790</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Nádia de Moura Chagas Souza - PREVICDF</dc:creator>
  <cp:keywords/>
  <dc:description/>
  <cp:lastModifiedBy>Maria Iris Barbosa</cp:lastModifiedBy>
  <cp:revision>9</cp:revision>
  <dcterms:created xsi:type="dcterms:W3CDTF">2025-07-14T19:19:00Z</dcterms:created>
  <dcterms:modified xsi:type="dcterms:W3CDTF">2025-07-14T21:43:00Z</dcterms:modified>
</cp:coreProperties>
</file>