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DBF5A6" w14:textId="61280331" w:rsidR="00641AD6" w:rsidRPr="00FB4FAB" w:rsidRDefault="00280690" w:rsidP="00511000">
      <w:pPr>
        <w:spacing w:line="278" w:lineRule="auto"/>
        <w:rPr>
          <w:rFonts w:ascii="Calibri" w:hAnsi="Calibri" w:cs="Calibri"/>
          <w:sz w:val="24"/>
          <w:szCs w:val="24"/>
        </w:rPr>
      </w:pPr>
      <w:r w:rsidRPr="00FB4FAB">
        <w:rPr>
          <w:rFonts w:ascii="Calibri" w:hAnsi="Calibri" w:cs="Calibri"/>
          <w:sz w:val="24"/>
          <w:szCs w:val="24"/>
        </w:rPr>
        <w:t xml:space="preserve">Propostas de alterações </w:t>
      </w:r>
      <w:r w:rsidR="001246F0" w:rsidRPr="00FB4FAB">
        <w:rPr>
          <w:rFonts w:ascii="Calibri" w:hAnsi="Calibri" w:cs="Calibri"/>
          <w:sz w:val="24"/>
          <w:szCs w:val="24"/>
        </w:rPr>
        <w:t xml:space="preserve">sob aspectos contábeis </w:t>
      </w:r>
      <w:r w:rsidRPr="00FB4FAB">
        <w:rPr>
          <w:rFonts w:ascii="Calibri" w:hAnsi="Calibri" w:cs="Calibri"/>
          <w:sz w:val="24"/>
          <w:szCs w:val="24"/>
        </w:rPr>
        <w:t xml:space="preserve">na Resolução Previc nº 23, de </w:t>
      </w:r>
      <w:r w:rsidR="001246F0" w:rsidRPr="00FB4FAB">
        <w:rPr>
          <w:rFonts w:ascii="Calibri" w:hAnsi="Calibri" w:cs="Calibri"/>
          <w:sz w:val="24"/>
          <w:szCs w:val="24"/>
        </w:rPr>
        <w:t xml:space="preserve">14 de agosto de 2023, elaboradas pela CGNC. </w:t>
      </w:r>
    </w:p>
    <w:tbl>
      <w:tblPr>
        <w:tblStyle w:val="Tabelacomgrade"/>
        <w:tblW w:w="15127" w:type="dxa"/>
        <w:tblLook w:val="04A0" w:firstRow="1" w:lastRow="0" w:firstColumn="1" w:lastColumn="0" w:noHBand="0" w:noVBand="1"/>
      </w:tblPr>
      <w:tblGrid>
        <w:gridCol w:w="3903"/>
        <w:gridCol w:w="3886"/>
        <w:gridCol w:w="4116"/>
        <w:gridCol w:w="3222"/>
      </w:tblGrid>
      <w:tr w:rsidR="00EE3724" w:rsidRPr="00FB4FAB" w14:paraId="48743DCD" w14:textId="1834CFFF" w:rsidTr="00EE3724">
        <w:trPr>
          <w:trHeight w:val="300"/>
          <w:tblHeader/>
        </w:trPr>
        <w:tc>
          <w:tcPr>
            <w:tcW w:w="3903" w:type="dxa"/>
            <w:vAlign w:val="center"/>
          </w:tcPr>
          <w:p w14:paraId="18CC3419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 xml:space="preserve">TEXTO ANTERIOR </w:t>
            </w:r>
          </w:p>
          <w:p w14:paraId="24086749" w14:textId="0CCCF2AA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RESOLUÇÃO PREVIC Nº 23, DE 14 DE AGOSTO DE 2023</w:t>
            </w:r>
          </w:p>
        </w:tc>
        <w:tc>
          <w:tcPr>
            <w:tcW w:w="3886" w:type="dxa"/>
            <w:vAlign w:val="center"/>
          </w:tcPr>
          <w:p w14:paraId="716F0F4B" w14:textId="01AD7CBB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TEXTO PROPOSTO</w:t>
            </w:r>
          </w:p>
        </w:tc>
        <w:tc>
          <w:tcPr>
            <w:tcW w:w="4116" w:type="dxa"/>
            <w:vAlign w:val="center"/>
          </w:tcPr>
          <w:p w14:paraId="4CAA9DCA" w14:textId="7796C721" w:rsidR="00EE3724" w:rsidRPr="00FB4FAB" w:rsidRDefault="00EE3724" w:rsidP="00502116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JUSTIFICATIVAS</w:t>
            </w:r>
          </w:p>
        </w:tc>
        <w:tc>
          <w:tcPr>
            <w:tcW w:w="3222" w:type="dxa"/>
          </w:tcPr>
          <w:p w14:paraId="5F553847" w14:textId="77777777" w:rsidR="00EE3724" w:rsidRDefault="00EE3724" w:rsidP="00502116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>FUNDAMENTAÇÃO DE AIR</w:t>
            </w:r>
          </w:p>
          <w:p w14:paraId="3D1C15C5" w14:textId="6D5AD266" w:rsidR="00AA47E5" w:rsidRPr="00FB4FAB" w:rsidRDefault="00AA47E5" w:rsidP="00502116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>DECRETO Nº 10411, DE 2020</w:t>
            </w:r>
          </w:p>
        </w:tc>
      </w:tr>
      <w:tr w:rsidR="00EE3724" w:rsidRPr="00FB4FAB" w14:paraId="73EA5E80" w14:textId="161C5AAB" w:rsidTr="00EE3724">
        <w:trPr>
          <w:trHeight w:val="300"/>
        </w:trPr>
        <w:tc>
          <w:tcPr>
            <w:tcW w:w="3903" w:type="dxa"/>
          </w:tcPr>
          <w:p w14:paraId="79E06369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CAPÍTULO V</w:t>
            </w:r>
          </w:p>
          <w:p w14:paraId="2E73BF22" w14:textId="3052A590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DAS REGRAS CONTÁBEIS</w:t>
            </w:r>
          </w:p>
        </w:tc>
        <w:tc>
          <w:tcPr>
            <w:tcW w:w="3886" w:type="dxa"/>
          </w:tcPr>
          <w:p w14:paraId="6DA646DF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CAPÍTULO V</w:t>
            </w:r>
          </w:p>
          <w:p w14:paraId="29785724" w14:textId="1EF9D6BE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DAS REGRAS CONTÁBEIS</w:t>
            </w:r>
          </w:p>
        </w:tc>
        <w:tc>
          <w:tcPr>
            <w:tcW w:w="4116" w:type="dxa"/>
          </w:tcPr>
          <w:p w14:paraId="08B3C71D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58CF0FDC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28E88D4B" w14:textId="5B89CB5E" w:rsidTr="00EE3724">
        <w:trPr>
          <w:trHeight w:val="300"/>
        </w:trPr>
        <w:tc>
          <w:tcPr>
            <w:tcW w:w="3903" w:type="dxa"/>
          </w:tcPr>
          <w:p w14:paraId="71B00911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Seção II</w:t>
            </w:r>
          </w:p>
          <w:p w14:paraId="013852D5" w14:textId="0958CD69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Registros Contábeis das EFPC</w:t>
            </w:r>
          </w:p>
        </w:tc>
        <w:tc>
          <w:tcPr>
            <w:tcW w:w="3886" w:type="dxa"/>
          </w:tcPr>
          <w:p w14:paraId="2ECCEEEA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Seção II</w:t>
            </w:r>
          </w:p>
          <w:p w14:paraId="68CE7271" w14:textId="06F66293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Registros Contábeis das EFPC</w:t>
            </w:r>
          </w:p>
        </w:tc>
        <w:tc>
          <w:tcPr>
            <w:tcW w:w="4116" w:type="dxa"/>
          </w:tcPr>
          <w:p w14:paraId="53095AAD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504BB129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5FF19F70" w14:textId="7E89646C" w:rsidTr="00EE3724">
        <w:trPr>
          <w:trHeight w:val="300"/>
        </w:trPr>
        <w:tc>
          <w:tcPr>
            <w:tcW w:w="3903" w:type="dxa"/>
          </w:tcPr>
          <w:p w14:paraId="537E6A3F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Subseção I</w:t>
            </w:r>
          </w:p>
          <w:p w14:paraId="68840858" w14:textId="33BED591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Plano de Gestão Administrativa</w:t>
            </w:r>
          </w:p>
        </w:tc>
        <w:tc>
          <w:tcPr>
            <w:tcW w:w="3886" w:type="dxa"/>
          </w:tcPr>
          <w:p w14:paraId="3B13FDFB" w14:textId="77777777" w:rsidR="00EE3724" w:rsidRPr="00FB4FAB" w:rsidRDefault="00EE3724" w:rsidP="00D2145F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Subseção I</w:t>
            </w:r>
          </w:p>
          <w:p w14:paraId="2C40FCC0" w14:textId="09036C04" w:rsidR="00EE3724" w:rsidRPr="00FB4FAB" w:rsidRDefault="00EE3724" w:rsidP="00D2145F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Plano de Gestão Administrativa</w:t>
            </w:r>
          </w:p>
        </w:tc>
        <w:tc>
          <w:tcPr>
            <w:tcW w:w="4116" w:type="dxa"/>
          </w:tcPr>
          <w:p w14:paraId="542D10FD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77DE72F3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04A4FB99" w14:textId="3239A9F1" w:rsidTr="00EE3724">
        <w:trPr>
          <w:trHeight w:val="300"/>
        </w:trPr>
        <w:tc>
          <w:tcPr>
            <w:tcW w:w="3903" w:type="dxa"/>
          </w:tcPr>
          <w:p w14:paraId="0FFEB8A4" w14:textId="4854D7DA" w:rsidR="00EE3724" w:rsidRPr="00FB4FAB" w:rsidRDefault="00EE3724" w:rsidP="00D2145F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3886" w:type="dxa"/>
          </w:tcPr>
          <w:p w14:paraId="39FE1397" w14:textId="79E993AB" w:rsidR="00EE3724" w:rsidRPr="00FB4FAB" w:rsidRDefault="00EE3724" w:rsidP="00D2145F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4116" w:type="dxa"/>
          </w:tcPr>
          <w:p w14:paraId="6342618B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6939520C" w14:textId="77777777" w:rsidR="00EE3724" w:rsidRPr="00FB4FAB" w:rsidRDefault="00EE3724" w:rsidP="00CD3F97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27176949" w14:textId="43C2ED92" w:rsidTr="00EE3724">
        <w:trPr>
          <w:trHeight w:val="300"/>
        </w:trPr>
        <w:tc>
          <w:tcPr>
            <w:tcW w:w="3903" w:type="dxa"/>
          </w:tcPr>
          <w:p w14:paraId="27387B84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CE73EF6" w14:textId="5594D77E" w:rsidR="00EE3724" w:rsidRPr="00B70F87" w:rsidRDefault="00EE3724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424EAA">
              <w:rPr>
                <w:rFonts w:ascii="Calibri" w:hAnsi="Calibri" w:cs="Calibri"/>
                <w:color w:val="0070C0"/>
                <w:sz w:val="24"/>
                <w:szCs w:val="24"/>
              </w:rPr>
              <w:t>182-A.  As EFPC devem disponibilizar em seu sítio eletrônico na internet</w:t>
            </w:r>
            <w:r>
              <w:rPr>
                <w:rFonts w:ascii="Calibri" w:hAnsi="Calibri" w:cs="Calibri"/>
                <w:color w:val="0070C0"/>
                <w:sz w:val="24"/>
                <w:szCs w:val="24"/>
              </w:rPr>
              <w:t>:</w:t>
            </w:r>
          </w:p>
        </w:tc>
        <w:tc>
          <w:tcPr>
            <w:tcW w:w="4116" w:type="dxa"/>
          </w:tcPr>
          <w:p w14:paraId="38FE61B1" w14:textId="4747E226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A proposta de inclusão do artigo 182-A na Subseção I do Plano de Gestão Administrativa da Seção II Registros Contábeis das EFPC da Resolução Previc nº 23, de 14 de agosto de 2023, tem o intuito de incorporar as orientações constantes do Ofício Circular DINOR nº 3, de 25 de abril de 2025, com o objetivo de regulamentar, de forma vinculante, os dispositivos da Resolução CNPC nº 62, de 2024, que tratam do custeio administrativo no âmbito das Entidades Fechadas de Previdência Complementar - EFPC.</w:t>
            </w:r>
          </w:p>
          <w:p w14:paraId="11F68B63" w14:textId="428E2DE5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O referido Ofício Circular dispõe, entre outros aspectos, da obrigatoriedade de divulgação, no sítio eletrônico da entidade, das informações relativas à </w:t>
            </w:r>
            <w:r w:rsidRPr="00FB4FAB">
              <w:rPr>
                <w:rFonts w:ascii="Calibri" w:hAnsi="Calibri" w:cs="Calibri"/>
                <w:sz w:val="24"/>
                <w:szCs w:val="24"/>
              </w:rPr>
              <w:lastRenderedPageBreak/>
              <w:t>execução orçamentária do Plano de Gestão Administrativa - PGA.</w:t>
            </w:r>
          </w:p>
          <w:p w14:paraId="3A4DFE67" w14:textId="4E735CEE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A inclusão desses dispositivos sobre o que deve ser disponibilizado pela EFPC no seu sítio eletrônico na Resolução Previc nº 23/2023, busca regulamentar o art. 18 da Resolução CNPC nº 62/2024, conferindo maior segurança jurídica, padronização e efetividade à aplicação da norma pelas entidades. Tal medida contribui para o fortalecimento da confiança dos participantes e assistidos, bem como para o aprimoramento do processo regulatório da previdência complementar fechada.</w:t>
            </w:r>
          </w:p>
          <w:p w14:paraId="0E672C33" w14:textId="77777777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548F506F" w14:textId="77777777" w:rsidR="00EE3724" w:rsidRDefault="00F3397A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lastRenderedPageBreak/>
              <w:t xml:space="preserve">Inciso </w:t>
            </w:r>
            <w:r w:rsidR="009F6D83">
              <w:rPr>
                <w:rFonts w:ascii="Calibri" w:hAnsi="Calibri" w:cs="Calibri"/>
                <w:sz w:val="24"/>
                <w:szCs w:val="24"/>
              </w:rPr>
              <w:t xml:space="preserve">II </w:t>
            </w:r>
            <w:r w:rsidR="00805A4D">
              <w:rPr>
                <w:rFonts w:ascii="Calibri" w:hAnsi="Calibri" w:cs="Calibri"/>
                <w:sz w:val="24"/>
                <w:szCs w:val="24"/>
              </w:rPr>
              <w:t>do art. 4º do Decreto nº 10</w:t>
            </w:r>
            <w:r w:rsidR="00C863F3">
              <w:rPr>
                <w:rFonts w:ascii="Calibri" w:hAnsi="Calibri" w:cs="Calibri"/>
                <w:sz w:val="24"/>
                <w:szCs w:val="24"/>
              </w:rPr>
              <w:t>.</w:t>
            </w:r>
            <w:r w:rsidR="00805A4D">
              <w:rPr>
                <w:rFonts w:ascii="Calibri" w:hAnsi="Calibri" w:cs="Calibri"/>
                <w:sz w:val="24"/>
                <w:szCs w:val="24"/>
              </w:rPr>
              <w:t>411/2020.</w:t>
            </w:r>
          </w:p>
          <w:p w14:paraId="3881D086" w14:textId="77777777" w:rsidR="00E90DA1" w:rsidRDefault="00E90DA1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  <w:p w14:paraId="2820DF6B" w14:textId="63AFE456" w:rsidR="00E90DA1" w:rsidRPr="00FB4FAB" w:rsidRDefault="00F44FD7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A dispensa de AIR se baseia na necessidade de</w:t>
            </w:r>
            <w:r w:rsidRPr="00F44FD7">
              <w:rPr>
                <w:rFonts w:ascii="Calibri" w:hAnsi="Calibri" w:cs="Calibri"/>
                <w:sz w:val="24"/>
                <w:szCs w:val="24"/>
              </w:rPr>
              <w:t xml:space="preserve"> disciplinar direitos ou obrigações definidos em norma hierarquicamente superior</w:t>
            </w:r>
            <w:r w:rsidR="00DE0FB9">
              <w:rPr>
                <w:rFonts w:ascii="Calibri" w:hAnsi="Calibri" w:cs="Calibri"/>
                <w:sz w:val="24"/>
                <w:szCs w:val="24"/>
              </w:rPr>
              <w:t xml:space="preserve">, no caso a Resolução CNPC nº 62, de 2024, que trata de </w:t>
            </w:r>
            <w:r w:rsidR="001C23B2">
              <w:rPr>
                <w:rFonts w:ascii="Calibri" w:hAnsi="Calibri" w:cs="Calibri"/>
                <w:sz w:val="24"/>
                <w:szCs w:val="24"/>
              </w:rPr>
              <w:t>custeio administrativo.</w:t>
            </w:r>
          </w:p>
        </w:tc>
      </w:tr>
      <w:tr w:rsidR="00EE3724" w:rsidRPr="00FB4FAB" w14:paraId="3C04C82E" w14:textId="6EB46638" w:rsidTr="00EE3724">
        <w:trPr>
          <w:trHeight w:val="300"/>
        </w:trPr>
        <w:tc>
          <w:tcPr>
            <w:tcW w:w="3903" w:type="dxa"/>
          </w:tcPr>
          <w:p w14:paraId="6CE53835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0AA36A7" w14:textId="1E806FFE" w:rsidR="00EE3724" w:rsidRPr="00B70F87" w:rsidRDefault="00EE3724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B70F87"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I - </w:t>
            </w:r>
            <w:proofErr w:type="gramStart"/>
            <w:r w:rsidRPr="00B70F87">
              <w:rPr>
                <w:rFonts w:ascii="Calibri" w:hAnsi="Calibri" w:cs="Calibri"/>
                <w:color w:val="0070C0"/>
                <w:sz w:val="24"/>
                <w:szCs w:val="24"/>
              </w:rPr>
              <w:t>o</w:t>
            </w:r>
            <w:proofErr w:type="gramEnd"/>
            <w:r w:rsidRPr="00B70F87"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 regulamento do plano de gestão administrativa;</w:t>
            </w:r>
          </w:p>
        </w:tc>
        <w:tc>
          <w:tcPr>
            <w:tcW w:w="4116" w:type="dxa"/>
          </w:tcPr>
          <w:p w14:paraId="0CFF5FA4" w14:textId="463F4D49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Inclusão de Inciso para regulamentação art. 18 da Resolução CNPC nº 62/2024.</w:t>
            </w:r>
          </w:p>
        </w:tc>
        <w:tc>
          <w:tcPr>
            <w:tcW w:w="3222" w:type="dxa"/>
          </w:tcPr>
          <w:p w14:paraId="19C25F38" w14:textId="4075D6BC" w:rsidR="00EE3724" w:rsidRPr="00FB4FAB" w:rsidRDefault="00805A4D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Inciso II do art. 4º do Decreto nº 10</w:t>
            </w:r>
            <w:r w:rsidR="00C863F3">
              <w:rPr>
                <w:rFonts w:ascii="Calibri" w:hAnsi="Calibri" w:cs="Calibri"/>
                <w:sz w:val="24"/>
                <w:szCs w:val="24"/>
              </w:rPr>
              <w:t>.</w:t>
            </w:r>
            <w:r>
              <w:rPr>
                <w:rFonts w:ascii="Calibri" w:hAnsi="Calibri" w:cs="Calibri"/>
                <w:sz w:val="24"/>
                <w:szCs w:val="24"/>
              </w:rPr>
              <w:t>411/2020.</w:t>
            </w:r>
          </w:p>
        </w:tc>
      </w:tr>
      <w:tr w:rsidR="00EE3724" w:rsidRPr="00FB4FAB" w14:paraId="490D027F" w14:textId="55386DE9" w:rsidTr="00EE3724">
        <w:trPr>
          <w:trHeight w:val="300"/>
        </w:trPr>
        <w:tc>
          <w:tcPr>
            <w:tcW w:w="3903" w:type="dxa"/>
          </w:tcPr>
          <w:p w14:paraId="43B4C34E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08B55FC2" w14:textId="13259EE7" w:rsidR="00EE3724" w:rsidRPr="00B70F87" w:rsidRDefault="00EE3724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B70F87"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II - </w:t>
            </w:r>
            <w:proofErr w:type="gramStart"/>
            <w:r w:rsidRPr="00B70F87">
              <w:rPr>
                <w:rFonts w:ascii="Calibri" w:hAnsi="Calibri" w:cs="Calibri"/>
                <w:color w:val="0070C0"/>
                <w:sz w:val="24"/>
                <w:szCs w:val="24"/>
              </w:rPr>
              <w:t>o</w:t>
            </w:r>
            <w:proofErr w:type="gramEnd"/>
            <w:r w:rsidRPr="00B70F87"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 orçamento anual e, quando exigido, o orçamento plurianual; e</w:t>
            </w:r>
          </w:p>
        </w:tc>
        <w:tc>
          <w:tcPr>
            <w:tcW w:w="4116" w:type="dxa"/>
          </w:tcPr>
          <w:p w14:paraId="31273AF1" w14:textId="6FD9630D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Inclusão de Inciso para regulamentação art. 18 da Resolução CNPC nº 62/2024.</w:t>
            </w:r>
          </w:p>
        </w:tc>
        <w:tc>
          <w:tcPr>
            <w:tcW w:w="3222" w:type="dxa"/>
          </w:tcPr>
          <w:p w14:paraId="70DD69FE" w14:textId="6E5EA892" w:rsidR="00EE3724" w:rsidRPr="00FB4FAB" w:rsidRDefault="00805A4D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Inciso II do art. 4º do Decreto nº 10</w:t>
            </w:r>
            <w:r w:rsidR="00C863F3">
              <w:rPr>
                <w:rFonts w:ascii="Calibri" w:hAnsi="Calibri" w:cs="Calibri"/>
                <w:sz w:val="24"/>
                <w:szCs w:val="24"/>
              </w:rPr>
              <w:t>.</w:t>
            </w:r>
            <w:r>
              <w:rPr>
                <w:rFonts w:ascii="Calibri" w:hAnsi="Calibri" w:cs="Calibri"/>
                <w:sz w:val="24"/>
                <w:szCs w:val="24"/>
              </w:rPr>
              <w:t>411/2020.</w:t>
            </w:r>
          </w:p>
        </w:tc>
      </w:tr>
      <w:tr w:rsidR="00EE3724" w:rsidRPr="00FB4FAB" w14:paraId="7D8B76E9" w14:textId="7F8820D3" w:rsidTr="00EE3724">
        <w:trPr>
          <w:trHeight w:val="300"/>
        </w:trPr>
        <w:tc>
          <w:tcPr>
            <w:tcW w:w="3903" w:type="dxa"/>
          </w:tcPr>
          <w:p w14:paraId="528B0B30" w14:textId="77777777" w:rsidR="00EE3724" w:rsidRPr="00FB4FAB" w:rsidRDefault="00EE3724" w:rsidP="00D2145F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B3924CD" w14:textId="6A5DCEC4" w:rsidR="00EE3724" w:rsidRPr="00B70F87" w:rsidRDefault="00EE3724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B70F87">
              <w:rPr>
                <w:rFonts w:ascii="Calibri" w:hAnsi="Calibri" w:cs="Calibri"/>
                <w:color w:val="0070C0"/>
                <w:sz w:val="24"/>
                <w:szCs w:val="24"/>
              </w:rPr>
              <w:t>III - as informações detalhadas sobre as receitas e despesas da gestão administrativa realizadas nos últimos três exercícios.</w:t>
            </w:r>
          </w:p>
        </w:tc>
        <w:tc>
          <w:tcPr>
            <w:tcW w:w="4116" w:type="dxa"/>
          </w:tcPr>
          <w:p w14:paraId="1A45A9B0" w14:textId="01B9CC08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Inclusão de Inciso para regulamentação art. 18 da Resolução CNPC nº 62/2024.</w:t>
            </w:r>
          </w:p>
        </w:tc>
        <w:tc>
          <w:tcPr>
            <w:tcW w:w="3222" w:type="dxa"/>
          </w:tcPr>
          <w:p w14:paraId="24604D65" w14:textId="0F63451A" w:rsidR="00EE3724" w:rsidRPr="00FB4FAB" w:rsidRDefault="00805A4D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Inciso II do art. 4º do Decreto nº 10</w:t>
            </w:r>
            <w:r w:rsidR="00C863F3">
              <w:rPr>
                <w:rFonts w:ascii="Calibri" w:hAnsi="Calibri" w:cs="Calibri"/>
                <w:sz w:val="24"/>
                <w:szCs w:val="24"/>
              </w:rPr>
              <w:t>.</w:t>
            </w:r>
            <w:r>
              <w:rPr>
                <w:rFonts w:ascii="Calibri" w:hAnsi="Calibri" w:cs="Calibri"/>
                <w:sz w:val="24"/>
                <w:szCs w:val="24"/>
              </w:rPr>
              <w:t>411/2020.</w:t>
            </w:r>
          </w:p>
        </w:tc>
      </w:tr>
      <w:tr w:rsidR="00EE3724" w:rsidRPr="00FB4FAB" w14:paraId="72459335" w14:textId="3DC5BF1B" w:rsidTr="00EE3724">
        <w:trPr>
          <w:trHeight w:val="300"/>
        </w:trPr>
        <w:tc>
          <w:tcPr>
            <w:tcW w:w="3903" w:type="dxa"/>
          </w:tcPr>
          <w:p w14:paraId="6C868624" w14:textId="77777777" w:rsidR="00EE3724" w:rsidRPr="00FB4FAB" w:rsidRDefault="00EE3724" w:rsidP="00424E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7FD4F5E8" w14:textId="30D98B06" w:rsidR="00EE3724" w:rsidRPr="00E554CA" w:rsidRDefault="00EE3724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E554CA">
              <w:rPr>
                <w:rFonts w:ascii="Calibri" w:hAnsi="Calibri" w:cs="Calibri"/>
                <w:color w:val="0070C0"/>
                <w:sz w:val="24"/>
                <w:szCs w:val="24"/>
              </w:rPr>
              <w:t>§ 1</w:t>
            </w:r>
            <w:proofErr w:type="gramStart"/>
            <w:r w:rsidRPr="00E554CA">
              <w:rPr>
                <w:rFonts w:ascii="Calibri" w:hAnsi="Calibri" w:cs="Calibri"/>
                <w:color w:val="0070C0"/>
                <w:sz w:val="24"/>
                <w:szCs w:val="24"/>
              </w:rPr>
              <w:t>º</w:t>
            </w:r>
            <w:r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  </w:t>
            </w:r>
            <w:r w:rsidRPr="00E554CA">
              <w:rPr>
                <w:rFonts w:ascii="Calibri" w:hAnsi="Calibri" w:cs="Calibri"/>
                <w:color w:val="0070C0"/>
                <w:sz w:val="24"/>
                <w:szCs w:val="24"/>
              </w:rPr>
              <w:t>A</w:t>
            </w:r>
            <w:proofErr w:type="gramEnd"/>
            <w:r w:rsidRPr="00E554CA"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 disponibilização em seu sítio eletrônico na internet a que se refere o caput deve ser em área pública de acesso irrestrito.</w:t>
            </w:r>
          </w:p>
        </w:tc>
        <w:tc>
          <w:tcPr>
            <w:tcW w:w="4116" w:type="dxa"/>
          </w:tcPr>
          <w:p w14:paraId="27EAB59A" w14:textId="3026BABB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Inclusão de </w:t>
            </w:r>
            <w:r>
              <w:rPr>
                <w:rFonts w:ascii="Calibri" w:hAnsi="Calibri" w:cs="Calibri"/>
                <w:sz w:val="24"/>
                <w:szCs w:val="24"/>
              </w:rPr>
              <w:t>parágrafo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para regulamentação art. 18 da Resolução CNPC nº 62/2024.</w:t>
            </w:r>
          </w:p>
        </w:tc>
        <w:tc>
          <w:tcPr>
            <w:tcW w:w="3222" w:type="dxa"/>
          </w:tcPr>
          <w:p w14:paraId="66414247" w14:textId="790D542D" w:rsidR="00EE3724" w:rsidRPr="00FB4FAB" w:rsidRDefault="00805A4D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Inciso II do art. 4º do Decreto nº 10</w:t>
            </w:r>
            <w:r w:rsidR="00C863F3">
              <w:rPr>
                <w:rFonts w:ascii="Calibri" w:hAnsi="Calibri" w:cs="Calibri"/>
                <w:sz w:val="24"/>
                <w:szCs w:val="24"/>
              </w:rPr>
              <w:t>.</w:t>
            </w:r>
            <w:r>
              <w:rPr>
                <w:rFonts w:ascii="Calibri" w:hAnsi="Calibri" w:cs="Calibri"/>
                <w:sz w:val="24"/>
                <w:szCs w:val="24"/>
              </w:rPr>
              <w:t>411/2020.</w:t>
            </w:r>
          </w:p>
        </w:tc>
      </w:tr>
      <w:tr w:rsidR="00EE3724" w:rsidRPr="00FB4FAB" w14:paraId="521C7B71" w14:textId="66B0B59B" w:rsidTr="00EE3724">
        <w:trPr>
          <w:trHeight w:val="300"/>
        </w:trPr>
        <w:tc>
          <w:tcPr>
            <w:tcW w:w="3903" w:type="dxa"/>
          </w:tcPr>
          <w:p w14:paraId="248FAD6B" w14:textId="77777777" w:rsidR="00EE3724" w:rsidRPr="00FB4FAB" w:rsidRDefault="00EE3724" w:rsidP="00424EAA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6FC963F" w14:textId="0D0F823B" w:rsidR="00EE3724" w:rsidRPr="00B70F87" w:rsidRDefault="00EE3724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>
              <w:rPr>
                <w:rFonts w:ascii="Calibri" w:hAnsi="Calibri" w:cs="Calibri"/>
                <w:color w:val="0070C0"/>
                <w:sz w:val="24"/>
                <w:szCs w:val="24"/>
              </w:rPr>
              <w:t>§ 2</w:t>
            </w:r>
            <w:proofErr w:type="gramStart"/>
            <w:r>
              <w:rPr>
                <w:rFonts w:ascii="Calibri" w:hAnsi="Calibri" w:cs="Calibri"/>
                <w:color w:val="0070C0"/>
                <w:sz w:val="24"/>
                <w:szCs w:val="24"/>
              </w:rPr>
              <w:t>º</w:t>
            </w:r>
            <w:r w:rsidRPr="00B70F87"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  O</w:t>
            </w:r>
            <w:proofErr w:type="gramEnd"/>
            <w:r w:rsidRPr="00B70F87"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 detalhamento do orçamento pode ser no nível mínimo do balancete.</w:t>
            </w:r>
          </w:p>
        </w:tc>
        <w:tc>
          <w:tcPr>
            <w:tcW w:w="4116" w:type="dxa"/>
          </w:tcPr>
          <w:p w14:paraId="131CC774" w14:textId="013A3869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Inclusão de </w:t>
            </w:r>
            <w:r>
              <w:rPr>
                <w:rFonts w:ascii="Calibri" w:hAnsi="Calibri" w:cs="Calibri"/>
                <w:sz w:val="24"/>
                <w:szCs w:val="24"/>
              </w:rPr>
              <w:t>parágrafo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para regulamentação art. 18 da Resolução CNPC nº 62/2024.</w:t>
            </w:r>
          </w:p>
        </w:tc>
        <w:tc>
          <w:tcPr>
            <w:tcW w:w="3222" w:type="dxa"/>
          </w:tcPr>
          <w:p w14:paraId="2433E5DC" w14:textId="3FF6C5C1" w:rsidR="00EE3724" w:rsidRPr="00FB4FAB" w:rsidRDefault="00C863F3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Inciso II do art. 4º do Decreto nº 10.411/2020.</w:t>
            </w:r>
          </w:p>
        </w:tc>
      </w:tr>
      <w:tr w:rsidR="00EE3724" w:rsidRPr="00FB4FAB" w14:paraId="3F7CF73F" w14:textId="5F81F28F" w:rsidTr="00EE3724">
        <w:trPr>
          <w:trHeight w:val="300"/>
        </w:trPr>
        <w:tc>
          <w:tcPr>
            <w:tcW w:w="3903" w:type="dxa"/>
          </w:tcPr>
          <w:p w14:paraId="6A58B49E" w14:textId="265C47ED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3886" w:type="dxa"/>
          </w:tcPr>
          <w:p w14:paraId="6815FF77" w14:textId="77777777" w:rsidR="00EE3724" w:rsidRPr="00FB4FAB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  <w:highlight w:val="yellow"/>
              </w:rPr>
            </w:pPr>
          </w:p>
        </w:tc>
        <w:tc>
          <w:tcPr>
            <w:tcW w:w="4116" w:type="dxa"/>
          </w:tcPr>
          <w:p w14:paraId="2EF671EA" w14:textId="7777777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  <w:highlight w:val="yellow"/>
              </w:rPr>
            </w:pPr>
          </w:p>
        </w:tc>
        <w:tc>
          <w:tcPr>
            <w:tcW w:w="3222" w:type="dxa"/>
          </w:tcPr>
          <w:p w14:paraId="17433803" w14:textId="7777777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  <w:highlight w:val="yellow"/>
              </w:rPr>
            </w:pPr>
          </w:p>
        </w:tc>
      </w:tr>
      <w:tr w:rsidR="00EE3724" w:rsidRPr="00FB4FAB" w14:paraId="3506FEE4" w14:textId="5C9F0560" w:rsidTr="00EE3724">
        <w:trPr>
          <w:trHeight w:val="300"/>
        </w:trPr>
        <w:tc>
          <w:tcPr>
            <w:tcW w:w="3903" w:type="dxa"/>
          </w:tcPr>
          <w:p w14:paraId="1F102E90" w14:textId="77777777" w:rsidR="00EE3724" w:rsidRPr="00FB4FAB" w:rsidRDefault="00EE3724" w:rsidP="00424EAA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Seção III</w:t>
            </w:r>
          </w:p>
          <w:p w14:paraId="0FDC856C" w14:textId="4AD6FFD0" w:rsidR="00EE3724" w:rsidRPr="00FB4FAB" w:rsidRDefault="00EE3724" w:rsidP="00424EAA">
            <w:pPr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Registros Contábeis de Investimentos</w:t>
            </w:r>
          </w:p>
        </w:tc>
        <w:tc>
          <w:tcPr>
            <w:tcW w:w="3886" w:type="dxa"/>
          </w:tcPr>
          <w:p w14:paraId="3520B391" w14:textId="77777777" w:rsidR="00EE3724" w:rsidRPr="00FB4FAB" w:rsidRDefault="00EE3724" w:rsidP="00424EAA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Seção III</w:t>
            </w:r>
          </w:p>
          <w:p w14:paraId="19F746D2" w14:textId="429595D2" w:rsidR="00EE3724" w:rsidRPr="00FB4FAB" w:rsidRDefault="00EE3724" w:rsidP="00424EAA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Registros Contábeis de Investimentos</w:t>
            </w:r>
          </w:p>
        </w:tc>
        <w:tc>
          <w:tcPr>
            <w:tcW w:w="4116" w:type="dxa"/>
          </w:tcPr>
          <w:p w14:paraId="3E649DD0" w14:textId="77777777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5B9E0E3D" w14:textId="77777777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5A990270" w14:textId="13E5A999" w:rsidTr="00EE3724">
        <w:trPr>
          <w:trHeight w:val="300"/>
        </w:trPr>
        <w:tc>
          <w:tcPr>
            <w:tcW w:w="3903" w:type="dxa"/>
          </w:tcPr>
          <w:p w14:paraId="17935737" w14:textId="3E49AC12" w:rsidR="00EE3724" w:rsidRPr="00FB4FAB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3886" w:type="dxa"/>
          </w:tcPr>
          <w:p w14:paraId="0A85AA22" w14:textId="77777777" w:rsidR="00EE3724" w:rsidRPr="00FB4FAB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44DC82F6" w14:textId="77777777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6CA805AE" w14:textId="77777777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09FA0F10" w14:textId="5C1360C0" w:rsidTr="00EE3724">
        <w:trPr>
          <w:trHeight w:val="300"/>
        </w:trPr>
        <w:tc>
          <w:tcPr>
            <w:tcW w:w="3903" w:type="dxa"/>
          </w:tcPr>
          <w:p w14:paraId="0C8CF998" w14:textId="77777777" w:rsidR="00EE3724" w:rsidRPr="00FB4FAB" w:rsidRDefault="00EE3724" w:rsidP="00424EAA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Subseção VIII</w:t>
            </w:r>
          </w:p>
          <w:p w14:paraId="1D568458" w14:textId="1750067A" w:rsidR="00EE3724" w:rsidRPr="00FB4FAB" w:rsidRDefault="00EE3724" w:rsidP="00424EAA">
            <w:pPr>
              <w:tabs>
                <w:tab w:val="left" w:pos="0"/>
              </w:tabs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Investimentos em Imóveis</w:t>
            </w:r>
          </w:p>
        </w:tc>
        <w:tc>
          <w:tcPr>
            <w:tcW w:w="3886" w:type="dxa"/>
          </w:tcPr>
          <w:p w14:paraId="74152A05" w14:textId="77777777" w:rsidR="00EE3724" w:rsidRPr="00FB4FAB" w:rsidRDefault="00EE3724" w:rsidP="00424EAA">
            <w:pPr>
              <w:tabs>
                <w:tab w:val="left" w:pos="0"/>
              </w:tabs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Subseção VIII</w:t>
            </w:r>
          </w:p>
          <w:p w14:paraId="1B1FE143" w14:textId="6AF9E864" w:rsidR="00EE3724" w:rsidRPr="00FB4FAB" w:rsidRDefault="00EE3724" w:rsidP="00424EAA">
            <w:pPr>
              <w:tabs>
                <w:tab w:val="left" w:pos="0"/>
              </w:tabs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Investimentos em Imóveis</w:t>
            </w:r>
          </w:p>
        </w:tc>
        <w:tc>
          <w:tcPr>
            <w:tcW w:w="4116" w:type="dxa"/>
          </w:tcPr>
          <w:p w14:paraId="31119125" w14:textId="77777777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6E737EFD" w14:textId="77777777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131BE241" w14:textId="5D34EFAB" w:rsidTr="00EE3724">
        <w:trPr>
          <w:trHeight w:val="300"/>
        </w:trPr>
        <w:tc>
          <w:tcPr>
            <w:tcW w:w="3903" w:type="dxa"/>
          </w:tcPr>
          <w:p w14:paraId="5F12F9AD" w14:textId="0A9E6ED8" w:rsidR="00EE3724" w:rsidRPr="00FB4FAB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Art. 197. ...</w:t>
            </w:r>
          </w:p>
        </w:tc>
        <w:tc>
          <w:tcPr>
            <w:tcW w:w="3886" w:type="dxa"/>
          </w:tcPr>
          <w:p w14:paraId="76014533" w14:textId="7E9DB5B8" w:rsidR="00EE3724" w:rsidRPr="00FB4FAB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Art. 197. ...</w:t>
            </w:r>
          </w:p>
        </w:tc>
        <w:tc>
          <w:tcPr>
            <w:tcW w:w="4116" w:type="dxa"/>
          </w:tcPr>
          <w:p w14:paraId="29C8B030" w14:textId="03515566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Sem alteração</w:t>
            </w:r>
          </w:p>
        </w:tc>
        <w:tc>
          <w:tcPr>
            <w:tcW w:w="3222" w:type="dxa"/>
          </w:tcPr>
          <w:p w14:paraId="52DB52CE" w14:textId="77777777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47677236" w14:textId="40985C39" w:rsidTr="00EE3724">
        <w:trPr>
          <w:trHeight w:val="300"/>
        </w:trPr>
        <w:tc>
          <w:tcPr>
            <w:tcW w:w="3903" w:type="dxa"/>
          </w:tcPr>
          <w:p w14:paraId="031C913B" w14:textId="77777777" w:rsidR="00EE3724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...</w:t>
            </w:r>
          </w:p>
          <w:p w14:paraId="76A82EB9" w14:textId="79FC277F" w:rsidR="00EE3724" w:rsidRPr="00FB4FAB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56B6A">
              <w:rPr>
                <w:rFonts w:ascii="Calibri" w:hAnsi="Calibri" w:cs="Calibri"/>
                <w:sz w:val="24"/>
                <w:szCs w:val="24"/>
              </w:rPr>
              <w:t xml:space="preserve">VII - apresentar, no mínimo, três laudos técnicos de avaliação prévios à alienação de imóvel, </w:t>
            </w:r>
            <w:r w:rsidRPr="00856B6A">
              <w:rPr>
                <w:rFonts w:ascii="Calibri" w:hAnsi="Calibri" w:cs="Calibri"/>
                <w:strike/>
                <w:color w:val="EE0000"/>
                <w:sz w:val="24"/>
                <w:szCs w:val="24"/>
              </w:rPr>
              <w:t>elaborado</w:t>
            </w:r>
            <w:r w:rsidRPr="00856B6A">
              <w:rPr>
                <w:rFonts w:ascii="Calibri" w:hAnsi="Calibri" w:cs="Calibri"/>
                <w:sz w:val="24"/>
                <w:szCs w:val="24"/>
              </w:rPr>
              <w:t xml:space="preserve"> de acordo com as normas expedidas pela Associação Brasileira de Normas Técnicas, contendo, no mínimo:</w:t>
            </w:r>
          </w:p>
        </w:tc>
        <w:tc>
          <w:tcPr>
            <w:tcW w:w="3886" w:type="dxa"/>
          </w:tcPr>
          <w:p w14:paraId="060D3F71" w14:textId="77777777" w:rsidR="00EE3724" w:rsidRDefault="00EE3724" w:rsidP="00C51BB7">
            <w:pPr>
              <w:tabs>
                <w:tab w:val="left" w:pos="0"/>
              </w:tabs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...</w:t>
            </w:r>
          </w:p>
          <w:p w14:paraId="2D156260" w14:textId="598433A4" w:rsidR="00EE3724" w:rsidRPr="00856B6A" w:rsidRDefault="00EE3724" w:rsidP="00856B6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56B6A">
              <w:rPr>
                <w:rFonts w:ascii="Calibri" w:hAnsi="Calibri" w:cs="Calibri"/>
                <w:sz w:val="24"/>
                <w:szCs w:val="24"/>
              </w:rPr>
              <w:t xml:space="preserve">VII - apresentar, no mínimo, três laudos técnicos de avaliação prévios à alienação de imóvel, </w:t>
            </w:r>
            <w:r w:rsidRPr="00856B6A">
              <w:rPr>
                <w:rFonts w:ascii="Calibri" w:hAnsi="Calibri" w:cs="Calibri"/>
                <w:color w:val="0070C0"/>
                <w:sz w:val="24"/>
                <w:szCs w:val="24"/>
              </w:rPr>
              <w:t>elaborados</w:t>
            </w:r>
            <w:r w:rsidRPr="00856B6A">
              <w:rPr>
                <w:rFonts w:ascii="Calibri" w:hAnsi="Calibri" w:cs="Calibri"/>
                <w:sz w:val="24"/>
                <w:szCs w:val="24"/>
              </w:rPr>
              <w:t xml:space="preserve"> de acordo com as normas expedidas pela Associação Brasileira de Normas Técnicas, contendo, no mínimo:</w:t>
            </w:r>
          </w:p>
        </w:tc>
        <w:tc>
          <w:tcPr>
            <w:tcW w:w="4116" w:type="dxa"/>
          </w:tcPr>
          <w:p w14:paraId="30CE4574" w14:textId="77777777" w:rsidR="00EE3724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  <w:p w14:paraId="06EF1535" w14:textId="77777777" w:rsidR="00EE3724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  <w:p w14:paraId="286BB765" w14:textId="39DF2B19" w:rsidR="00EE3724" w:rsidRPr="00FB4FAB" w:rsidRDefault="00EE3724" w:rsidP="00424EAA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Ajuste </w:t>
            </w:r>
            <w:r w:rsidR="00E812B8">
              <w:rPr>
                <w:rFonts w:ascii="Calibri" w:hAnsi="Calibri" w:cs="Calibri"/>
                <w:sz w:val="24"/>
                <w:szCs w:val="24"/>
              </w:rPr>
              <w:t xml:space="preserve">de </w:t>
            </w:r>
            <w:r w:rsidR="00443D05">
              <w:rPr>
                <w:rFonts w:ascii="Calibri" w:hAnsi="Calibri" w:cs="Calibri"/>
                <w:sz w:val="24"/>
                <w:szCs w:val="24"/>
              </w:rPr>
              <w:t>gr</w:t>
            </w:r>
            <w:r w:rsidR="00E812B8">
              <w:rPr>
                <w:rFonts w:ascii="Calibri" w:hAnsi="Calibri" w:cs="Calibri"/>
                <w:sz w:val="24"/>
                <w:szCs w:val="24"/>
              </w:rPr>
              <w:t>afia</w:t>
            </w:r>
            <w:r w:rsidR="00443D05">
              <w:rPr>
                <w:rFonts w:ascii="Calibri" w:hAnsi="Calibri" w:cs="Calibri"/>
                <w:sz w:val="24"/>
                <w:szCs w:val="24"/>
              </w:rPr>
              <w:t xml:space="preserve"> de palavra</w:t>
            </w:r>
            <w:r w:rsidR="00864BF6">
              <w:rPr>
                <w:rFonts w:ascii="Calibri" w:hAnsi="Calibri" w:cs="Calibri"/>
                <w:sz w:val="24"/>
                <w:szCs w:val="24"/>
              </w:rPr>
              <w:t>.</w:t>
            </w:r>
          </w:p>
        </w:tc>
        <w:tc>
          <w:tcPr>
            <w:tcW w:w="3222" w:type="dxa"/>
          </w:tcPr>
          <w:p w14:paraId="7D1A308A" w14:textId="77777777" w:rsidR="00EE3724" w:rsidRDefault="00C863F3" w:rsidP="00A50BD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Inciso </w:t>
            </w:r>
            <w:r w:rsidR="00041F03">
              <w:rPr>
                <w:rFonts w:ascii="Calibri" w:hAnsi="Calibri" w:cs="Calibri"/>
                <w:sz w:val="24"/>
                <w:szCs w:val="24"/>
              </w:rPr>
              <w:t>I</w:t>
            </w:r>
            <w:r>
              <w:rPr>
                <w:rFonts w:ascii="Calibri" w:hAnsi="Calibri" w:cs="Calibri"/>
                <w:sz w:val="24"/>
                <w:szCs w:val="24"/>
              </w:rPr>
              <w:t>II do art. 4º do Decreto nº 10.411/2020.</w:t>
            </w:r>
          </w:p>
          <w:p w14:paraId="567FABAC" w14:textId="77777777" w:rsidR="007A3477" w:rsidRDefault="007A3477" w:rsidP="00A50BD0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  <w:p w14:paraId="3016BC51" w14:textId="7185A991" w:rsidR="007A3477" w:rsidRDefault="007A3477" w:rsidP="00A50BD0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A dispensa de AIR está baseada em </w:t>
            </w:r>
            <w:r w:rsidR="00891BDF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ato normativo de</w:t>
            </w:r>
            <w:r w:rsidR="009308D2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baixo impacto, pois trata de alteração </w:t>
            </w:r>
            <w:r w:rsidR="00443D05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de grafia </w:t>
            </w:r>
            <w:r w:rsidR="00864BF6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de palavra</w:t>
            </w:r>
            <w:r w:rsidR="004A3036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.</w:t>
            </w:r>
          </w:p>
        </w:tc>
      </w:tr>
      <w:tr w:rsidR="002A29B8" w:rsidRPr="00FB4FAB" w14:paraId="762EE150" w14:textId="77777777" w:rsidTr="00EE3724">
        <w:trPr>
          <w:trHeight w:val="300"/>
        </w:trPr>
        <w:tc>
          <w:tcPr>
            <w:tcW w:w="3903" w:type="dxa"/>
          </w:tcPr>
          <w:p w14:paraId="63AEE625" w14:textId="5E9146A4" w:rsidR="002A29B8" w:rsidRPr="00FB4FAB" w:rsidRDefault="002A29B8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...</w:t>
            </w:r>
          </w:p>
        </w:tc>
        <w:tc>
          <w:tcPr>
            <w:tcW w:w="3886" w:type="dxa"/>
          </w:tcPr>
          <w:p w14:paraId="47C00111" w14:textId="5F9167C5" w:rsidR="002A29B8" w:rsidRPr="00FB4FAB" w:rsidRDefault="002A29B8" w:rsidP="00C51BB7">
            <w:pPr>
              <w:tabs>
                <w:tab w:val="left" w:pos="0"/>
              </w:tabs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sz w:val="24"/>
                <w:szCs w:val="24"/>
              </w:rPr>
              <w:t>...</w:t>
            </w:r>
          </w:p>
        </w:tc>
        <w:tc>
          <w:tcPr>
            <w:tcW w:w="4116" w:type="dxa"/>
          </w:tcPr>
          <w:p w14:paraId="2BF5CB09" w14:textId="77777777" w:rsidR="002A29B8" w:rsidRDefault="002A29B8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0F7AD44A" w14:textId="77777777" w:rsidR="002A29B8" w:rsidRDefault="002A29B8" w:rsidP="00424EAA">
            <w:pPr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633313D6" w14:textId="127417AA" w:rsidTr="00EE3724">
        <w:trPr>
          <w:trHeight w:val="300"/>
        </w:trPr>
        <w:tc>
          <w:tcPr>
            <w:tcW w:w="3903" w:type="dxa"/>
          </w:tcPr>
          <w:p w14:paraId="18F3D8AA" w14:textId="427917DB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§ 1º </w:t>
            </w:r>
            <w:r w:rsidRPr="00FB4FAB">
              <w:rPr>
                <w:rFonts w:ascii="Calibri" w:hAnsi="Calibri" w:cs="Calibri"/>
                <w:strike/>
                <w:color w:val="FF0000"/>
                <w:sz w:val="24"/>
                <w:szCs w:val="24"/>
              </w:rPr>
              <w:t>Uma das três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avaliações referidas no inciso VII do caput pode ser dispensada caso </w:t>
            </w:r>
            <w:r w:rsidRPr="00C51BB7">
              <w:rPr>
                <w:rFonts w:ascii="Calibri" w:hAnsi="Calibri" w:cs="Calibri"/>
                <w:strike/>
                <w:color w:val="EE0000"/>
                <w:sz w:val="24"/>
                <w:szCs w:val="24"/>
              </w:rPr>
              <w:t>a última</w:t>
            </w:r>
            <w:r w:rsidRPr="00C51BB7">
              <w:rPr>
                <w:rFonts w:ascii="Calibri" w:hAnsi="Calibri" w:cs="Calibri"/>
                <w:color w:val="EE0000"/>
                <w:sz w:val="24"/>
                <w:szCs w:val="24"/>
              </w:rPr>
              <w:t xml:space="preserve"> 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avaliação do imóvel a ser alienado tenha sido realizada em prazo inferior a trezentos e sessenta dias, desde que tal procedimento seja devidamente atestado pelo administrador </w:t>
            </w:r>
            <w:r w:rsidRPr="00FB4FAB">
              <w:rPr>
                <w:rFonts w:ascii="Calibri" w:hAnsi="Calibri" w:cs="Calibri"/>
                <w:sz w:val="24"/>
                <w:szCs w:val="24"/>
              </w:rPr>
              <w:lastRenderedPageBreak/>
              <w:t>estatutário tecnicamente qualificado, em função das condições de mercado.</w:t>
            </w:r>
          </w:p>
        </w:tc>
        <w:tc>
          <w:tcPr>
            <w:tcW w:w="3886" w:type="dxa"/>
          </w:tcPr>
          <w:p w14:paraId="689C3882" w14:textId="6B90DF93" w:rsidR="00EE3724" w:rsidRPr="003450B6" w:rsidRDefault="00EE3724" w:rsidP="003450B6">
            <w:pPr>
              <w:spacing w:after="200"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3450B6">
              <w:rPr>
                <w:rFonts w:ascii="Calibri" w:hAnsi="Calibri" w:cs="Calibri"/>
                <w:color w:val="0070C0"/>
                <w:sz w:val="24"/>
                <w:szCs w:val="24"/>
              </w:rPr>
              <w:lastRenderedPageBreak/>
              <w:t>§ 1</w:t>
            </w:r>
            <w:proofErr w:type="gramStart"/>
            <w:r w:rsidRPr="003450B6">
              <w:rPr>
                <w:rFonts w:ascii="Calibri" w:hAnsi="Calibri" w:cs="Calibri"/>
                <w:color w:val="0070C0"/>
                <w:sz w:val="24"/>
                <w:szCs w:val="24"/>
              </w:rPr>
              <w:t>º  Para</w:t>
            </w:r>
            <w:proofErr w:type="gramEnd"/>
            <w:r w:rsidRPr="003450B6"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 fins do cumprimento do disposto no inciso VII do caput deste artigo, a EFPC pode utilizar avaliações do imóvel realizadas nos trezentos e sessenta dias anteriores à data da alienação, desde que atestadas pelo administrador estatutário tecnicamente qualificado, </w:t>
            </w:r>
            <w:r w:rsidRPr="003450B6">
              <w:rPr>
                <w:rFonts w:ascii="Calibri" w:hAnsi="Calibri" w:cs="Calibri"/>
                <w:color w:val="0070C0"/>
                <w:sz w:val="24"/>
                <w:szCs w:val="24"/>
              </w:rPr>
              <w:lastRenderedPageBreak/>
              <w:t>considerando as condições de mercado.</w:t>
            </w:r>
          </w:p>
          <w:p w14:paraId="5DCB9F2A" w14:textId="251CFE2B" w:rsidR="00EE3724" w:rsidRPr="003450B6" w:rsidRDefault="00EE3724" w:rsidP="003450B6">
            <w:pPr>
              <w:tabs>
                <w:tab w:val="left" w:pos="0"/>
              </w:tabs>
              <w:spacing w:line="240" w:lineRule="auto"/>
              <w:ind w:firstLine="708"/>
              <w:jc w:val="both"/>
              <w:rPr>
                <w:rFonts w:ascii="Calibri" w:hAnsi="Calibri" w:cs="Calibri"/>
                <w:b/>
                <w:bCs/>
                <w:color w:val="0070C0"/>
                <w:sz w:val="24"/>
                <w:szCs w:val="24"/>
              </w:rPr>
            </w:pPr>
          </w:p>
        </w:tc>
        <w:tc>
          <w:tcPr>
            <w:tcW w:w="4116" w:type="dxa"/>
          </w:tcPr>
          <w:p w14:paraId="0CC212EA" w14:textId="13221B2C" w:rsidR="00EE3724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Alteração do referido § 1º tem o intuito de desonerar a EFPC caso existam avaliações do imóvel a ser alienado com prazo 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de realização 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inferior a 360 dias. Cabe esclarecer que as 3 avaliações terão que ser efetuadas. </w:t>
            </w:r>
          </w:p>
          <w:p w14:paraId="3F02C0F2" w14:textId="25DF90C8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Caso a EFPC já tenha realizado 2 avaliações do imóvel a ser alienado e </w:t>
            </w:r>
            <w:r w:rsidRPr="00FB4FAB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estas </w:t>
            </w:r>
            <w:r>
              <w:rPr>
                <w:rFonts w:ascii="Calibri" w:hAnsi="Calibri" w:cs="Calibri"/>
                <w:sz w:val="24"/>
                <w:szCs w:val="24"/>
              </w:rPr>
              <w:t>tenham sido elaboradas no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prazo de até 360 dias, teria que realizar apenas mais uma.</w:t>
            </w:r>
          </w:p>
          <w:p w14:paraId="67A5EAF1" w14:textId="636652A3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4A890A3C" w14:textId="77777777" w:rsidR="00EE3724" w:rsidRDefault="003C40C5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lastRenderedPageBreak/>
              <w:t>Inciso VII do art. 4º do Decreto nº 10.411/2020.</w:t>
            </w:r>
          </w:p>
          <w:p w14:paraId="59C51F31" w14:textId="77777777" w:rsidR="004A3036" w:rsidRDefault="004A3036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  <w:p w14:paraId="0ABC9F51" w14:textId="0EF16210" w:rsidR="004A3036" w:rsidRPr="00FB4FAB" w:rsidRDefault="004A3036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 xml:space="preserve">A dispensa de AIR </w:t>
            </w:r>
            <w:r w:rsidR="0042550C">
              <w:rPr>
                <w:rFonts w:ascii="Calibri" w:hAnsi="Calibri" w:cs="Calibri"/>
                <w:sz w:val="24"/>
                <w:szCs w:val="24"/>
              </w:rPr>
              <w:t xml:space="preserve">está baseada na </w:t>
            </w:r>
            <w:r w:rsidR="001A3084">
              <w:rPr>
                <w:rFonts w:ascii="Calibri" w:hAnsi="Calibri" w:cs="Calibri"/>
                <w:sz w:val="24"/>
                <w:szCs w:val="24"/>
              </w:rPr>
              <w:t xml:space="preserve">redução de </w:t>
            </w:r>
            <w:r w:rsidR="001A3084" w:rsidRPr="001A3084">
              <w:rPr>
                <w:rFonts w:ascii="Calibri" w:hAnsi="Calibri" w:cs="Calibri"/>
                <w:sz w:val="24"/>
                <w:szCs w:val="24"/>
              </w:rPr>
              <w:t xml:space="preserve">exigências, obrigações, restrições, requerimentos ou especificações com o objetivo </w:t>
            </w:r>
            <w:r w:rsidR="001A3084" w:rsidRPr="001A3084">
              <w:rPr>
                <w:rFonts w:ascii="Calibri" w:hAnsi="Calibri" w:cs="Calibri"/>
                <w:sz w:val="24"/>
                <w:szCs w:val="24"/>
              </w:rPr>
              <w:lastRenderedPageBreak/>
              <w:t>de diminuir os custos regulatórios</w:t>
            </w:r>
            <w:r w:rsidR="001A3084">
              <w:rPr>
                <w:rFonts w:ascii="Calibri" w:hAnsi="Calibri" w:cs="Calibri"/>
                <w:sz w:val="24"/>
                <w:szCs w:val="24"/>
              </w:rPr>
              <w:t xml:space="preserve">, </w:t>
            </w:r>
            <w:r w:rsidR="00DD1A79">
              <w:rPr>
                <w:rFonts w:ascii="Calibri" w:hAnsi="Calibri" w:cs="Calibri"/>
                <w:sz w:val="24"/>
                <w:szCs w:val="24"/>
              </w:rPr>
              <w:t>pois trouxe o</w:t>
            </w:r>
            <w:r w:rsidR="00117326">
              <w:rPr>
                <w:rFonts w:ascii="Calibri" w:hAnsi="Calibri" w:cs="Calibri"/>
                <w:sz w:val="24"/>
                <w:szCs w:val="24"/>
              </w:rPr>
              <w:t xml:space="preserve"> entendimento</w:t>
            </w:r>
            <w:r w:rsidR="00BB161C">
              <w:rPr>
                <w:rFonts w:ascii="Calibri" w:hAnsi="Calibri" w:cs="Calibri"/>
                <w:sz w:val="24"/>
                <w:szCs w:val="24"/>
              </w:rPr>
              <w:t xml:space="preserve"> de </w:t>
            </w:r>
            <w:r w:rsidR="00DD1A79">
              <w:rPr>
                <w:rFonts w:ascii="Calibri" w:hAnsi="Calibri" w:cs="Calibri"/>
                <w:sz w:val="24"/>
                <w:szCs w:val="24"/>
              </w:rPr>
              <w:t xml:space="preserve">que </w:t>
            </w:r>
            <w:r w:rsidR="00BB161C">
              <w:rPr>
                <w:rFonts w:ascii="Calibri" w:hAnsi="Calibri" w:cs="Calibri"/>
                <w:sz w:val="24"/>
                <w:szCs w:val="24"/>
              </w:rPr>
              <w:t>avaliações ou reavaliações</w:t>
            </w:r>
            <w:r w:rsidR="00DD1A79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r w:rsidR="00A2762A">
              <w:rPr>
                <w:rFonts w:ascii="Calibri" w:hAnsi="Calibri" w:cs="Calibri"/>
                <w:sz w:val="24"/>
                <w:szCs w:val="24"/>
              </w:rPr>
              <w:t xml:space="preserve">do imóvel a ser alienado </w:t>
            </w:r>
            <w:r w:rsidR="00DD1A79">
              <w:rPr>
                <w:rFonts w:ascii="Calibri" w:hAnsi="Calibri" w:cs="Calibri"/>
                <w:sz w:val="24"/>
                <w:szCs w:val="24"/>
              </w:rPr>
              <w:t xml:space="preserve">realizadas </w:t>
            </w:r>
            <w:r w:rsidR="00561205">
              <w:rPr>
                <w:rFonts w:ascii="Calibri" w:hAnsi="Calibri" w:cs="Calibri"/>
                <w:sz w:val="24"/>
                <w:szCs w:val="24"/>
              </w:rPr>
              <w:t xml:space="preserve">em prazo de até 360 dias </w:t>
            </w:r>
            <w:r w:rsidR="00D24477">
              <w:rPr>
                <w:rFonts w:ascii="Calibri" w:hAnsi="Calibri" w:cs="Calibri"/>
                <w:sz w:val="24"/>
                <w:szCs w:val="24"/>
              </w:rPr>
              <w:t xml:space="preserve">serão aceitas para efeito do disposto no inciso VII do artigo </w:t>
            </w:r>
            <w:r w:rsidR="00E03F38">
              <w:rPr>
                <w:rFonts w:ascii="Calibri" w:hAnsi="Calibri" w:cs="Calibri"/>
                <w:sz w:val="24"/>
                <w:szCs w:val="24"/>
              </w:rPr>
              <w:t>197.</w:t>
            </w:r>
          </w:p>
        </w:tc>
      </w:tr>
      <w:tr w:rsidR="00EE3724" w:rsidRPr="00FB4FAB" w14:paraId="5BC16961" w14:textId="678F4339" w:rsidTr="00EE3724">
        <w:trPr>
          <w:trHeight w:val="300"/>
        </w:trPr>
        <w:tc>
          <w:tcPr>
            <w:tcW w:w="3903" w:type="dxa"/>
          </w:tcPr>
          <w:p w14:paraId="2F1F9524" w14:textId="3B32E18A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lastRenderedPageBreak/>
              <w:t>...</w:t>
            </w:r>
          </w:p>
        </w:tc>
        <w:tc>
          <w:tcPr>
            <w:tcW w:w="3886" w:type="dxa"/>
          </w:tcPr>
          <w:p w14:paraId="69A95653" w14:textId="626180F3" w:rsidR="00EE3724" w:rsidRPr="00FB4FAB" w:rsidRDefault="00EE3724" w:rsidP="00C51BB7">
            <w:pPr>
              <w:tabs>
                <w:tab w:val="left" w:pos="0"/>
              </w:tabs>
              <w:spacing w:line="240" w:lineRule="auto"/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...</w:t>
            </w:r>
          </w:p>
        </w:tc>
        <w:tc>
          <w:tcPr>
            <w:tcW w:w="4116" w:type="dxa"/>
          </w:tcPr>
          <w:p w14:paraId="20619C99" w14:textId="77777777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7E12D4DE" w14:textId="77777777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05D737AA" w14:textId="6E3629DE" w:rsidTr="00EE3724">
        <w:trPr>
          <w:trHeight w:val="300"/>
        </w:trPr>
        <w:tc>
          <w:tcPr>
            <w:tcW w:w="3903" w:type="dxa"/>
          </w:tcPr>
          <w:p w14:paraId="58E59C33" w14:textId="7BA63022" w:rsidR="00EE3724" w:rsidRPr="00FB4FAB" w:rsidRDefault="00EE3724" w:rsidP="00C51BB7">
            <w:pPr>
              <w:tabs>
                <w:tab w:val="left" w:pos="0"/>
              </w:tabs>
              <w:spacing w:line="240" w:lineRule="auto"/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Seção</w:t>
            </w:r>
          </w:p>
          <w:p w14:paraId="2E75711B" w14:textId="03907BAF" w:rsidR="00EE3724" w:rsidRPr="00FB4FAB" w:rsidRDefault="00EE3724" w:rsidP="00C51BB7">
            <w:pPr>
              <w:tabs>
                <w:tab w:val="left" w:pos="0"/>
              </w:tabs>
              <w:spacing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VII Notas Explicativas</w:t>
            </w:r>
          </w:p>
        </w:tc>
        <w:tc>
          <w:tcPr>
            <w:tcW w:w="3886" w:type="dxa"/>
          </w:tcPr>
          <w:p w14:paraId="256FE8BF" w14:textId="77777777" w:rsidR="00EE3724" w:rsidRPr="00FB4FAB" w:rsidRDefault="00EE3724" w:rsidP="00C51BB7">
            <w:pPr>
              <w:tabs>
                <w:tab w:val="left" w:pos="0"/>
              </w:tabs>
              <w:spacing w:line="240" w:lineRule="auto"/>
              <w:jc w:val="center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Seção</w:t>
            </w:r>
          </w:p>
          <w:p w14:paraId="6A80EE39" w14:textId="5140A607" w:rsidR="00EE3724" w:rsidRPr="00FB4FAB" w:rsidRDefault="00EE3724" w:rsidP="00C51BB7">
            <w:pPr>
              <w:tabs>
                <w:tab w:val="left" w:pos="0"/>
              </w:tabs>
              <w:spacing w:line="240" w:lineRule="auto"/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VII Notas Explicativas</w:t>
            </w:r>
          </w:p>
        </w:tc>
        <w:tc>
          <w:tcPr>
            <w:tcW w:w="4116" w:type="dxa"/>
          </w:tcPr>
          <w:p w14:paraId="6F40039B" w14:textId="77777777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2EF11AB7" w14:textId="77777777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449D2327" w14:textId="34527DCA" w:rsidTr="00EE3724">
        <w:trPr>
          <w:trHeight w:val="300"/>
        </w:trPr>
        <w:tc>
          <w:tcPr>
            <w:tcW w:w="3903" w:type="dxa"/>
          </w:tcPr>
          <w:p w14:paraId="0D27B966" w14:textId="14D4B1E9" w:rsidR="00EE3724" w:rsidRPr="00FB4FAB" w:rsidRDefault="00EE3724" w:rsidP="00C51BB7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Art. 208.  </w:t>
            </w:r>
            <w:r w:rsidRPr="00FB4FAB">
              <w:rPr>
                <w:rFonts w:ascii="Calibri" w:eastAsia="Calibri" w:hAnsi="Calibri" w:cs="Calibri"/>
                <w:sz w:val="24"/>
                <w:szCs w:val="24"/>
              </w:rPr>
              <w:t>As EFPC devem elaborar as Notas Explicativas às Demonstrações Contábeis contemplando, no mínimo, as seguintes informações, segregadas, quando possível, por planos de benefícios e pelo Plano de Gestão Administrativa:</w:t>
            </w:r>
          </w:p>
        </w:tc>
        <w:tc>
          <w:tcPr>
            <w:tcW w:w="3886" w:type="dxa"/>
          </w:tcPr>
          <w:p w14:paraId="77C7896B" w14:textId="2203E9B6" w:rsidR="00EE3724" w:rsidRPr="00461BB9" w:rsidRDefault="00EE3724" w:rsidP="00461BB9">
            <w:pPr>
              <w:spacing w:after="200" w:line="276" w:lineRule="auto"/>
              <w:jc w:val="both"/>
              <w:rPr>
                <w:rFonts w:asciiTheme="majorHAnsi" w:hAnsiTheme="majorHAnsi" w:cstheme="majorBidi"/>
                <w:color w:val="0070C0"/>
              </w:rPr>
            </w:pPr>
            <w:r w:rsidRPr="00461BB9">
              <w:rPr>
                <w:rFonts w:asciiTheme="majorHAnsi" w:hAnsiTheme="majorHAnsi" w:cstheme="majorBidi"/>
                <w:color w:val="0070C0"/>
              </w:rPr>
              <w:t xml:space="preserve">Art. 208. As EFPC devem elaborar e apresentar as Notas Explicativas às Demonstrações Contábeis seguindo </w:t>
            </w:r>
            <w:r>
              <w:rPr>
                <w:rFonts w:asciiTheme="majorHAnsi" w:hAnsiTheme="majorHAnsi" w:cstheme="majorBidi"/>
                <w:color w:val="0070C0"/>
              </w:rPr>
              <w:t xml:space="preserve">obrigatoriamente </w:t>
            </w:r>
            <w:r w:rsidRPr="00461BB9">
              <w:rPr>
                <w:rFonts w:asciiTheme="majorHAnsi" w:hAnsiTheme="majorHAnsi" w:cstheme="majorBidi"/>
                <w:color w:val="0070C0"/>
              </w:rPr>
              <w:t>a ordem dos incisos deste artigo, contendo, no mínimo, as informações neles previstas, segregadas, quando possível, por planos de benefícios e pelo Plano de Gestão Administrativa</w:t>
            </w:r>
            <w:r>
              <w:rPr>
                <w:rFonts w:asciiTheme="majorHAnsi" w:hAnsiTheme="majorHAnsi" w:cstheme="majorBidi"/>
                <w:color w:val="0070C0"/>
              </w:rPr>
              <w:t>:</w:t>
            </w:r>
          </w:p>
          <w:p w14:paraId="48002A56" w14:textId="5AB9CC78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6FDDA58B" w14:textId="7ACE789A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A alteração do artigo incluindo a determinação da necessidade de seguir </w:t>
            </w:r>
            <w:r w:rsidRPr="00FB4FAB">
              <w:rPr>
                <w:rFonts w:ascii="Calibri" w:hAnsi="Calibri" w:cs="Calibri"/>
                <w:sz w:val="24"/>
                <w:szCs w:val="24"/>
              </w:rPr>
              <w:t>uma ordem mínima padronizada garante a uniformidade na apresentação das informações, facilitando a leitura técnica, a análise comparativa entre entidades e o acompanhamento pelo órgão fiscalizador. Além disso, atende aos princípios da compreensibilidade e comparabilidade, fundamentais na estrutura conceitual da contabilidade prevista no CPC 00 (R2). Atualmente, a ausência de um modelo sequencial tem gerado divergências na forma de exposição das informações, dificultando a análise técnica.</w:t>
            </w:r>
          </w:p>
          <w:p w14:paraId="49650C7E" w14:textId="3F941604" w:rsidR="00EE3724" w:rsidRPr="00FB4FAB" w:rsidRDefault="00EE3724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33244132" w14:textId="229DEBED" w:rsidR="00EE3724" w:rsidRDefault="00EA6885" w:rsidP="00C51BB7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lastRenderedPageBreak/>
              <w:t>Inciso</w:t>
            </w:r>
            <w:r w:rsidR="002361F1">
              <w:rPr>
                <w:rFonts w:ascii="Calibri" w:hAnsi="Calibri" w:cs="Calibri"/>
                <w:sz w:val="24"/>
                <w:szCs w:val="24"/>
              </w:rPr>
              <w:t>s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r w:rsidR="00AA7287">
              <w:rPr>
                <w:rFonts w:ascii="Calibri" w:hAnsi="Calibri" w:cs="Calibri"/>
                <w:sz w:val="24"/>
                <w:szCs w:val="24"/>
              </w:rPr>
              <w:t xml:space="preserve">II e </w:t>
            </w:r>
            <w:r w:rsidR="008140F4">
              <w:rPr>
                <w:rFonts w:ascii="Calibri" w:hAnsi="Calibri" w:cs="Calibri"/>
                <w:sz w:val="24"/>
                <w:szCs w:val="24"/>
              </w:rPr>
              <w:t>I</w:t>
            </w:r>
            <w:r>
              <w:rPr>
                <w:rFonts w:ascii="Calibri" w:hAnsi="Calibri" w:cs="Calibri"/>
                <w:sz w:val="24"/>
                <w:szCs w:val="24"/>
              </w:rPr>
              <w:t>II</w:t>
            </w:r>
            <w:r w:rsidR="00AA7287">
              <w:rPr>
                <w:rFonts w:ascii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hAnsi="Calibri" w:cs="Calibri"/>
                <w:sz w:val="24"/>
                <w:szCs w:val="24"/>
              </w:rPr>
              <w:t>do art. 4º do Decreto nº 10.411/2020.</w:t>
            </w:r>
          </w:p>
          <w:p w14:paraId="60232279" w14:textId="77777777" w:rsidR="00A8731E" w:rsidRDefault="00A8731E" w:rsidP="00C51BB7">
            <w:pPr>
              <w:spacing w:line="240" w:lineRule="auto"/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</w:p>
          <w:p w14:paraId="5FC9C33F" w14:textId="77777777" w:rsidR="00A8731E" w:rsidRDefault="00A8731E" w:rsidP="00C51BB7">
            <w:pPr>
              <w:spacing w:line="240" w:lineRule="auto"/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A dispensa </w:t>
            </w:r>
            <w:r w:rsidR="00B878AC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de AIR </w:t>
            </w:r>
            <w:r w:rsidR="005A4057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está </w:t>
            </w:r>
            <w:r w:rsidR="00B878AC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baseada em</w:t>
            </w:r>
            <w:r w:rsidR="002C5A6E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</w:t>
            </w:r>
            <w:r w:rsidR="002C5A6E" w:rsidRPr="002C5A6E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disciplinar direitos ou obrigações definidos em norma hierarquicamente superior</w:t>
            </w:r>
            <w:r w:rsidR="002C5A6E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e</w:t>
            </w:r>
            <w:r w:rsidR="00071F14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, também, por ser de</w:t>
            </w:r>
            <w:r w:rsidR="00B878AC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baixo impacto</w:t>
            </w:r>
            <w:r w:rsidR="00CB7C94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, pois trata de alteração redacional e </w:t>
            </w:r>
            <w:r w:rsidR="005A4057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melhor ordenamento </w:t>
            </w:r>
            <w:r w:rsidR="00B2657E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de dispositivo já existente na norma atual</w:t>
            </w:r>
            <w:r w:rsidR="0029195D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e inclusão de incisos para atendimento </w:t>
            </w:r>
            <w:r w:rsidR="00F23323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a exigências de normas hierarquicamente superiores</w:t>
            </w:r>
            <w:r w:rsidR="00B2657E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, ou seja, </w:t>
            </w:r>
            <w:r w:rsidR="000864AC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r</w:t>
            </w:r>
            <w:r w:rsidR="00455F06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eordenamento de incisos e </w:t>
            </w:r>
            <w:r w:rsidR="00455F06">
              <w:rPr>
                <w:rFonts w:ascii="Calibri" w:hAnsi="Calibri" w:cs="Calibri"/>
                <w:color w:val="000000" w:themeColor="text1"/>
                <w:sz w:val="24"/>
                <w:szCs w:val="24"/>
              </w:rPr>
              <w:lastRenderedPageBreak/>
              <w:t xml:space="preserve">inclusão de incisos </w:t>
            </w:r>
            <w:r w:rsidR="002361F1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para atendimento a normas hierarquicamente superiores.</w:t>
            </w:r>
          </w:p>
          <w:p w14:paraId="6C9E0033" w14:textId="77777777" w:rsidR="006871AB" w:rsidRDefault="006871AB" w:rsidP="00C51BB7">
            <w:pPr>
              <w:spacing w:line="240" w:lineRule="auto"/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</w:p>
          <w:p w14:paraId="5BB08F57" w14:textId="7CD3D98F" w:rsidR="006871AB" w:rsidRDefault="001154A2" w:rsidP="00C51BB7">
            <w:pPr>
              <w:spacing w:line="240" w:lineRule="auto"/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As realocações dos incisos e inclusão de inciso</w:t>
            </w:r>
            <w:r w:rsidR="00013345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s seguem </w:t>
            </w:r>
            <w:r w:rsidR="009A1BB6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a</w:t>
            </w:r>
            <w:r w:rsidR="00013345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s mesmas </w:t>
            </w:r>
            <w:r w:rsidR="003E2F5E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bases para dispensa de AIR do artigo 208.</w:t>
            </w:r>
          </w:p>
        </w:tc>
      </w:tr>
      <w:tr w:rsidR="00EE3724" w:rsidRPr="00FB4FAB" w14:paraId="063F5BA6" w14:textId="37592FFA" w:rsidTr="00EE3724">
        <w:trPr>
          <w:trHeight w:val="300"/>
        </w:trPr>
        <w:tc>
          <w:tcPr>
            <w:tcW w:w="3903" w:type="dxa"/>
          </w:tcPr>
          <w:p w14:paraId="2909C581" w14:textId="2AE1E0DC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lastRenderedPageBreak/>
              <w:t xml:space="preserve">I - </w:t>
            </w:r>
            <w:proofErr w:type="gramStart"/>
            <w:r w:rsidRPr="00FB4FAB">
              <w:rPr>
                <w:rFonts w:ascii="Calibri" w:eastAsia="Calibri" w:hAnsi="Calibri" w:cs="Calibri"/>
                <w:sz w:val="24"/>
                <w:szCs w:val="24"/>
              </w:rPr>
              <w:t>contexto</w:t>
            </w:r>
            <w:proofErr w:type="gramEnd"/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 operacional das EFPC, incluindo resumo das principais práticas contábeis, relação dos itens avaliados, descrição dos critérios adotados nos períodos, anterior e atual, e eventuais efeitos decorrentes de mudanças de critérios;</w:t>
            </w:r>
          </w:p>
        </w:tc>
        <w:tc>
          <w:tcPr>
            <w:tcW w:w="3886" w:type="dxa"/>
          </w:tcPr>
          <w:p w14:paraId="70CC328B" w14:textId="06A18511" w:rsidR="00EE3724" w:rsidRPr="00FB4FAB" w:rsidRDefault="00EE3724" w:rsidP="00424EAA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I - </w:t>
            </w:r>
            <w:proofErr w:type="gramStart"/>
            <w:r w:rsidRPr="00FB4FAB">
              <w:rPr>
                <w:rFonts w:ascii="Calibri" w:eastAsia="Aptos" w:hAnsi="Calibri" w:cs="Calibri"/>
                <w:sz w:val="24"/>
                <w:szCs w:val="24"/>
              </w:rPr>
              <w:t>contexto</w:t>
            </w:r>
            <w:proofErr w:type="gramEnd"/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operacional das EFPC, incluindo resumo das principais práticas contábeis, relação dos itens avaliados, descrição dos critérios adotados nos períodos, anterior e atual, e eventuais efeitos decorrentes de mudanças de critérios;</w:t>
            </w:r>
          </w:p>
        </w:tc>
        <w:tc>
          <w:tcPr>
            <w:tcW w:w="4116" w:type="dxa"/>
          </w:tcPr>
          <w:p w14:paraId="092ED7BC" w14:textId="5EA0DEA9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Texto mantido</w:t>
            </w:r>
          </w:p>
        </w:tc>
        <w:tc>
          <w:tcPr>
            <w:tcW w:w="3222" w:type="dxa"/>
          </w:tcPr>
          <w:p w14:paraId="73926049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0B1EE08A" w14:textId="71C8FCA5" w:rsidTr="00EE3724">
        <w:trPr>
          <w:trHeight w:val="300"/>
        </w:trPr>
        <w:tc>
          <w:tcPr>
            <w:tcW w:w="3903" w:type="dxa"/>
          </w:tcPr>
          <w:p w14:paraId="2E80F6C3" w14:textId="6A41E798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II - </w:t>
            </w:r>
            <w:proofErr w:type="gramStart"/>
            <w:r w:rsidRPr="00FB4FAB">
              <w:rPr>
                <w:rFonts w:ascii="Calibri" w:eastAsia="Calibri" w:hAnsi="Calibri" w:cs="Calibri"/>
                <w:sz w:val="24"/>
                <w:szCs w:val="24"/>
              </w:rPr>
              <w:t>descrição</w:t>
            </w:r>
            <w:proofErr w:type="gramEnd"/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 das contingências passivas relevantes, cujas chances de perda sejam prováveis ou possíveis;</w:t>
            </w:r>
          </w:p>
        </w:tc>
        <w:tc>
          <w:tcPr>
            <w:tcW w:w="3886" w:type="dxa"/>
          </w:tcPr>
          <w:p w14:paraId="7909709F" w14:textId="25B39832" w:rsidR="00EE3724" w:rsidRPr="00FB4FAB" w:rsidRDefault="00EE3724" w:rsidP="00424EAA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II -</w:t>
            </w:r>
            <w:r w:rsidR="00DF49CE"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proofErr w:type="gramStart"/>
            <w:r w:rsidRPr="00FB4FAB">
              <w:rPr>
                <w:rFonts w:ascii="Calibri" w:eastAsia="Aptos" w:hAnsi="Calibri" w:cs="Calibri"/>
                <w:sz w:val="24"/>
                <w:szCs w:val="24"/>
              </w:rPr>
              <w:t>composição</w:t>
            </w:r>
            <w:proofErr w:type="gramEnd"/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da carteira de investimentos, em comparação com a do exercício anterior;</w:t>
            </w:r>
          </w:p>
          <w:p w14:paraId="63B4FED6" w14:textId="10705803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6C0A2847" w14:textId="44F8EA1F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IX foi realocado para inciso II.</w:t>
            </w:r>
          </w:p>
        </w:tc>
        <w:tc>
          <w:tcPr>
            <w:tcW w:w="3222" w:type="dxa"/>
          </w:tcPr>
          <w:p w14:paraId="469138F5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05388865" w14:textId="6C1EC886" w:rsidTr="00EE3724">
        <w:trPr>
          <w:trHeight w:val="300"/>
        </w:trPr>
        <w:tc>
          <w:tcPr>
            <w:tcW w:w="3903" w:type="dxa"/>
          </w:tcPr>
          <w:p w14:paraId="784253AA" w14:textId="72CA9F4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III - critérios, natureza e percentual utilizados para a constituição de provisões;</w:t>
            </w:r>
          </w:p>
        </w:tc>
        <w:tc>
          <w:tcPr>
            <w:tcW w:w="3886" w:type="dxa"/>
          </w:tcPr>
          <w:p w14:paraId="584D3AE6" w14:textId="11B468DE" w:rsidR="00EE3724" w:rsidRPr="00FB4FAB" w:rsidRDefault="00EE3724" w:rsidP="00424EAA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III -</w:t>
            </w:r>
            <w:r w:rsidR="00DF49CE"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títulos públicos federais classificados na categoria "títulos mantidos até o vencimento", negociados no período, especificando a data da negociação, quantidade negociada, valor total negociado, o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efeito no resultado e a justificativa para negociação;</w:t>
            </w:r>
          </w:p>
        </w:tc>
        <w:tc>
          <w:tcPr>
            <w:tcW w:w="4116" w:type="dxa"/>
          </w:tcPr>
          <w:p w14:paraId="2E34664B" w14:textId="35765914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Devido a reorganização do ordenamento do conteúdo mínimo das notas explicativas, o inciso XXI foi realocado para inciso III.</w:t>
            </w:r>
          </w:p>
          <w:p w14:paraId="6B50931C" w14:textId="6C41FBF2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73FFB529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3FCD4FD1" w14:textId="58511700" w:rsidTr="00EE3724">
        <w:trPr>
          <w:trHeight w:val="300"/>
        </w:trPr>
        <w:tc>
          <w:tcPr>
            <w:tcW w:w="3903" w:type="dxa"/>
          </w:tcPr>
          <w:p w14:paraId="2843C74D" w14:textId="54237E18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IV - </w:t>
            </w:r>
            <w:proofErr w:type="gramStart"/>
            <w:r w:rsidRPr="00FB4FAB">
              <w:rPr>
                <w:rFonts w:ascii="Calibri" w:eastAsia="Calibri" w:hAnsi="Calibri" w:cs="Calibri"/>
                <w:sz w:val="24"/>
                <w:szCs w:val="24"/>
              </w:rPr>
              <w:t>critérios</w:t>
            </w:r>
            <w:proofErr w:type="gramEnd"/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 de avaliação e de amortização das aplicações de recursos existentes no ativo intangível;</w:t>
            </w:r>
          </w:p>
        </w:tc>
        <w:tc>
          <w:tcPr>
            <w:tcW w:w="3886" w:type="dxa"/>
          </w:tcPr>
          <w:p w14:paraId="667B0A82" w14:textId="3FE5FF96" w:rsidR="00EE3724" w:rsidRPr="00FB4FAB" w:rsidRDefault="00EE3724" w:rsidP="00424EAA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IV -</w:t>
            </w:r>
            <w:r w:rsidR="00DF49CE"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proofErr w:type="gramStart"/>
            <w:r w:rsidRPr="00FB4FAB">
              <w:rPr>
                <w:rFonts w:ascii="Calibri" w:eastAsia="Aptos" w:hAnsi="Calibri" w:cs="Calibri"/>
                <w:sz w:val="24"/>
                <w:szCs w:val="24"/>
              </w:rPr>
              <w:t>títulos</w:t>
            </w:r>
            <w:proofErr w:type="gramEnd"/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públicos federais reclassificados da categoria "títulos mantidos até o vencimento" para “títulos mantidos para negociação”;</w:t>
            </w:r>
          </w:p>
          <w:p w14:paraId="0C27E31E" w14:textId="47FED5C1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56980E88" w14:textId="1C5544E9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XXII foi realocado para inciso IV.</w:t>
            </w:r>
          </w:p>
          <w:p w14:paraId="30EBB98F" w14:textId="6EA6FED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39EC3417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42CA29B5" w14:textId="014C19C7" w:rsidTr="00EE3724">
        <w:trPr>
          <w:trHeight w:val="300"/>
        </w:trPr>
        <w:tc>
          <w:tcPr>
            <w:tcW w:w="3903" w:type="dxa"/>
          </w:tcPr>
          <w:p w14:paraId="3102BEDB" w14:textId="7186E08A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V - </w:t>
            </w:r>
            <w:proofErr w:type="gramStart"/>
            <w:r w:rsidRPr="00FB4FAB">
              <w:rPr>
                <w:rFonts w:ascii="Calibri" w:eastAsia="Calibri" w:hAnsi="Calibri" w:cs="Calibri"/>
                <w:sz w:val="24"/>
                <w:szCs w:val="24"/>
              </w:rPr>
              <w:t>avaliações e reavaliações</w:t>
            </w:r>
            <w:proofErr w:type="gramEnd"/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 dos bens imóveis do ativo “Imobilizado” e dos “Investimentos em imóveis” indicando, no mínimo, histórico, data da avaliação, identificação dos avaliadores responsáveis e respectivos valores, bem como os efeitos no exercício;</w:t>
            </w:r>
          </w:p>
        </w:tc>
        <w:tc>
          <w:tcPr>
            <w:tcW w:w="3886" w:type="dxa"/>
          </w:tcPr>
          <w:p w14:paraId="18F11774" w14:textId="257C7C3F" w:rsidR="00EE3724" w:rsidRPr="00FB4FAB" w:rsidRDefault="00EE3724" w:rsidP="00424EAA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V - </w:t>
            </w:r>
            <w:proofErr w:type="gramStart"/>
            <w:r w:rsidRPr="00FB4FAB">
              <w:rPr>
                <w:rFonts w:ascii="Calibri" w:eastAsia="Aptos" w:hAnsi="Calibri" w:cs="Calibri"/>
                <w:sz w:val="24"/>
                <w:szCs w:val="24"/>
              </w:rPr>
              <w:t>premissas</w:t>
            </w:r>
            <w:proofErr w:type="gramEnd"/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utilizadas no cálculo, a metodologia e a forma de precificação utilizadas na avaliação dos ativos financeiros sem cotação no mercado, inclusive os que compõem a carteira de fundos de investimentos, constantes do laudo de avaliação econômica, bem como as justificativas para a escolha do preço do ativo nos casos em que mais de uma opção seja apresentada pelo avaliador;</w:t>
            </w:r>
          </w:p>
          <w:p w14:paraId="695539EA" w14:textId="474C0383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4CBB0B7E" w14:textId="4405130E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XVI foi realocado para inciso V.</w:t>
            </w:r>
          </w:p>
          <w:p w14:paraId="0A0CB50D" w14:textId="7FC0E6AD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5F858989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71148E51" w14:textId="6C39E706" w:rsidTr="00EE3724">
        <w:trPr>
          <w:trHeight w:val="825"/>
        </w:trPr>
        <w:tc>
          <w:tcPr>
            <w:tcW w:w="3903" w:type="dxa"/>
          </w:tcPr>
          <w:p w14:paraId="1413F180" w14:textId="7E73BAD0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VI - </w:t>
            </w:r>
            <w:proofErr w:type="gramStart"/>
            <w:r w:rsidRPr="00FB4FAB">
              <w:rPr>
                <w:rFonts w:ascii="Calibri" w:eastAsia="Calibri" w:hAnsi="Calibri" w:cs="Calibri"/>
                <w:sz w:val="24"/>
                <w:szCs w:val="24"/>
              </w:rPr>
              <w:t>ajustes</w:t>
            </w:r>
            <w:proofErr w:type="gramEnd"/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 de exercícios anteriores decorrentes de mudanças de práticas contábeis ou de retificações de erros de períodos anteriores, não </w:t>
            </w:r>
            <w:r w:rsidRPr="00FB4FAB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atribuíveis a eventos subsequentes, com descrição da natureza e dos seus respectivos efeitos, conforme normas do Conselho Federal de Contabilidade (CFC);</w:t>
            </w:r>
          </w:p>
        </w:tc>
        <w:tc>
          <w:tcPr>
            <w:tcW w:w="3886" w:type="dxa"/>
          </w:tcPr>
          <w:p w14:paraId="7E269114" w14:textId="7909E78B" w:rsidR="00EE3724" w:rsidRPr="00FB4FAB" w:rsidRDefault="00EE3724" w:rsidP="00424EAA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VI -</w:t>
            </w:r>
            <w:r w:rsidR="00DF49CE"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proofErr w:type="gramStart"/>
            <w:r w:rsidRPr="00FB4FAB">
              <w:rPr>
                <w:rFonts w:ascii="Calibri" w:eastAsia="Aptos" w:hAnsi="Calibri" w:cs="Calibri"/>
                <w:sz w:val="24"/>
                <w:szCs w:val="24"/>
              </w:rPr>
              <w:t>controle</w:t>
            </w:r>
            <w:proofErr w:type="gramEnd"/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e acompanhamento contábil e financeiro dos títulos objeto do ajuste de precificação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contendo, no mínimo, a natureza, a quantidade e o montante de títulos por faixa de vencimento, o valor investido e o valor do ajuste posicionado na data de encerramento do exercício ou em decorrência de fato relevante;</w:t>
            </w:r>
          </w:p>
        </w:tc>
        <w:tc>
          <w:tcPr>
            <w:tcW w:w="4116" w:type="dxa"/>
          </w:tcPr>
          <w:p w14:paraId="5DC56E81" w14:textId="78D2806A" w:rsidR="00EE3724" w:rsidRPr="00FB4FAB" w:rsidRDefault="00EE3724" w:rsidP="00BB5AA7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Devido a reorganização do ordenamento do conteúdo mínimo das notas explicativas, o inciso XVII</w:t>
            </w:r>
            <w:r w:rsidRPr="00BB5AA7">
              <w:rPr>
                <w:rFonts w:ascii="Calibri" w:eastAsia="Aptos" w:hAnsi="Calibri" w:cs="Calibri"/>
                <w:sz w:val="24"/>
                <w:szCs w:val="24"/>
              </w:rPr>
              <w:t>I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foi realocado para inciso VI.</w:t>
            </w:r>
          </w:p>
        </w:tc>
        <w:tc>
          <w:tcPr>
            <w:tcW w:w="3222" w:type="dxa"/>
          </w:tcPr>
          <w:p w14:paraId="0460B6F0" w14:textId="77777777" w:rsidR="00EE3724" w:rsidRPr="00FB4FAB" w:rsidRDefault="00EE3724" w:rsidP="00BB5AA7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5D2BF1D6" w14:textId="0BBE1EB9" w:rsidTr="00EE3724">
        <w:trPr>
          <w:trHeight w:val="300"/>
        </w:trPr>
        <w:tc>
          <w:tcPr>
            <w:tcW w:w="3903" w:type="dxa"/>
          </w:tcPr>
          <w:p w14:paraId="76A8C470" w14:textId="6BC3D0E3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VII - descrição de operações relativas à contratação de contribuições em atraso, de serviço passado, de déficit técnico e de outras indicando o valor contratado, o prazo de amortização, o valor da parcela, a data de vencimento, os juros pactuados e outras informações pertinentes;</w:t>
            </w:r>
          </w:p>
        </w:tc>
        <w:tc>
          <w:tcPr>
            <w:tcW w:w="3886" w:type="dxa"/>
          </w:tcPr>
          <w:p w14:paraId="566D875A" w14:textId="7A2D9184" w:rsidR="00EE3724" w:rsidRPr="00FB4FAB" w:rsidRDefault="00EE3724" w:rsidP="00424EAA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VII -</w:t>
            </w:r>
            <w:r w:rsidR="00DF49CE"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identificação dos perfis de investimentos de participantes em planos de benefícios de caráter previdencial e suas características;</w:t>
            </w:r>
          </w:p>
        </w:tc>
        <w:tc>
          <w:tcPr>
            <w:tcW w:w="4116" w:type="dxa"/>
          </w:tcPr>
          <w:p w14:paraId="2A06DAA6" w14:textId="392C44C4" w:rsidR="00EE3724" w:rsidRPr="00FB4FAB" w:rsidRDefault="00EE3724" w:rsidP="00BB5AA7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</w:t>
            </w:r>
            <w:r w:rsidRPr="00BB5AA7">
              <w:rPr>
                <w:rFonts w:ascii="Calibri" w:eastAsia="Aptos" w:hAnsi="Calibri" w:cs="Calibri"/>
                <w:sz w:val="24"/>
                <w:szCs w:val="24"/>
              </w:rPr>
              <w:t>X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V foi realocado para inciso VII.</w:t>
            </w:r>
          </w:p>
          <w:p w14:paraId="1D05C680" w14:textId="4F24C397" w:rsidR="00EE3724" w:rsidRPr="00FB4FAB" w:rsidRDefault="00EE3724" w:rsidP="00BB5AA7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17AD54DC" w14:textId="77777777" w:rsidR="00EE3724" w:rsidRPr="00FB4FAB" w:rsidRDefault="00EE3724" w:rsidP="00BB5AA7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28A155BD" w14:textId="6F0AA70C" w:rsidTr="00EE3724">
        <w:trPr>
          <w:trHeight w:val="300"/>
        </w:trPr>
        <w:tc>
          <w:tcPr>
            <w:tcW w:w="3903" w:type="dxa"/>
          </w:tcPr>
          <w:p w14:paraId="39A2C893" w14:textId="13953FE6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VIII - composição das contribuições em atraso e contratadas, por patrocinador e por plano de benefícios, comparativos com o exercício anterior;</w:t>
            </w:r>
          </w:p>
        </w:tc>
        <w:tc>
          <w:tcPr>
            <w:tcW w:w="3886" w:type="dxa"/>
          </w:tcPr>
          <w:p w14:paraId="07CFC139" w14:textId="68F3271F" w:rsidR="00EE3724" w:rsidRPr="0061076A" w:rsidRDefault="00EE3724" w:rsidP="00424EAA">
            <w:pPr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VIII - avaliações dos bens imóveis do ativo “Imobilizado” </w:t>
            </w:r>
            <w:r w:rsidRPr="00FB4FAB">
              <w:rPr>
                <w:rFonts w:ascii="Calibri" w:eastAsiaTheme="minorEastAsia" w:hAnsi="Calibri" w:cs="Calibri"/>
                <w:color w:val="0070C0"/>
                <w:sz w:val="24"/>
                <w:szCs w:val="24"/>
              </w:rPr>
              <w:t>indicando, no mínimo, as avaliações realizadas, o método de depreciação adotado</w:t>
            </w:r>
            <w:r>
              <w:rPr>
                <w:rFonts w:ascii="Calibri" w:eastAsiaTheme="minorEastAsia" w:hAnsi="Calibri" w:cs="Calibri"/>
                <w:color w:val="0070C0"/>
                <w:sz w:val="24"/>
                <w:szCs w:val="24"/>
              </w:rPr>
              <w:t xml:space="preserve">, o histórico </w:t>
            </w:r>
            <w:r w:rsidRPr="00FB4FAB">
              <w:rPr>
                <w:rFonts w:ascii="Calibri" w:eastAsiaTheme="minorEastAsia" w:hAnsi="Calibri" w:cs="Calibri"/>
                <w:color w:val="0070C0"/>
                <w:sz w:val="24"/>
                <w:szCs w:val="24"/>
              </w:rPr>
              <w:t xml:space="preserve">e a </w:t>
            </w:r>
            <w:r>
              <w:rPr>
                <w:rFonts w:ascii="Calibri" w:eastAsiaTheme="minorEastAsia" w:hAnsi="Calibri" w:cs="Calibri"/>
                <w:color w:val="0070C0"/>
                <w:sz w:val="24"/>
                <w:szCs w:val="24"/>
              </w:rPr>
              <w:t xml:space="preserve">data da avaliação, a identificação dos avaliadores </w:t>
            </w:r>
            <w:r w:rsidRPr="0061076A"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responsáveis e os respectivos valores, bem como, quando aplicável, a justificativa para reconhecimento ou reversão de perda por redução ao </w:t>
            </w:r>
            <w:r w:rsidRPr="0061076A">
              <w:rPr>
                <w:rFonts w:ascii="Calibri" w:hAnsi="Calibri" w:cs="Calibri"/>
                <w:color w:val="0070C0"/>
                <w:sz w:val="24"/>
                <w:szCs w:val="24"/>
              </w:rPr>
              <w:lastRenderedPageBreak/>
              <w:t>valor recuperável do ativo e os efeitos decorrentes no exercício</w:t>
            </w:r>
            <w:r>
              <w:rPr>
                <w:rFonts w:ascii="Calibri" w:hAnsi="Calibri" w:cs="Calibri"/>
                <w:color w:val="0070C0"/>
                <w:sz w:val="24"/>
                <w:szCs w:val="24"/>
              </w:rPr>
              <w:t>;</w:t>
            </w:r>
          </w:p>
          <w:p w14:paraId="0D21B498" w14:textId="7BBF53C6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  <w:highlight w:val="yellow"/>
              </w:rPr>
            </w:pPr>
          </w:p>
        </w:tc>
        <w:tc>
          <w:tcPr>
            <w:tcW w:w="4116" w:type="dxa"/>
          </w:tcPr>
          <w:p w14:paraId="1644EA70" w14:textId="08F493F5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Devido a reorganização do ordenamento do conteúdo mínimo das notas explicativas, o inciso V foi dividido em dois incisos e uma parte foi realocado para inciso VIII e outra para o inciso IX.</w:t>
            </w:r>
          </w:p>
          <w:p w14:paraId="2565624A" w14:textId="2CE2D9A3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A alteração proposta de divisão do inciso V anterior em dois incisos, tem por finalidade fortalecer a qualidade e a completude das informações divulgadas </w:t>
            </w:r>
            <w:r w:rsidRPr="00FB4FAB">
              <w:rPr>
                <w:rFonts w:ascii="Calibri" w:hAnsi="Calibri" w:cs="Calibri"/>
                <w:sz w:val="24"/>
                <w:szCs w:val="24"/>
              </w:rPr>
              <w:lastRenderedPageBreak/>
              <w:t xml:space="preserve">pelas EFPC nas notas explicativas, especificamente no que se refere à mensuração e à avaliação de bens imóveis classificados como </w:t>
            </w: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“Imobilizado”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ou como </w:t>
            </w: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“Investimentos em imóveis”</w:t>
            </w:r>
            <w:r w:rsidRPr="00FB4FAB">
              <w:rPr>
                <w:rFonts w:ascii="Calibri" w:hAnsi="Calibri" w:cs="Calibri"/>
                <w:sz w:val="24"/>
                <w:szCs w:val="24"/>
              </w:rPr>
              <w:t>.</w:t>
            </w:r>
          </w:p>
          <w:p w14:paraId="4010D491" w14:textId="7777777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>O texto original tratava conjuntamente dos dois tipos de classificação contábil, exigindo apenas informações genéricas sobre as avaliações e reavaliações, sem distinguir a natureza e o tratamento contábil distinto entre esses grupos patrimoniais. A nova redação propõe separar de forma explícita as exigências para:</w:t>
            </w:r>
          </w:p>
          <w:p w14:paraId="1781058E" w14:textId="77777777" w:rsidR="00EE3724" w:rsidRPr="00FB4FAB" w:rsidRDefault="00EE3724" w:rsidP="00424EAA">
            <w:pPr>
              <w:numPr>
                <w:ilvl w:val="0"/>
                <w:numId w:val="5"/>
              </w:numPr>
              <w:spacing w:after="200" w:line="276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Imóveis classificados como imobilizado (ativo operacional da entidade), que estão sujeitos a depreciação sistemática e avaliação de recuperabilidade (teste de </w:t>
            </w:r>
            <w:proofErr w:type="spellStart"/>
            <w:r w:rsidRPr="00FB4FAB">
              <w:rPr>
                <w:rFonts w:ascii="Calibri" w:hAnsi="Calibri" w:cs="Calibri"/>
                <w:i/>
                <w:iCs/>
                <w:sz w:val="24"/>
                <w:szCs w:val="24"/>
              </w:rPr>
              <w:t>impairment</w:t>
            </w:r>
            <w:proofErr w:type="spellEnd"/>
            <w:r w:rsidRPr="00FB4FAB">
              <w:rPr>
                <w:rFonts w:ascii="Calibri" w:hAnsi="Calibri" w:cs="Calibri"/>
                <w:sz w:val="24"/>
                <w:szCs w:val="24"/>
              </w:rPr>
              <w:t>); e</w:t>
            </w:r>
          </w:p>
          <w:p w14:paraId="4F761774" w14:textId="77777777" w:rsidR="00EE3724" w:rsidRPr="00FB4FAB" w:rsidRDefault="00EE3724" w:rsidP="00424EAA">
            <w:pPr>
              <w:numPr>
                <w:ilvl w:val="0"/>
                <w:numId w:val="5"/>
              </w:numPr>
              <w:spacing w:after="200" w:line="276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Imóveis classificados como Investimentos, que têm como finalidade a renda ou valorização de capital, demandando </w:t>
            </w:r>
            <w:r w:rsidRPr="00FB4FAB">
              <w:rPr>
                <w:rFonts w:ascii="Calibri" w:hAnsi="Calibri" w:cs="Calibri"/>
                <w:sz w:val="24"/>
                <w:szCs w:val="24"/>
              </w:rPr>
              <w:lastRenderedPageBreak/>
              <w:t>divulgação clara dos critérios de avaliação justa ou reavaliação periódica.</w:t>
            </w:r>
          </w:p>
          <w:p w14:paraId="5FC8F9CD" w14:textId="7777777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hAnsi="Calibri" w:cs="Calibri"/>
                <w:sz w:val="24"/>
                <w:szCs w:val="24"/>
              </w:rPr>
              <w:t xml:space="preserve">Essa separação decorre das exigências dos Pronunciamentos Técnicos </w:t>
            </w: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CPC 27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(Ativo Imobilizado) e </w:t>
            </w:r>
            <w:r w:rsidRPr="00FB4FAB">
              <w:rPr>
                <w:rFonts w:ascii="Calibri" w:hAnsi="Calibri" w:cs="Calibri"/>
                <w:b/>
                <w:bCs/>
                <w:sz w:val="24"/>
                <w:szCs w:val="24"/>
              </w:rPr>
              <w:t>CPC 28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 (Propriedade para Investimento), ambos exigíveis às EFPC por força da Resolução CNPC nº 43/2021, e tem como objetivo evitar assimetrias e omissões na apresentação das informações contábeis.</w:t>
            </w:r>
          </w:p>
          <w:p w14:paraId="2DDC1A4C" w14:textId="2B4A5A2D" w:rsidR="00EE3724" w:rsidRPr="00FB4FAB" w:rsidRDefault="00EE3724" w:rsidP="00424EAA">
            <w:pPr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06B75E17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2D7E8C03" w14:textId="25C6F65D" w:rsidTr="00EE3724">
        <w:trPr>
          <w:trHeight w:val="300"/>
        </w:trPr>
        <w:tc>
          <w:tcPr>
            <w:tcW w:w="3903" w:type="dxa"/>
          </w:tcPr>
          <w:p w14:paraId="16E9336A" w14:textId="543BB4EF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166E83B3" w14:textId="1E4AD29C" w:rsidR="00EE3724" w:rsidRPr="00FB4FAB" w:rsidRDefault="00EE3724" w:rsidP="00424EAA">
            <w:pPr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  <w:r>
              <w:rPr>
                <w:rFonts w:ascii="Aptos" w:eastAsia="Aptos" w:hAnsi="Aptos" w:cs="Aptos"/>
                <w:color w:val="0070C0"/>
                <w:sz w:val="24"/>
                <w:szCs w:val="24"/>
              </w:rPr>
              <w:t xml:space="preserve">IX - </w:t>
            </w:r>
            <w:proofErr w:type="gramStart"/>
            <w:r w:rsidRPr="0002567E">
              <w:rPr>
                <w:rFonts w:ascii="Aptos" w:eastAsia="Aptos" w:hAnsi="Aptos" w:cs="Aptos"/>
                <w:color w:val="0070C0"/>
                <w:sz w:val="24"/>
                <w:szCs w:val="24"/>
              </w:rPr>
              <w:t>avaliações</w:t>
            </w:r>
            <w:proofErr w:type="gramEnd"/>
            <w:r w:rsidRPr="0002567E">
              <w:rPr>
                <w:rFonts w:ascii="Aptos" w:eastAsia="Aptos" w:hAnsi="Aptos" w:cs="Aptos"/>
                <w:color w:val="0070C0"/>
                <w:sz w:val="24"/>
                <w:szCs w:val="24"/>
              </w:rPr>
              <w:t xml:space="preserve"> e, quando aplicável, reavaliações dos bens imóveis classificados como investimento, indicando, no mínimo, o histórico, a data da avaliação, a identificação dos avaliadores responsáveis e os respectivos valores, o critério de mensuração adotado (valor justo ou custo) e os efeitos decorrentes no exercício</w:t>
            </w:r>
            <w:r>
              <w:rPr>
                <w:rFonts w:ascii="Aptos" w:eastAsia="Aptos" w:hAnsi="Aptos" w:cs="Aptos"/>
                <w:color w:val="0070C0"/>
                <w:sz w:val="24"/>
                <w:szCs w:val="24"/>
              </w:rPr>
              <w:t>;</w:t>
            </w:r>
          </w:p>
        </w:tc>
        <w:tc>
          <w:tcPr>
            <w:tcW w:w="4116" w:type="dxa"/>
          </w:tcPr>
          <w:p w14:paraId="5534156B" w14:textId="3EF89874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Inclusão de inciso decorrente da divisão do inciso V </w:t>
            </w:r>
            <w:r w:rsidRPr="00FB4FAB">
              <w:rPr>
                <w:rFonts w:ascii="Calibri" w:hAnsi="Calibri" w:cs="Calibri"/>
                <w:sz w:val="24"/>
                <w:szCs w:val="24"/>
              </w:rPr>
              <w:t>anterior em dois incisos</w:t>
            </w:r>
            <w:r>
              <w:rPr>
                <w:rFonts w:ascii="Calibri" w:hAnsi="Calibri" w:cs="Calibri"/>
                <w:sz w:val="24"/>
                <w:szCs w:val="24"/>
              </w:rPr>
              <w:t>, sendo este inciso IX referente a imóveis classificados como investimentos</w:t>
            </w:r>
            <w:r w:rsidRPr="00FB4FAB">
              <w:rPr>
                <w:rFonts w:ascii="Calibri" w:hAnsi="Calibri" w:cs="Calibri"/>
                <w:sz w:val="24"/>
                <w:szCs w:val="24"/>
              </w:rPr>
              <w:t>.</w:t>
            </w:r>
          </w:p>
          <w:p w14:paraId="5B5C967A" w14:textId="1D972DBB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  <w:p w14:paraId="0BF35A3A" w14:textId="380DCA9E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  <w:p w14:paraId="4996C4CD" w14:textId="16D13051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5CE62201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4941E274" w14:textId="27258285" w:rsidTr="00EE3724">
        <w:trPr>
          <w:trHeight w:val="300"/>
        </w:trPr>
        <w:tc>
          <w:tcPr>
            <w:tcW w:w="3903" w:type="dxa"/>
          </w:tcPr>
          <w:p w14:paraId="001205AA" w14:textId="7777777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IX - </w:t>
            </w:r>
            <w:proofErr w:type="gramStart"/>
            <w:r w:rsidRPr="00FB4FAB">
              <w:rPr>
                <w:rFonts w:ascii="Calibri" w:eastAsia="Calibri" w:hAnsi="Calibri" w:cs="Calibri"/>
                <w:sz w:val="24"/>
                <w:szCs w:val="24"/>
              </w:rPr>
              <w:t>composição</w:t>
            </w:r>
            <w:proofErr w:type="gramEnd"/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 da carteira de investimentos, em comparação com a do exercício anterior;</w:t>
            </w:r>
          </w:p>
          <w:p w14:paraId="1F3B2E5F" w14:textId="77777777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C6EBF64" w14:textId="4E87AF64" w:rsidR="00EE3724" w:rsidRPr="00FB4FAB" w:rsidRDefault="00EE3724" w:rsidP="00424EAA">
            <w:pPr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 xml:space="preserve">X - </w:t>
            </w:r>
            <w:proofErr w:type="gramStart"/>
            <w:r w:rsidRPr="00FB4FAB">
              <w:rPr>
                <w:rFonts w:ascii="Calibri" w:eastAsia="Aptos" w:hAnsi="Calibri" w:cs="Calibri"/>
                <w:sz w:val="24"/>
                <w:szCs w:val="24"/>
              </w:rPr>
              <w:t>premissas</w:t>
            </w:r>
            <w:proofErr w:type="gramEnd"/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utilizadas para avaliação de imóveis constantes do laudo de avaliação, bem como as justificativas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para a escolha do preço do ativo nos casos em que mais de uma opção seja apresentada pelo avaliador;</w:t>
            </w:r>
          </w:p>
        </w:tc>
        <w:tc>
          <w:tcPr>
            <w:tcW w:w="4116" w:type="dxa"/>
          </w:tcPr>
          <w:p w14:paraId="6E4A64CE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 xml:space="preserve">Devido a reorganização do ordenamento do conteúdo mínimo das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notas explicativas, o inciso XVII foi realocado para inciso X.</w:t>
            </w:r>
          </w:p>
          <w:p w14:paraId="7FB120BD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650CEFA5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15BD8EC0" w14:textId="7174244C" w:rsidTr="00EE3724">
        <w:trPr>
          <w:trHeight w:val="300"/>
        </w:trPr>
        <w:tc>
          <w:tcPr>
            <w:tcW w:w="3903" w:type="dxa"/>
          </w:tcPr>
          <w:p w14:paraId="56D0ECE3" w14:textId="7538D05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X - </w:t>
            </w:r>
            <w:proofErr w:type="gramStart"/>
            <w:r w:rsidRPr="00FB4FAB">
              <w:rPr>
                <w:rFonts w:ascii="Calibri" w:eastAsia="Calibri" w:hAnsi="Calibri" w:cs="Calibri"/>
                <w:sz w:val="24"/>
                <w:szCs w:val="24"/>
              </w:rPr>
              <w:t>critérios</w:t>
            </w:r>
            <w:proofErr w:type="gramEnd"/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 utilizados para o rateio das despesas administrativas entre os planos de benefícios, se for o caso;</w:t>
            </w:r>
          </w:p>
          <w:p w14:paraId="495A9A84" w14:textId="15B0D687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48E0745C" w14:textId="2E7835EE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XI - descrição de operações de empréstimo de títulos ou valores mobiliários em que o ativo recebido for diverso daquele originalmente entregue, classificado na categoria "títulos mantidos até o vencimento", com informações sobre ativos emprestados e recebidos, datas da operação original e da devolução, quantidades envolvidas e efeito no resultado do período;</w:t>
            </w:r>
          </w:p>
        </w:tc>
        <w:tc>
          <w:tcPr>
            <w:tcW w:w="4116" w:type="dxa"/>
          </w:tcPr>
          <w:p w14:paraId="2A48FE84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XIV foi realocado para inciso XI.</w:t>
            </w:r>
          </w:p>
          <w:p w14:paraId="0F3DEECD" w14:textId="42D85FE2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0FA15D37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42ADA1CE" w14:textId="378BDAAE" w:rsidTr="00EE3724">
        <w:trPr>
          <w:trHeight w:val="300"/>
        </w:trPr>
        <w:tc>
          <w:tcPr>
            <w:tcW w:w="3903" w:type="dxa"/>
          </w:tcPr>
          <w:p w14:paraId="64768EC3" w14:textId="39EA6064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XI - objetivos e critérios utilizados para constituição e reversão de fundos;</w:t>
            </w:r>
          </w:p>
          <w:p w14:paraId="60C8B832" w14:textId="03F6B4FD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7E5BF629" w14:textId="6C99AAF6" w:rsidR="00EE3724" w:rsidRPr="00FB4FAB" w:rsidRDefault="00EE3724" w:rsidP="00424EAA">
            <w:pPr>
              <w:spacing w:after="160"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XII - operações entre partes relacionadas com, no mínimo, condições pactuadas e os montantes dos saldos existentes das transações, bem como a provisão para créditos de liquidação duvidosa relacionada com o montante dos saldos existentes</w:t>
            </w:r>
            <w:r>
              <w:rPr>
                <w:rFonts w:ascii="Calibri" w:eastAsia="Aptos" w:hAnsi="Calibri" w:cs="Calibri"/>
                <w:sz w:val="24"/>
                <w:szCs w:val="24"/>
              </w:rPr>
              <w:t>;</w:t>
            </w:r>
          </w:p>
        </w:tc>
        <w:tc>
          <w:tcPr>
            <w:tcW w:w="4116" w:type="dxa"/>
          </w:tcPr>
          <w:p w14:paraId="7DFB84F5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XXVI foi realocado para inciso XII.</w:t>
            </w:r>
          </w:p>
          <w:p w14:paraId="2D2F3FED" w14:textId="13BE9388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0B512785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3FA82E93" w14:textId="176B65C5" w:rsidTr="00EE3724">
        <w:trPr>
          <w:trHeight w:val="300"/>
        </w:trPr>
        <w:tc>
          <w:tcPr>
            <w:tcW w:w="3903" w:type="dxa"/>
          </w:tcPr>
          <w:p w14:paraId="350EC261" w14:textId="13C07422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bookmarkStart w:id="0" w:name="_Hlk205977078"/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XII - detalhamento dos saldos das contas que contenham a denominação "Outros", quando ultrapassarem, no total, um décimo </w:t>
            </w:r>
            <w:r w:rsidRPr="00FB4FAB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do valor do respectivo grupo da referida conta;</w:t>
            </w:r>
          </w:p>
          <w:p w14:paraId="78F0945A" w14:textId="105CF6B8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058DBA1B" w14:textId="56D1403C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bookmarkStart w:id="1" w:name="_Hlk205977045"/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XIII -</w:t>
            </w:r>
            <w:r w:rsidR="00DF49CE"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FB4FAB">
              <w:rPr>
                <w:rFonts w:ascii="Calibri" w:hAnsi="Calibri" w:cs="Calibri"/>
                <w:sz w:val="24"/>
                <w:szCs w:val="24"/>
              </w:rPr>
              <w:t xml:space="preserve">operações entre partes relacionadas com, no mínimo, condições pactuadas </w:t>
            </w:r>
            <w:r w:rsidRPr="00FB4FAB">
              <w:rPr>
                <w:rFonts w:ascii="Calibri" w:hAnsi="Calibri" w:cs="Calibri"/>
                <w:color w:val="0070C0"/>
                <w:sz w:val="24"/>
                <w:szCs w:val="24"/>
              </w:rPr>
              <w:t xml:space="preserve">com seus prazos </w:t>
            </w:r>
            <w:r w:rsidRPr="00FB4FAB">
              <w:rPr>
                <w:rFonts w:ascii="Calibri" w:hAnsi="Calibri" w:cs="Calibri"/>
                <w:color w:val="0070C0"/>
                <w:sz w:val="24"/>
                <w:szCs w:val="24"/>
              </w:rPr>
              <w:lastRenderedPageBreak/>
              <w:t>e condições, incluindo eventuais garantias dadas ou recebidas</w:t>
            </w:r>
            <w:r w:rsidRPr="00FB4FAB">
              <w:rPr>
                <w:rFonts w:ascii="Calibri" w:hAnsi="Calibri" w:cs="Calibri"/>
                <w:sz w:val="24"/>
                <w:szCs w:val="24"/>
              </w:rPr>
              <w:t>, os montantes dos saldos existentes das transações, bem como a provisão para créditos de liquidação duvidosa relacionada com o montante dos saldos existentes</w:t>
            </w:r>
            <w:r>
              <w:rPr>
                <w:rFonts w:ascii="Calibri" w:hAnsi="Calibri" w:cs="Calibri"/>
                <w:sz w:val="24"/>
                <w:szCs w:val="24"/>
              </w:rPr>
              <w:t>;</w:t>
            </w:r>
            <w:bookmarkEnd w:id="1"/>
          </w:p>
        </w:tc>
        <w:tc>
          <w:tcPr>
            <w:tcW w:w="4116" w:type="dxa"/>
          </w:tcPr>
          <w:p w14:paraId="4AF6C390" w14:textId="77777777" w:rsidR="00EE3724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 xml:space="preserve">Devido a reorganização do ordenamento do conteúdo mínimo das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notas explicativas, o inciso XXVI foi realocado para inciso XIII.</w:t>
            </w:r>
          </w:p>
          <w:p w14:paraId="508E55ED" w14:textId="50C85051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Inclusão de texto para melhor detalhamento de informações sobre partes relacionadas.</w:t>
            </w:r>
          </w:p>
          <w:p w14:paraId="6D82CFAC" w14:textId="5B7B675E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0E2BF403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bookmarkEnd w:id="0"/>
      <w:tr w:rsidR="00EE3724" w:rsidRPr="00FB4FAB" w14:paraId="61461622" w14:textId="0D9810C9" w:rsidTr="00EE3724">
        <w:trPr>
          <w:trHeight w:val="300"/>
        </w:trPr>
        <w:tc>
          <w:tcPr>
            <w:tcW w:w="3903" w:type="dxa"/>
          </w:tcPr>
          <w:p w14:paraId="375264DD" w14:textId="482C73C0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XIII - detalhamento dos ajustes e eliminações decorrentes do processo de consolidação das Demonstrações Contábeis;</w:t>
            </w:r>
          </w:p>
          <w:p w14:paraId="3E52CE35" w14:textId="00E22137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569285D3" w14:textId="5B2BC217" w:rsidR="00EE3724" w:rsidRPr="00FB4FAB" w:rsidRDefault="00EE3724" w:rsidP="00424EAA">
            <w:pPr>
              <w:spacing w:after="160" w:line="276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XIV - critérios de avaliação e de amortização das aplicações de recursos existentes no ativo intangível;</w:t>
            </w:r>
          </w:p>
        </w:tc>
        <w:tc>
          <w:tcPr>
            <w:tcW w:w="4116" w:type="dxa"/>
          </w:tcPr>
          <w:p w14:paraId="22F9A7D2" w14:textId="51293D50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IV foi realocado para inciso XIV.</w:t>
            </w:r>
          </w:p>
        </w:tc>
        <w:tc>
          <w:tcPr>
            <w:tcW w:w="3222" w:type="dxa"/>
          </w:tcPr>
          <w:p w14:paraId="1DC8B2C2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190701F1" w14:textId="16D99884" w:rsidTr="00EE3724">
        <w:trPr>
          <w:trHeight w:val="300"/>
        </w:trPr>
        <w:tc>
          <w:tcPr>
            <w:tcW w:w="3903" w:type="dxa"/>
          </w:tcPr>
          <w:p w14:paraId="0BBDE9D2" w14:textId="3197B1EA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XIV - descrição de operações de empréstimo de títulos ou valores mobiliários em que o ativo recebido for diverso daquele originalmente entregue, classificado na categoria "títulos mantidos até o vencimento", com informações sobre ativos emprestados e recebidos, datas da operação original e da devolução, quantidades envolvidas e efeito no resultado do período;</w:t>
            </w:r>
          </w:p>
          <w:p w14:paraId="7A8FE327" w14:textId="721FB6A7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047E6AAE" w14:textId="275FE303" w:rsidR="00EE3724" w:rsidRPr="00FB4FAB" w:rsidRDefault="00EE3724" w:rsidP="004B73CF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XV - </w:t>
            </w:r>
            <w:proofErr w:type="gramStart"/>
            <w:r w:rsidRPr="00FB4FAB">
              <w:rPr>
                <w:rFonts w:ascii="Calibri" w:eastAsia="Aptos" w:hAnsi="Calibri" w:cs="Calibri"/>
                <w:sz w:val="24"/>
                <w:szCs w:val="24"/>
              </w:rPr>
              <w:t>descrição</w:t>
            </w:r>
            <w:proofErr w:type="gramEnd"/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das contingências passivas relevantes, cujas chances de perda sejam prováveis ou possíveis;</w:t>
            </w:r>
          </w:p>
          <w:p w14:paraId="3009E816" w14:textId="5FD992E6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2D7D1E95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II foi realocado para inciso XV.</w:t>
            </w:r>
          </w:p>
          <w:p w14:paraId="6FDE4F7B" w14:textId="4A9F0254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34BCCEB4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38E25325" w14:textId="0636B68F" w:rsidTr="00EE3724">
        <w:trPr>
          <w:trHeight w:val="300"/>
        </w:trPr>
        <w:tc>
          <w:tcPr>
            <w:tcW w:w="3903" w:type="dxa"/>
          </w:tcPr>
          <w:p w14:paraId="66627BF0" w14:textId="70D72881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6E6C7A9C" w14:textId="2A896050" w:rsidR="00EE3724" w:rsidRPr="00FB4FAB" w:rsidRDefault="00EE3724" w:rsidP="003450B6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>XVI - d</w:t>
            </w:r>
            <w:r w:rsidRPr="00736998">
              <w:rPr>
                <w:rFonts w:ascii="Aptos" w:eastAsia="Aptos" w:hAnsi="Aptos" w:cs="Aptos"/>
                <w:color w:val="0070C0"/>
                <w:sz w:val="24"/>
                <w:szCs w:val="24"/>
              </w:rPr>
              <w:t>etalhamento</w:t>
            </w:r>
            <w:r>
              <w:rPr>
                <w:rFonts w:ascii="Aptos" w:eastAsia="Aptos" w:hAnsi="Aptos" w:cs="Aptos"/>
                <w:color w:val="0070C0"/>
                <w:sz w:val="24"/>
                <w:szCs w:val="24"/>
              </w:rPr>
              <w:t>s</w:t>
            </w:r>
            <w:r w:rsidRPr="00736998">
              <w:rPr>
                <w:rFonts w:ascii="Aptos" w:eastAsia="Aptos" w:hAnsi="Aptos" w:cs="Aptos"/>
                <w:color w:val="0070C0"/>
                <w:sz w:val="24"/>
                <w:szCs w:val="24"/>
              </w:rPr>
              <w:t xml:space="preserve"> e justificativa</w:t>
            </w:r>
            <w:r>
              <w:rPr>
                <w:rFonts w:ascii="Aptos" w:eastAsia="Aptos" w:hAnsi="Aptos" w:cs="Aptos"/>
                <w:color w:val="0070C0"/>
                <w:sz w:val="24"/>
                <w:szCs w:val="24"/>
              </w:rPr>
              <w:t>s</w:t>
            </w:r>
            <w:r w:rsidRPr="00736998">
              <w:rPr>
                <w:rFonts w:ascii="Aptos" w:eastAsia="Aptos" w:hAnsi="Aptos" w:cs="Aptos"/>
                <w:color w:val="0070C0"/>
                <w:sz w:val="24"/>
                <w:szCs w:val="24"/>
              </w:rPr>
              <w:t xml:space="preserve"> das provisões reconhecidas no </w:t>
            </w:r>
            <w:r w:rsidRPr="00736998">
              <w:rPr>
                <w:rFonts w:ascii="Aptos" w:eastAsia="Aptos" w:hAnsi="Aptos" w:cs="Aptos"/>
                <w:color w:val="0070C0"/>
                <w:sz w:val="24"/>
                <w:szCs w:val="24"/>
              </w:rPr>
              <w:lastRenderedPageBreak/>
              <w:t>período, bem como dos passivos contingentes, cujas perdas sejam classificadas como prováveis ou possíveis, nos termos das normas contábeis aplicáveis</w:t>
            </w:r>
            <w:r>
              <w:rPr>
                <w:rFonts w:ascii="Aptos" w:eastAsia="Aptos" w:hAnsi="Aptos" w:cs="Aptos"/>
                <w:color w:val="0070C0"/>
                <w:sz w:val="24"/>
                <w:szCs w:val="24"/>
              </w:rPr>
              <w:t>;</w:t>
            </w:r>
          </w:p>
        </w:tc>
        <w:tc>
          <w:tcPr>
            <w:tcW w:w="4116" w:type="dxa"/>
          </w:tcPr>
          <w:p w14:paraId="7C1954D6" w14:textId="5AE69AD0" w:rsidR="00EE3724" w:rsidRPr="004A4D70" w:rsidRDefault="00EE3724" w:rsidP="003450B6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4A4D70">
              <w:rPr>
                <w:rFonts w:ascii="Calibri" w:eastAsia="Aptos" w:hAnsi="Calibri" w:cs="Calibri"/>
                <w:sz w:val="24"/>
                <w:szCs w:val="24"/>
              </w:rPr>
              <w:lastRenderedPageBreak/>
              <w:t>Inclusão de novo inciso.</w:t>
            </w:r>
          </w:p>
          <w:p w14:paraId="295AA003" w14:textId="41526FBF" w:rsidR="00EE3724" w:rsidRPr="0013030D" w:rsidRDefault="00EE3724" w:rsidP="003450B6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bookmarkStart w:id="2" w:name="_Hlk205976794"/>
            <w:r w:rsidRPr="0013030D">
              <w:rPr>
                <w:rFonts w:ascii="Calibri" w:hAnsi="Calibri" w:cs="Calibri"/>
                <w:sz w:val="24"/>
                <w:szCs w:val="24"/>
              </w:rPr>
              <w:lastRenderedPageBreak/>
              <w:t>inclusão do inciso proposto visa aprimorar o conteúdo das notas explicativas exigidas das EFPC no que se refere à divulgação de provisões reconhecidas no período e de passivos contingentes classificados como de perda provável ou possível, conforme definido pelas normas contábeis aplicáveis.</w:t>
            </w:r>
            <w:r w:rsidRPr="0013030D">
              <w:rPr>
                <w:rFonts w:ascii="Calibri" w:hAnsi="Calibri" w:cs="Calibri"/>
                <w:sz w:val="24"/>
                <w:szCs w:val="24"/>
              </w:rPr>
              <w:br/>
              <w:t>O objetivo é assegurar maior transparência e clareza na apresentação dessas informações, permitindo que os usuários das demonstrações contábeis — como participantes, assistidos, órgãos de fiscalização e auditorias — compreendam de forma adequada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q</w:t>
            </w:r>
            <w:r w:rsidRPr="0013030D">
              <w:rPr>
                <w:rFonts w:ascii="Calibri" w:hAnsi="Calibri" w:cs="Calibri"/>
                <w:sz w:val="24"/>
                <w:szCs w:val="24"/>
              </w:rPr>
              <w:t>uais obrigações foram efetivamente reconhecidas no período</w:t>
            </w:r>
            <w:r>
              <w:rPr>
                <w:rFonts w:ascii="Calibri" w:hAnsi="Calibri" w:cs="Calibri"/>
                <w:sz w:val="24"/>
                <w:szCs w:val="24"/>
              </w:rPr>
              <w:t>, bem como q</w:t>
            </w:r>
            <w:r w:rsidRPr="0013030D">
              <w:rPr>
                <w:rFonts w:ascii="Calibri" w:hAnsi="Calibri" w:cs="Calibri"/>
                <w:sz w:val="24"/>
                <w:szCs w:val="24"/>
              </w:rPr>
              <w:t>uais passivos contingentes relevantes, ainda não reconhecidos contabilmente, apresentam probabilidade de perda provável ou possível</w:t>
            </w:r>
            <w:r>
              <w:rPr>
                <w:rFonts w:ascii="Calibri" w:hAnsi="Calibri" w:cs="Calibri"/>
                <w:sz w:val="24"/>
                <w:szCs w:val="24"/>
              </w:rPr>
              <w:t>, por exemplo.</w:t>
            </w:r>
            <w:r w:rsidRPr="0013030D">
              <w:rPr>
                <w:rFonts w:ascii="Calibri" w:hAnsi="Calibri" w:cs="Calibri"/>
                <w:sz w:val="24"/>
                <w:szCs w:val="24"/>
              </w:rPr>
              <w:br/>
              <w:t>Essa melhoria contribui para o alinhamento às boas práticas contábeis e regulatórias, reforçando a fidedignidade e utilidade das demonstrações financeiras.</w:t>
            </w:r>
          </w:p>
          <w:p w14:paraId="5513D37F" w14:textId="77777777" w:rsidR="00EE3724" w:rsidRPr="004A4D70" w:rsidRDefault="00EE3724" w:rsidP="003450B6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  <w:bookmarkEnd w:id="2"/>
          <w:p w14:paraId="043CBC20" w14:textId="77777777" w:rsidR="00EE3724" w:rsidRPr="004A4D70" w:rsidRDefault="00EE3724" w:rsidP="003450B6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A4D70">
              <w:rPr>
                <w:rFonts w:ascii="Calibri" w:hAnsi="Calibri" w:cs="Calibri"/>
                <w:sz w:val="24"/>
                <w:szCs w:val="24"/>
              </w:rPr>
              <w:lastRenderedPageBreak/>
              <w:t>Do ponto de vista contábil, essa distinção é fundamental para assegurar a fidedignidade das demonstrações financeiras, permitindo que os usuários (como participantes, assistidos, órgãos de fiscalização e auditorias) compreendam:</w:t>
            </w:r>
          </w:p>
          <w:p w14:paraId="2909DB83" w14:textId="77777777" w:rsidR="00EE3724" w:rsidRPr="004A4D70" w:rsidRDefault="00EE3724" w:rsidP="003450B6">
            <w:pPr>
              <w:tabs>
                <w:tab w:val="num" w:pos="720"/>
              </w:tabs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4A4D70">
              <w:rPr>
                <w:rFonts w:ascii="Calibri" w:hAnsi="Calibri" w:cs="Calibri"/>
                <w:sz w:val="24"/>
                <w:szCs w:val="24"/>
              </w:rPr>
              <w:t>Quais são as obrigações efetivas já reconhecidas e com impacto patrimonial;</w:t>
            </w:r>
          </w:p>
          <w:p w14:paraId="61C83DE0" w14:textId="0C11089F" w:rsidR="00EE3724" w:rsidRPr="004A4D70" w:rsidRDefault="00EE3724" w:rsidP="003450B6">
            <w:pPr>
              <w:tabs>
                <w:tab w:val="num" w:pos="720"/>
              </w:tabs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4A4D70">
              <w:rPr>
                <w:rFonts w:ascii="Calibri" w:hAnsi="Calibri" w:cs="Calibri"/>
                <w:sz w:val="24"/>
                <w:szCs w:val="24"/>
              </w:rPr>
              <w:t>Quais são riscos potenciais ainda não registrados contabilmente, mas que merecem monitoramento.</w:t>
            </w:r>
          </w:p>
        </w:tc>
        <w:tc>
          <w:tcPr>
            <w:tcW w:w="3222" w:type="dxa"/>
          </w:tcPr>
          <w:p w14:paraId="7C0647D0" w14:textId="77777777" w:rsidR="00EE3724" w:rsidRPr="004A4D70" w:rsidRDefault="00EE3724" w:rsidP="003450B6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02953073" w14:textId="7819772D" w:rsidTr="00EE3724">
        <w:trPr>
          <w:trHeight w:val="300"/>
        </w:trPr>
        <w:tc>
          <w:tcPr>
            <w:tcW w:w="3903" w:type="dxa"/>
          </w:tcPr>
          <w:p w14:paraId="60DDDF7A" w14:textId="7777777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lastRenderedPageBreak/>
              <w:t xml:space="preserve">XV - </w:t>
            </w:r>
            <w:bookmarkStart w:id="3" w:name="_Int_1D69QThR"/>
            <w:proofErr w:type="gramStart"/>
            <w:r w:rsidRPr="00FB4FAB">
              <w:rPr>
                <w:rFonts w:ascii="Calibri" w:eastAsia="Calibri" w:hAnsi="Calibri" w:cs="Calibri"/>
                <w:sz w:val="24"/>
                <w:szCs w:val="24"/>
              </w:rPr>
              <w:t>eventos</w:t>
            </w:r>
            <w:bookmarkEnd w:id="3"/>
            <w:proofErr w:type="gramEnd"/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 subsequentes à data de encerramento do exercício que tenham ou possam vir a ter efeitos relevantes sobre a situação financeira ou econômica dos planos de benefícios e do Plano de Gestão Administrativa;</w:t>
            </w:r>
          </w:p>
          <w:p w14:paraId="3F8B7D06" w14:textId="77777777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6548317C" w14:textId="133F8B66" w:rsidR="00EE3724" w:rsidRPr="00FB4FAB" w:rsidRDefault="00EE3724" w:rsidP="00B12E73">
            <w:pPr>
              <w:spacing w:line="240" w:lineRule="auto"/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XVII - critérios, natureza e percentual utilizados para a constituição de provisões;</w:t>
            </w:r>
          </w:p>
        </w:tc>
        <w:tc>
          <w:tcPr>
            <w:tcW w:w="4116" w:type="dxa"/>
          </w:tcPr>
          <w:p w14:paraId="560D1953" w14:textId="77777777" w:rsidR="00EE3724" w:rsidRPr="00FB4FAB" w:rsidRDefault="00EE3724" w:rsidP="003450B6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III foi realocado para inciso XVII.</w:t>
            </w:r>
          </w:p>
          <w:p w14:paraId="1D9F47E0" w14:textId="77777777" w:rsidR="00EE3724" w:rsidRPr="00FB4FAB" w:rsidRDefault="00EE3724" w:rsidP="003450B6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03FDFECD" w14:textId="77777777" w:rsidR="00EE3724" w:rsidRPr="00FB4FAB" w:rsidRDefault="00EE3724" w:rsidP="003450B6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684E3625" w14:textId="75749B6F" w:rsidTr="00EE3724">
        <w:trPr>
          <w:trHeight w:val="300"/>
        </w:trPr>
        <w:tc>
          <w:tcPr>
            <w:tcW w:w="3903" w:type="dxa"/>
          </w:tcPr>
          <w:p w14:paraId="71F31F49" w14:textId="3073A4C2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XVI - premissas utilizadas no cálculo, a metodologia e a forma de precificação utilizadas na avaliação dos ativos financeiros sem cotação no mercado, inclusive os que compõem a carteira de fundos de investimentos, </w:t>
            </w:r>
            <w:r w:rsidRPr="00FB4FAB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constantes do laudo de avaliação econômica, bem como as justificativas para a escolha do preço do ativo nos casos em que mais de uma opção seja apresentada pelo avaliador;</w:t>
            </w:r>
          </w:p>
          <w:p w14:paraId="33C888A1" w14:textId="048FB29A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5342B260" w14:textId="75C143AC" w:rsidR="00EE3724" w:rsidRPr="00FB4FAB" w:rsidRDefault="00EE3724" w:rsidP="00B12E73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XVIII - critérios e prazos utilizados para a destinação de superávit técnico, caso aplicável;</w:t>
            </w:r>
          </w:p>
        </w:tc>
        <w:tc>
          <w:tcPr>
            <w:tcW w:w="4116" w:type="dxa"/>
          </w:tcPr>
          <w:p w14:paraId="270DC6A9" w14:textId="405562E4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XX foi realocado para inciso XVIII.</w:t>
            </w:r>
          </w:p>
          <w:p w14:paraId="656486A6" w14:textId="012D7FC1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157BF9D9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5E530355" w14:textId="47330586" w:rsidTr="00EE3724">
        <w:trPr>
          <w:trHeight w:val="300"/>
        </w:trPr>
        <w:tc>
          <w:tcPr>
            <w:tcW w:w="3903" w:type="dxa"/>
          </w:tcPr>
          <w:p w14:paraId="7B641557" w14:textId="71355B02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XVII - premissas utilizadas para avaliação de imóveis constantes do laudo de avaliação, bem como as justificativas para a escolha do preço do ativo nos casos em que mais de uma opção seja apresentada pelo avaliador;</w:t>
            </w:r>
          </w:p>
          <w:p w14:paraId="629FF0C0" w14:textId="69AE00C3" w:rsidR="00EE3724" w:rsidRPr="00FB4FAB" w:rsidRDefault="00EE3724" w:rsidP="00424EAA">
            <w:pPr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629FFE0D" w14:textId="2A89A6DC" w:rsidR="00EE3724" w:rsidRPr="00FB4FAB" w:rsidRDefault="00EE3724" w:rsidP="00424EAA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XIX - objetivos e critérios utilizados para constituição e reversão de fundos;</w:t>
            </w:r>
          </w:p>
          <w:p w14:paraId="5B11A947" w14:textId="69053950" w:rsidR="00EE3724" w:rsidRPr="00FB4FAB" w:rsidRDefault="00EE3724" w:rsidP="00424EAA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3B80D446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XI foi realocado para inciso XIX.</w:t>
            </w:r>
          </w:p>
          <w:p w14:paraId="6B452D6D" w14:textId="5066CCC8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0B67D148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38361E90" w14:textId="41192141" w:rsidTr="00EE3724">
        <w:trPr>
          <w:trHeight w:val="300"/>
        </w:trPr>
        <w:tc>
          <w:tcPr>
            <w:tcW w:w="3903" w:type="dxa"/>
          </w:tcPr>
          <w:p w14:paraId="36F8F627" w14:textId="736A6A92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XVIII - controle e acompanhamento contábil e financeiro dos títulos objeto do ajuste de precificação contendo, no mínimo, a natureza, a quantidade e o montante de títulos por faixa de vencimento, o valor investido e o valor do ajuste posicionado na data de encerramento do exercício ou em decorrência de fato relevante;</w:t>
            </w:r>
          </w:p>
          <w:p w14:paraId="5C12DB0C" w14:textId="1E167435" w:rsidR="00EE3724" w:rsidRPr="00FB4FAB" w:rsidRDefault="00EE3724" w:rsidP="00424EA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494EAC62" w14:textId="3D071019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XX - </w:t>
            </w:r>
            <w:proofErr w:type="gramStart"/>
            <w:r w:rsidRPr="00FB4FAB">
              <w:rPr>
                <w:rFonts w:ascii="Calibri" w:eastAsia="Aptos" w:hAnsi="Calibri" w:cs="Calibri"/>
                <w:sz w:val="24"/>
                <w:szCs w:val="24"/>
              </w:rPr>
              <w:t>utilização</w:t>
            </w:r>
            <w:proofErr w:type="gramEnd"/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de recursos de fundo previdencial para cobertura parcial ou total das contribuições para o plano de benefícios;</w:t>
            </w:r>
          </w:p>
        </w:tc>
        <w:tc>
          <w:tcPr>
            <w:tcW w:w="4116" w:type="dxa"/>
          </w:tcPr>
          <w:p w14:paraId="5DE52B7D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XXIII foi realocado para inciso XX.</w:t>
            </w:r>
          </w:p>
          <w:p w14:paraId="12AEE0FE" w14:textId="6FC053A2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7C1D8FCE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36AA5743" w14:textId="5DDC554B" w:rsidTr="00EE3724">
        <w:trPr>
          <w:trHeight w:val="300"/>
        </w:trPr>
        <w:tc>
          <w:tcPr>
            <w:tcW w:w="3903" w:type="dxa"/>
          </w:tcPr>
          <w:p w14:paraId="63F1726C" w14:textId="3E6B4F1D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XIX - equacionamento de déficit técnico com indicação do plano de benefícios, do prazo, das taxas ou valores de contribuições, das contribuições extraordinárias de participantes, assistidos e patrocinadores, da eventual inadimplência e do tempo restante do equacionamento;</w:t>
            </w:r>
          </w:p>
          <w:p w14:paraId="6C684254" w14:textId="5CFFEA15" w:rsidR="00EE3724" w:rsidRPr="00FB4FAB" w:rsidRDefault="00EE3724" w:rsidP="00424EA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4BE79EF7" w14:textId="12E2370C" w:rsidR="00EE3724" w:rsidRPr="00FB4FAB" w:rsidRDefault="00EE3724" w:rsidP="00424EAA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XXI - composição das contribuições em atraso e contratadas, por patrocinador e por plano de benefícios, comparativos com o exercício anterior;</w:t>
            </w:r>
          </w:p>
          <w:p w14:paraId="000E93BD" w14:textId="076823CD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5D780ABE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VIII foi realocado para inciso XXI.</w:t>
            </w:r>
          </w:p>
          <w:p w14:paraId="316757FF" w14:textId="7C48F625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68C104AC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70FF7058" w14:textId="4FF9E618" w:rsidTr="00EE3724">
        <w:trPr>
          <w:trHeight w:val="300"/>
        </w:trPr>
        <w:tc>
          <w:tcPr>
            <w:tcW w:w="3903" w:type="dxa"/>
          </w:tcPr>
          <w:p w14:paraId="1F4D5892" w14:textId="6C4E2229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XX - </w:t>
            </w:r>
            <w:proofErr w:type="gramStart"/>
            <w:r w:rsidRPr="00FB4FAB">
              <w:rPr>
                <w:rFonts w:ascii="Calibri" w:eastAsia="Calibri" w:hAnsi="Calibri" w:cs="Calibri"/>
                <w:sz w:val="24"/>
                <w:szCs w:val="24"/>
              </w:rPr>
              <w:t>critérios</w:t>
            </w:r>
            <w:proofErr w:type="gramEnd"/>
            <w:r w:rsidRPr="00FB4FAB">
              <w:rPr>
                <w:rFonts w:ascii="Calibri" w:eastAsia="Calibri" w:hAnsi="Calibri" w:cs="Calibri"/>
                <w:sz w:val="24"/>
                <w:szCs w:val="24"/>
              </w:rPr>
              <w:t xml:space="preserve"> e prazos utilizados para a destinação de superávit técnico, caso aplicável;</w:t>
            </w:r>
          </w:p>
          <w:p w14:paraId="3B10464C" w14:textId="7F482E06" w:rsidR="00EE3724" w:rsidRPr="00FB4FAB" w:rsidRDefault="00EE3724" w:rsidP="00424EA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0B031D47" w14:textId="72837391" w:rsidR="00EE3724" w:rsidRPr="00FB4FAB" w:rsidRDefault="00EE3724" w:rsidP="003450B6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XXII</w:t>
            </w:r>
            <w:r w:rsidR="00DF49CE"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- equacionamento de déficit técnico com indicação do plano de benefícios, do prazo, das taxas ou valores de contribuições, das contribuições extraordinárias de participantes, assistidos e patrocinadores, da eventual inadimplência e do tempo restante do equacionamento;</w:t>
            </w:r>
          </w:p>
        </w:tc>
        <w:tc>
          <w:tcPr>
            <w:tcW w:w="4116" w:type="dxa"/>
          </w:tcPr>
          <w:p w14:paraId="287B6857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XIX foi realocado para inciso XXII.</w:t>
            </w:r>
          </w:p>
          <w:p w14:paraId="7F2CD6DB" w14:textId="2F79385A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40FD08A6" w14:textId="77777777" w:rsidR="00EE3724" w:rsidRPr="00FB4FAB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5E4E7965" w14:textId="519CCC4B" w:rsidTr="00EE3724">
        <w:trPr>
          <w:trHeight w:val="300"/>
        </w:trPr>
        <w:tc>
          <w:tcPr>
            <w:tcW w:w="3903" w:type="dxa"/>
          </w:tcPr>
          <w:p w14:paraId="3EC38124" w14:textId="7C881F6A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XXI - títulos públicos federais classificados na categoria "títulos mantidos até o vencimento", negociados no período, especificando a data da negociação, quantidade negociada, valor total negociado, o efeito no resultado e a justificativa para negociação;</w:t>
            </w:r>
          </w:p>
          <w:p w14:paraId="3E341DA7" w14:textId="07345F50" w:rsidR="00EE3724" w:rsidRPr="00FB4FAB" w:rsidRDefault="00EE3724" w:rsidP="00424EA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6D8239D2" w14:textId="2A6B800A" w:rsidR="00EE3724" w:rsidRPr="00FB4FAB" w:rsidRDefault="00EE3724" w:rsidP="00424EAA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XXIII - descrição de operações relativas à contratação de contribuições em atraso, de serviço passado, de déficit técnico e de outras indicando o valor contratado, o prazo de amortização, o valor da parcela, a data de vencimento, os juros pactuados e outras informações pertinentes;</w:t>
            </w:r>
          </w:p>
        </w:tc>
        <w:tc>
          <w:tcPr>
            <w:tcW w:w="4116" w:type="dxa"/>
          </w:tcPr>
          <w:p w14:paraId="2ECF6C14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VII foi realocado para inciso XXIII.</w:t>
            </w:r>
          </w:p>
          <w:p w14:paraId="5EB27650" w14:textId="5B0C6B51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0756284D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10ECCBB8" w14:textId="1AFA4DD6" w:rsidTr="00EE3724">
        <w:trPr>
          <w:trHeight w:val="300"/>
        </w:trPr>
        <w:tc>
          <w:tcPr>
            <w:tcW w:w="3903" w:type="dxa"/>
          </w:tcPr>
          <w:p w14:paraId="781205FA" w14:textId="64BC0AA3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XXII - títulos públicos federais reclassificados da categoria "títulos mantidos até o vencimento" para “títulos mantidos para negociação”;</w:t>
            </w:r>
          </w:p>
          <w:p w14:paraId="3AB0B4DB" w14:textId="2CB8E540" w:rsidR="00EE3724" w:rsidRPr="00FB4FAB" w:rsidRDefault="00EE3724" w:rsidP="00424EA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7F6C2567" w14:textId="6A934B94" w:rsidR="00EE3724" w:rsidRPr="00FB4FAB" w:rsidRDefault="00EE3724" w:rsidP="00424EAA">
            <w:pPr>
              <w:spacing w:after="160"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XXIV -</w:t>
            </w:r>
            <w:r w:rsidR="00DF49CE"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critérios utilizados para o rateio das despesas administrativas entre os planos de benefícios, se for o caso;</w:t>
            </w:r>
          </w:p>
        </w:tc>
        <w:tc>
          <w:tcPr>
            <w:tcW w:w="4116" w:type="dxa"/>
          </w:tcPr>
          <w:p w14:paraId="59C15F31" w14:textId="09C9D8C4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 foi realocado para inciso XXIV.</w:t>
            </w:r>
          </w:p>
        </w:tc>
        <w:tc>
          <w:tcPr>
            <w:tcW w:w="3222" w:type="dxa"/>
          </w:tcPr>
          <w:p w14:paraId="0F88B887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03FD24FE" w14:textId="65F4E348" w:rsidTr="00EE3724">
        <w:trPr>
          <w:trHeight w:val="300"/>
        </w:trPr>
        <w:tc>
          <w:tcPr>
            <w:tcW w:w="3903" w:type="dxa"/>
          </w:tcPr>
          <w:p w14:paraId="4AC13D61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  <w:bookmarkStart w:id="4" w:name="_Hlk205977279"/>
          </w:p>
        </w:tc>
        <w:tc>
          <w:tcPr>
            <w:tcW w:w="3886" w:type="dxa"/>
          </w:tcPr>
          <w:p w14:paraId="725C9404" w14:textId="3B1155EC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bookmarkStart w:id="5" w:name="_Hlk205977184"/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XXV </w:t>
            </w:r>
            <w:r w:rsidR="00156B75">
              <w:rPr>
                <w:rFonts w:ascii="Calibri" w:eastAsia="Aptos" w:hAnsi="Calibri" w:cs="Calibri"/>
                <w:color w:val="0070C0"/>
                <w:sz w:val="24"/>
                <w:szCs w:val="24"/>
              </w:rPr>
              <w:t>-</w:t>
            </w:r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 descrição da c</w:t>
            </w:r>
            <w:r w:rsidRPr="00EA22DE">
              <w:rPr>
                <w:rFonts w:ascii="Calibri" w:eastAsia="Aptos" w:hAnsi="Calibri" w:cs="Calibri"/>
                <w:color w:val="0070C0"/>
                <w:sz w:val="24"/>
                <w:szCs w:val="24"/>
              </w:rPr>
              <w:t>onstituição e reversão do fundo administrativo</w:t>
            </w:r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 compartilhado</w:t>
            </w:r>
            <w:bookmarkEnd w:id="5"/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>;</w:t>
            </w:r>
          </w:p>
        </w:tc>
        <w:tc>
          <w:tcPr>
            <w:tcW w:w="4116" w:type="dxa"/>
          </w:tcPr>
          <w:p w14:paraId="68A68E9F" w14:textId="54103A96" w:rsidR="00EE3724" w:rsidRPr="00FB4FAB" w:rsidRDefault="00EE3724" w:rsidP="004B73CF">
            <w:pPr>
              <w:spacing w:line="240" w:lineRule="auto"/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Inclusão de inciso, </w:t>
            </w:r>
            <w:r w:rsidRPr="00FB4FAB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a fim </w:t>
            </w:r>
            <w:r w:rsidR="00FA4F8E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de 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contemplar as informações do fundo administrativo compartilhado atendendo ao disposto no art. 11 da Resolução CNPC nº 62/2024</w:t>
            </w:r>
            <w:r w:rsidRPr="00FB4FAB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.</w:t>
            </w:r>
          </w:p>
          <w:p w14:paraId="64A75F3A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7EC0325F" w14:textId="77777777" w:rsidR="00EE3724" w:rsidRPr="00FB4FAB" w:rsidRDefault="00EE3724" w:rsidP="004B73CF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bookmarkEnd w:id="4"/>
      <w:tr w:rsidR="00EE3724" w:rsidRPr="00FB4FAB" w14:paraId="28988F3C" w14:textId="1E397996" w:rsidTr="00EE3724">
        <w:trPr>
          <w:trHeight w:val="300"/>
        </w:trPr>
        <w:tc>
          <w:tcPr>
            <w:tcW w:w="3903" w:type="dxa"/>
          </w:tcPr>
          <w:p w14:paraId="79CA6D10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65C70442" w14:textId="791424B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bookmarkStart w:id="6" w:name="_Hlk205977195"/>
            <w:r w:rsidRPr="00FB4FAB">
              <w:rPr>
                <w:rFonts w:ascii="Calibri" w:eastAsia="Aptos" w:hAnsi="Calibri" w:cs="Calibri"/>
                <w:color w:val="0070C0"/>
                <w:sz w:val="24"/>
                <w:szCs w:val="24"/>
              </w:rPr>
              <w:t>XXV</w:t>
            </w:r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>I</w:t>
            </w:r>
            <w:r w:rsidRPr="00FB4FAB"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 - </w:t>
            </w:r>
            <w:r w:rsidRPr="00FB4FAB">
              <w:rPr>
                <w:rFonts w:ascii="Calibri" w:hAnsi="Calibri" w:cs="Calibri"/>
                <w:color w:val="0070C0"/>
                <w:sz w:val="24"/>
                <w:szCs w:val="24"/>
              </w:rPr>
              <w:t>indicação do saldo e detalhamento das despesas de fomento e de inovação referentes ao fundo administrativo compartilhado</w:t>
            </w:r>
            <w:bookmarkEnd w:id="6"/>
            <w:r>
              <w:rPr>
                <w:rFonts w:ascii="Calibri" w:hAnsi="Calibri" w:cs="Calibri"/>
                <w:color w:val="0070C0"/>
                <w:sz w:val="24"/>
                <w:szCs w:val="24"/>
              </w:rPr>
              <w:t>;</w:t>
            </w:r>
          </w:p>
        </w:tc>
        <w:tc>
          <w:tcPr>
            <w:tcW w:w="4116" w:type="dxa"/>
          </w:tcPr>
          <w:p w14:paraId="4175FEED" w14:textId="3C81AC6A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Inclusão de inciso, </w:t>
            </w:r>
            <w:r w:rsidRPr="00FB4FAB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a fim </w:t>
            </w:r>
            <w:r w:rsidR="00FA4F8E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de 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contemplar as informações de fomento e inovação atendendo ao disposto no art. 11 da Resolução CNPC nº 62/2024</w:t>
            </w:r>
            <w:r w:rsidRPr="00FB4FAB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.</w:t>
            </w:r>
          </w:p>
          <w:p w14:paraId="1EFB4526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1DFA40CB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63A98E16" w14:textId="6A6E5B25" w:rsidTr="00EE3724">
        <w:trPr>
          <w:trHeight w:val="300"/>
        </w:trPr>
        <w:tc>
          <w:tcPr>
            <w:tcW w:w="3903" w:type="dxa"/>
          </w:tcPr>
          <w:p w14:paraId="26080160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68967603" w14:textId="7A278A88" w:rsidR="00EE3724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>XXVII - indicação dos montantes de despesas de remuneração fixa e variável pagas</w:t>
            </w:r>
            <w:r w:rsidR="00705E3E"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 no ex</w:t>
            </w:r>
            <w:r w:rsidR="00584B32">
              <w:rPr>
                <w:rFonts w:ascii="Calibri" w:eastAsia="Aptos" w:hAnsi="Calibri" w:cs="Calibri"/>
                <w:color w:val="0070C0"/>
                <w:sz w:val="24"/>
                <w:szCs w:val="24"/>
              </w:rPr>
              <w:t>e</w:t>
            </w:r>
            <w:r w:rsidR="00705E3E">
              <w:rPr>
                <w:rFonts w:ascii="Calibri" w:eastAsia="Aptos" w:hAnsi="Calibri" w:cs="Calibri"/>
                <w:color w:val="0070C0"/>
                <w:sz w:val="24"/>
                <w:szCs w:val="24"/>
              </w:rPr>
              <w:t>rcício</w:t>
            </w:r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 a dirigentes, conselheiros, pessoal próprio e pessoal cedido</w:t>
            </w:r>
            <w:r w:rsidR="004067B4"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, </w:t>
            </w:r>
            <w:r w:rsidR="00EE73C0">
              <w:rPr>
                <w:rFonts w:ascii="Calibri" w:eastAsia="Aptos" w:hAnsi="Calibri" w:cs="Calibri"/>
                <w:color w:val="0070C0"/>
                <w:sz w:val="24"/>
                <w:szCs w:val="24"/>
              </w:rPr>
              <w:t>conforme planificação contábil</w:t>
            </w:r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>;</w:t>
            </w:r>
          </w:p>
          <w:p w14:paraId="1C2998AB" w14:textId="4832936C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</w:p>
        </w:tc>
        <w:tc>
          <w:tcPr>
            <w:tcW w:w="4116" w:type="dxa"/>
          </w:tcPr>
          <w:p w14:paraId="217302AD" w14:textId="4439D87B" w:rsidR="00EE3724" w:rsidRDefault="00EE3724" w:rsidP="00B12E73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Inclusão de inciso, </w:t>
            </w:r>
            <w:r>
              <w:rPr>
                <w:rFonts w:ascii="Calibri" w:eastAsia="Aptos" w:hAnsi="Calibri" w:cs="Calibri"/>
                <w:sz w:val="24"/>
                <w:szCs w:val="24"/>
              </w:rPr>
              <w:t>para informa</w:t>
            </w:r>
            <w:r w:rsidR="001827C4">
              <w:rPr>
                <w:rFonts w:ascii="Calibri" w:eastAsia="Aptos" w:hAnsi="Calibri" w:cs="Calibri"/>
                <w:sz w:val="24"/>
                <w:szCs w:val="24"/>
              </w:rPr>
              <w:t>r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em notas explicativas os montantes pagos de remuneração fixa e variável de pessoal próprio e cedido, dirigentes e conselheiros, com a finalidade de </w:t>
            </w:r>
            <w:r w:rsidR="00BC4E05">
              <w:rPr>
                <w:rFonts w:ascii="Calibri" w:eastAsia="Aptos" w:hAnsi="Calibri" w:cs="Calibri"/>
                <w:sz w:val="24"/>
                <w:szCs w:val="24"/>
              </w:rPr>
              <w:t xml:space="preserve">ampliar </w:t>
            </w:r>
            <w:r w:rsidR="00F83EAA">
              <w:rPr>
                <w:rFonts w:ascii="Calibri" w:eastAsia="Aptos" w:hAnsi="Calibri" w:cs="Calibri"/>
                <w:sz w:val="24"/>
                <w:szCs w:val="24"/>
              </w:rPr>
              <w:t xml:space="preserve">a transparência quanto ao dispêndio </w:t>
            </w:r>
            <w:r w:rsidR="006B7913">
              <w:rPr>
                <w:rFonts w:ascii="Calibri" w:eastAsia="Aptos" w:hAnsi="Calibri" w:cs="Calibri"/>
                <w:sz w:val="24"/>
                <w:szCs w:val="24"/>
              </w:rPr>
              <w:t>realizado pelas EFPC no que tange a remuneração de pessoal</w:t>
            </w:r>
            <w:r w:rsidR="00490420">
              <w:rPr>
                <w:rFonts w:ascii="Calibri" w:eastAsia="Aptos" w:hAnsi="Calibri" w:cs="Calibri"/>
                <w:sz w:val="24"/>
                <w:szCs w:val="24"/>
              </w:rPr>
              <w:t xml:space="preserve">, </w:t>
            </w:r>
            <w:r w:rsidR="00490420" w:rsidRPr="00490420">
              <w:rPr>
                <w:rFonts w:ascii="Calibri" w:eastAsia="Aptos" w:hAnsi="Calibri" w:cs="Calibri"/>
                <w:sz w:val="24"/>
                <w:szCs w:val="24"/>
              </w:rPr>
              <w:t xml:space="preserve">possibilitando </w:t>
            </w:r>
            <w:r w:rsidR="00490420">
              <w:rPr>
                <w:rFonts w:ascii="Calibri" w:eastAsia="Aptos" w:hAnsi="Calibri" w:cs="Calibri"/>
                <w:sz w:val="24"/>
                <w:szCs w:val="24"/>
              </w:rPr>
              <w:t>o</w:t>
            </w:r>
            <w:r w:rsidR="00490420" w:rsidRPr="00490420"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="00490420">
              <w:rPr>
                <w:rFonts w:ascii="Calibri" w:eastAsia="Aptos" w:hAnsi="Calibri" w:cs="Calibri"/>
                <w:sz w:val="24"/>
                <w:szCs w:val="24"/>
              </w:rPr>
              <w:t>acomp</w:t>
            </w:r>
            <w:r w:rsidR="00B30F12">
              <w:rPr>
                <w:rFonts w:ascii="Calibri" w:eastAsia="Aptos" w:hAnsi="Calibri" w:cs="Calibri"/>
                <w:sz w:val="24"/>
                <w:szCs w:val="24"/>
              </w:rPr>
              <w:t>anhamento</w:t>
            </w:r>
            <w:r w:rsidR="00490420" w:rsidRPr="00490420">
              <w:rPr>
                <w:rFonts w:ascii="Calibri" w:eastAsia="Aptos" w:hAnsi="Calibri" w:cs="Calibri"/>
                <w:sz w:val="24"/>
                <w:szCs w:val="24"/>
              </w:rPr>
              <w:t xml:space="preserve"> pelos participantes, assistidos, patrocinadores, instituidores e pelo órgão fiscalizador, em consonância com a criação das contas contábeis </w:t>
            </w:r>
            <w:r w:rsidR="00490420" w:rsidRPr="00490420">
              <w:rPr>
                <w:rFonts w:ascii="Calibri" w:eastAsia="Aptos" w:hAnsi="Calibri" w:cs="Calibri"/>
                <w:sz w:val="24"/>
                <w:szCs w:val="24"/>
              </w:rPr>
              <w:lastRenderedPageBreak/>
              <w:t>específicas para registro da remuneração fixa e variável de dirigentes</w:t>
            </w:r>
            <w:r w:rsidR="00B30F12">
              <w:rPr>
                <w:rFonts w:ascii="Calibri" w:eastAsia="Aptos" w:hAnsi="Calibri" w:cs="Calibri"/>
                <w:sz w:val="24"/>
                <w:szCs w:val="24"/>
              </w:rPr>
              <w:t>.</w:t>
            </w:r>
          </w:p>
          <w:p w14:paraId="02D294F8" w14:textId="77777777" w:rsidR="00EE3724" w:rsidRPr="00FB4FAB" w:rsidRDefault="00EE3724" w:rsidP="00B12E73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26AB782E" w14:textId="77777777" w:rsidR="00EE3724" w:rsidRPr="00FB4FAB" w:rsidRDefault="00EE3724" w:rsidP="00B12E73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1797B772" w14:textId="6D370B8C" w:rsidTr="00EE3724">
        <w:trPr>
          <w:trHeight w:val="300"/>
        </w:trPr>
        <w:tc>
          <w:tcPr>
            <w:tcW w:w="3903" w:type="dxa"/>
          </w:tcPr>
          <w:p w14:paraId="68A1BD18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59AB272D" w14:textId="2FB066DC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bookmarkStart w:id="7" w:name="_Hlk205977202"/>
            <w:r w:rsidRPr="00FB4FAB">
              <w:rPr>
                <w:rFonts w:ascii="Calibri" w:eastAsia="Aptos" w:hAnsi="Calibri" w:cs="Calibri"/>
                <w:color w:val="0070C0"/>
                <w:sz w:val="24"/>
                <w:szCs w:val="24"/>
              </w:rPr>
              <w:t>XXVI</w:t>
            </w:r>
            <w:r>
              <w:rPr>
                <w:rFonts w:ascii="Calibri" w:eastAsia="Aptos" w:hAnsi="Calibri" w:cs="Calibri"/>
                <w:color w:val="0070C0"/>
                <w:sz w:val="24"/>
                <w:szCs w:val="24"/>
              </w:rPr>
              <w:t>II</w:t>
            </w:r>
            <w:r w:rsidRPr="00FB4FAB"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 - </w:t>
            </w:r>
            <w:r w:rsidRPr="00FB4FAB">
              <w:rPr>
                <w:rFonts w:ascii="Calibri" w:hAnsi="Calibri" w:cs="Calibri"/>
                <w:color w:val="0070C0"/>
                <w:sz w:val="24"/>
                <w:szCs w:val="24"/>
              </w:rPr>
              <w:t>descrição das receitas diretas administrativas</w:t>
            </w:r>
            <w:r>
              <w:rPr>
                <w:rFonts w:ascii="Calibri" w:hAnsi="Calibri" w:cs="Calibri"/>
                <w:color w:val="0070C0"/>
                <w:sz w:val="24"/>
                <w:szCs w:val="24"/>
              </w:rPr>
              <w:t>;</w:t>
            </w:r>
          </w:p>
          <w:bookmarkEnd w:id="7"/>
          <w:p w14:paraId="1FE0314A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68B9B02D" w14:textId="65175A04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color w:val="000000" w:themeColor="text1"/>
                <w:sz w:val="24"/>
                <w:szCs w:val="24"/>
              </w:rPr>
            </w:pPr>
            <w:bookmarkStart w:id="8" w:name="_Hlk205977471"/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Inclusão de inciso, </w:t>
            </w:r>
            <w:r w:rsidRPr="00FB4FAB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a fim 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de que seja</w:t>
            </w:r>
            <w:r w:rsidR="001827C4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m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 informad</w:t>
            </w:r>
            <w:r w:rsidR="001827C4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 xml:space="preserve">as </w:t>
            </w:r>
            <w:r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as despesas diretas administrativas previstas no art. 4º da Resolução CNPC nº 62/2024</w:t>
            </w:r>
            <w:r w:rsidRPr="00FB4FAB">
              <w:rPr>
                <w:rFonts w:ascii="Calibri" w:hAnsi="Calibri" w:cs="Calibri"/>
                <w:color w:val="000000" w:themeColor="text1"/>
                <w:sz w:val="24"/>
                <w:szCs w:val="24"/>
              </w:rPr>
              <w:t>.</w:t>
            </w:r>
          </w:p>
          <w:bookmarkEnd w:id="8"/>
          <w:p w14:paraId="76CFA91D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  <w:highlight w:val="red"/>
              </w:rPr>
            </w:pPr>
          </w:p>
        </w:tc>
        <w:tc>
          <w:tcPr>
            <w:tcW w:w="3222" w:type="dxa"/>
          </w:tcPr>
          <w:p w14:paraId="73C2F4AA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4C72F697" w14:textId="485B5913" w:rsidTr="00EE3724">
        <w:trPr>
          <w:trHeight w:val="300"/>
        </w:trPr>
        <w:tc>
          <w:tcPr>
            <w:tcW w:w="3903" w:type="dxa"/>
          </w:tcPr>
          <w:p w14:paraId="055255BB" w14:textId="10F09315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XXIII - utilização de recursos de fundo previdencial para cobertura parcial ou total das contribuições para o plano de benefícios;</w:t>
            </w:r>
          </w:p>
          <w:p w14:paraId="1681B6CC" w14:textId="1F2607DF" w:rsidR="00EE3724" w:rsidRPr="00FB4FAB" w:rsidRDefault="00EE3724" w:rsidP="00424EA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6572E7C8" w14:textId="00EDA5EC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</w:t>
            </w:r>
            <w:r>
              <w:rPr>
                <w:rFonts w:ascii="Calibri" w:eastAsia="Aptos" w:hAnsi="Calibri" w:cs="Calibri"/>
                <w:sz w:val="24"/>
                <w:szCs w:val="24"/>
              </w:rPr>
              <w:t>IX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- detalhamento dos saldos das contas que contenham a denominação "Outros", quando ultrapassarem, no total, um décimo do valor do respectivo grupo da referida conta;</w:t>
            </w:r>
          </w:p>
        </w:tc>
        <w:tc>
          <w:tcPr>
            <w:tcW w:w="4116" w:type="dxa"/>
          </w:tcPr>
          <w:p w14:paraId="76F0B422" w14:textId="44405853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XII foi realocado para inciso XXVII</w:t>
            </w:r>
            <w:r>
              <w:rPr>
                <w:rFonts w:ascii="Calibri" w:eastAsia="Aptos" w:hAnsi="Calibri" w:cs="Calibri"/>
                <w:sz w:val="24"/>
                <w:szCs w:val="24"/>
              </w:rPr>
              <w:t>I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.</w:t>
            </w:r>
          </w:p>
          <w:p w14:paraId="4400C9BF" w14:textId="4C463F83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73750D49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20BA08A5" w14:textId="432C0164" w:rsidTr="00EE3724">
        <w:trPr>
          <w:trHeight w:val="300"/>
        </w:trPr>
        <w:tc>
          <w:tcPr>
            <w:tcW w:w="3903" w:type="dxa"/>
          </w:tcPr>
          <w:p w14:paraId="4B494DE1" w14:textId="616D4811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XXIV - operações com patrocinador, incluindo detalhamento dos ativos financeiros e de recebíveis, indicando o grau de dependência (percentual apurado pela soma de ativos financeiros e recebíveis junto aos patrocinadores em relação ao ativo total) por plano de benefícios;</w:t>
            </w:r>
          </w:p>
          <w:p w14:paraId="1BCF74D3" w14:textId="69FEE4E1" w:rsidR="00EE3724" w:rsidRPr="00FB4FAB" w:rsidRDefault="00EE3724" w:rsidP="00424EAA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29481333" w14:textId="6EA22808" w:rsidR="00EE3724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</w:t>
            </w:r>
            <w:r>
              <w:rPr>
                <w:rFonts w:ascii="Calibri" w:eastAsia="Aptos" w:hAnsi="Calibri" w:cs="Calibri"/>
                <w:sz w:val="24"/>
                <w:szCs w:val="24"/>
              </w:rPr>
              <w:t>X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- ajustes de exercícios anteriores decorrentes de mudanças de práticas contábeis ou de retificações de erros de períodos anteriores, não atribuíveis a eventos subsequentes, com descrição da natureza e dos seus respectivos efeitos, conforme normas do Conselho Federal de Contabilidade (CFC);</w:t>
            </w:r>
          </w:p>
          <w:p w14:paraId="7078524D" w14:textId="18FCA3E4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1AC626F6" w14:textId="174802AD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VI foi realocado para inciso XXI</w:t>
            </w:r>
            <w:r>
              <w:rPr>
                <w:rFonts w:ascii="Calibri" w:eastAsia="Aptos" w:hAnsi="Calibri" w:cs="Calibri"/>
                <w:sz w:val="24"/>
                <w:szCs w:val="24"/>
              </w:rPr>
              <w:t>X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.</w:t>
            </w:r>
          </w:p>
          <w:p w14:paraId="34559A64" w14:textId="01D5FFFA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0A3E33FF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3D2B26E9" w14:textId="761645AB" w:rsidTr="00EE3724">
        <w:trPr>
          <w:trHeight w:val="300"/>
        </w:trPr>
        <w:tc>
          <w:tcPr>
            <w:tcW w:w="3903" w:type="dxa"/>
          </w:tcPr>
          <w:p w14:paraId="44758F2D" w14:textId="3605E944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FB4FAB">
              <w:rPr>
                <w:rFonts w:ascii="Calibri" w:eastAsia="Calibri" w:hAnsi="Calibri" w:cs="Calibri"/>
                <w:sz w:val="24"/>
                <w:szCs w:val="24"/>
              </w:rPr>
              <w:t>XXV - identificação dos perfis de investimentos de participantes em planos de benefícios de caráter previdencial e suas características; e</w:t>
            </w:r>
          </w:p>
          <w:p w14:paraId="7980A005" w14:textId="72847DEC" w:rsidR="00EE3724" w:rsidRPr="00FB4FAB" w:rsidRDefault="00EE3724" w:rsidP="00424EAA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028483F3" w14:textId="1C5CACBF" w:rsidR="00EE3724" w:rsidRPr="00FB4FAB" w:rsidRDefault="00EE3724" w:rsidP="00424EAA">
            <w:pPr>
              <w:spacing w:after="160" w:line="240" w:lineRule="auto"/>
              <w:jc w:val="both"/>
              <w:rPr>
                <w:rFonts w:ascii="Calibri" w:hAnsi="Calibri" w:cs="Calibri"/>
                <w:color w:val="0070C0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XXX</w:t>
            </w:r>
            <w:r>
              <w:rPr>
                <w:rFonts w:ascii="Calibri" w:eastAsia="Aptos" w:hAnsi="Calibri" w:cs="Calibri"/>
                <w:sz w:val="24"/>
                <w:szCs w:val="24"/>
              </w:rPr>
              <w:t>I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- detalhamento dos ajustes e eliminações decorrentes do processo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de consolidação das Demonstrações Contábeis;</w:t>
            </w:r>
            <w:r>
              <w:rPr>
                <w:rFonts w:ascii="Calibri" w:eastAsia="Aptos" w:hAnsi="Calibri" w:cs="Calibri"/>
                <w:sz w:val="24"/>
                <w:szCs w:val="24"/>
              </w:rPr>
              <w:t xml:space="preserve"> e</w:t>
            </w:r>
          </w:p>
        </w:tc>
        <w:tc>
          <w:tcPr>
            <w:tcW w:w="4116" w:type="dxa"/>
          </w:tcPr>
          <w:p w14:paraId="6580299F" w14:textId="25043B62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lastRenderedPageBreak/>
              <w:t>Devido a reorganização do ordenamento do conteúdo mínimo das notas explicativas, o inciso XIII foi realocado para inciso XXX.</w:t>
            </w:r>
          </w:p>
        </w:tc>
        <w:tc>
          <w:tcPr>
            <w:tcW w:w="3222" w:type="dxa"/>
          </w:tcPr>
          <w:p w14:paraId="4F7BA2DD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1F6733F6" w14:textId="718DE6DE" w:rsidTr="00EE3724">
        <w:trPr>
          <w:trHeight w:val="300"/>
        </w:trPr>
        <w:tc>
          <w:tcPr>
            <w:tcW w:w="3903" w:type="dxa"/>
          </w:tcPr>
          <w:p w14:paraId="2A9CD03A" w14:textId="4D154B97" w:rsidR="00EE3724" w:rsidRPr="00FB4FAB" w:rsidRDefault="00EE3724" w:rsidP="00B12E73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  <w:bookmarkStart w:id="9" w:name="_Hlk205977014"/>
            <w:r w:rsidRPr="00FB4FAB">
              <w:rPr>
                <w:rFonts w:ascii="Calibri" w:hAnsi="Calibri" w:cs="Calibri"/>
                <w:sz w:val="24"/>
                <w:szCs w:val="24"/>
              </w:rPr>
              <w:t xml:space="preserve">XXVI - operações entre partes relacionadas com, no mínimo, condições pactuadas e os montantes dos saldos existentes das transações, bem como a provisão para créditos de liquidação duvidosa </w:t>
            </w:r>
            <w:bookmarkEnd w:id="9"/>
            <w:r w:rsidRPr="00FB4FAB">
              <w:rPr>
                <w:rFonts w:ascii="Calibri" w:hAnsi="Calibri" w:cs="Calibri"/>
                <w:sz w:val="24"/>
                <w:szCs w:val="24"/>
              </w:rPr>
              <w:t>relacionada com o montante dos saldos existentes.</w:t>
            </w:r>
          </w:p>
        </w:tc>
        <w:tc>
          <w:tcPr>
            <w:tcW w:w="3886" w:type="dxa"/>
          </w:tcPr>
          <w:p w14:paraId="5D87EBD4" w14:textId="68A6E48A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XXX</w:t>
            </w:r>
            <w:r>
              <w:rPr>
                <w:rFonts w:ascii="Calibri" w:eastAsia="Aptos" w:hAnsi="Calibri" w:cs="Calibri"/>
                <w:sz w:val="24"/>
                <w:szCs w:val="24"/>
              </w:rPr>
              <w:t>II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 xml:space="preserve"> -</w:t>
            </w:r>
            <w:r w:rsidR="00DF49CE">
              <w:rPr>
                <w:rFonts w:ascii="Calibri" w:eastAsia="Aptos" w:hAnsi="Calibri" w:cs="Calibri"/>
                <w:sz w:val="24"/>
                <w:szCs w:val="24"/>
              </w:rPr>
              <w:t xml:space="preserve"> 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eventos subsequentes à data de encerramento do exercício que tenham ou possam vir a ter efeitos relevantes sobre a situação financeira ou econômica dos planos de benefícios e do Plano de Gestão Administrativa</w:t>
            </w:r>
            <w:r>
              <w:rPr>
                <w:rFonts w:ascii="Calibri" w:eastAsia="Aptos" w:hAnsi="Calibri" w:cs="Calibri"/>
                <w:sz w:val="24"/>
                <w:szCs w:val="24"/>
              </w:rPr>
              <w:t>.</w:t>
            </w:r>
          </w:p>
        </w:tc>
        <w:tc>
          <w:tcPr>
            <w:tcW w:w="4116" w:type="dxa"/>
          </w:tcPr>
          <w:p w14:paraId="22AC699C" w14:textId="3D870D8B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FB4FAB">
              <w:rPr>
                <w:rFonts w:ascii="Calibri" w:eastAsia="Aptos" w:hAnsi="Calibri" w:cs="Calibri"/>
                <w:sz w:val="24"/>
                <w:szCs w:val="24"/>
              </w:rPr>
              <w:t>Devido a reorganização do ordenamento do conteúdo mínimo das notas explicativas, o inciso XV foi realocado para inciso XXX</w:t>
            </w:r>
            <w:r>
              <w:rPr>
                <w:rFonts w:ascii="Calibri" w:eastAsia="Aptos" w:hAnsi="Calibri" w:cs="Calibri"/>
                <w:sz w:val="24"/>
                <w:szCs w:val="24"/>
              </w:rPr>
              <w:t>I</w:t>
            </w:r>
            <w:r w:rsidRPr="00FB4FAB">
              <w:rPr>
                <w:rFonts w:ascii="Calibri" w:eastAsia="Aptos" w:hAnsi="Calibri" w:cs="Calibri"/>
                <w:sz w:val="24"/>
                <w:szCs w:val="24"/>
              </w:rPr>
              <w:t>.</w:t>
            </w:r>
          </w:p>
          <w:p w14:paraId="5CA96DF5" w14:textId="5857A801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6BDEBAA6" w14:textId="77777777" w:rsidR="00EE3724" w:rsidRPr="00FB4FAB" w:rsidRDefault="00EE3724" w:rsidP="00424EAA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6A713BA9" w14:textId="5EA9583C" w:rsidTr="00EE3724">
        <w:trPr>
          <w:trHeight w:val="300"/>
        </w:trPr>
        <w:tc>
          <w:tcPr>
            <w:tcW w:w="3903" w:type="dxa"/>
          </w:tcPr>
          <w:p w14:paraId="621CE3E0" w14:textId="77777777" w:rsidR="00EE3724" w:rsidRPr="00FB4FAB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3D61CEAA" w14:textId="527DD461" w:rsidR="00EE3724" w:rsidRPr="0024314A" w:rsidRDefault="00EE3724" w:rsidP="00436F52">
            <w:pPr>
              <w:spacing w:after="160" w:line="240" w:lineRule="auto"/>
              <w:jc w:val="both"/>
              <w:rPr>
                <w:rFonts w:ascii="Calibri" w:hAnsi="Calibri" w:cs="Calibri"/>
                <w:b/>
                <w:bCs/>
                <w:color w:val="0070C0"/>
                <w:sz w:val="24"/>
                <w:szCs w:val="24"/>
                <w:u w:val="single"/>
              </w:rPr>
            </w:pPr>
            <w:bookmarkStart w:id="10" w:name="_Hlk205977554"/>
            <w:r w:rsidRPr="0024314A">
              <w:rPr>
                <w:rFonts w:ascii="Calibri" w:eastAsia="Aptos" w:hAnsi="Calibri" w:cs="Calibri"/>
                <w:color w:val="0070C0"/>
                <w:sz w:val="24"/>
                <w:szCs w:val="24"/>
              </w:rPr>
              <w:t xml:space="preserve">Parágrafo único.  As EFPC podem complementar suas Notas Explicativas com informações adicionais às mínimas referidas no </w:t>
            </w:r>
            <w:r w:rsidRPr="0024314A">
              <w:rPr>
                <w:rFonts w:ascii="Calibri" w:eastAsia="Aptos" w:hAnsi="Calibri" w:cs="Calibri"/>
                <w:i/>
                <w:iCs/>
                <w:color w:val="0070C0"/>
                <w:sz w:val="24"/>
                <w:szCs w:val="24"/>
              </w:rPr>
              <w:t>caput</w:t>
            </w:r>
            <w:r w:rsidRPr="0024314A">
              <w:rPr>
                <w:rFonts w:ascii="Calibri" w:eastAsia="Aptos" w:hAnsi="Calibri" w:cs="Calibri"/>
                <w:color w:val="0070C0"/>
                <w:sz w:val="24"/>
                <w:szCs w:val="24"/>
              </w:rPr>
              <w:t>, nos próprios itens de que trata a matéria ou ao final dos itens mínimos.</w:t>
            </w:r>
          </w:p>
          <w:bookmarkEnd w:id="10"/>
          <w:p w14:paraId="095EFBD8" w14:textId="4B835034" w:rsidR="00EE3724" w:rsidRPr="00FB4FAB" w:rsidRDefault="00EE3724" w:rsidP="00424EAA">
            <w:pPr>
              <w:jc w:val="both"/>
              <w:rPr>
                <w:rFonts w:ascii="Calibri" w:hAnsi="Calibri" w:cs="Calibri"/>
                <w:color w:val="45B0E1" w:themeColor="accent1" w:themeTint="99"/>
                <w:sz w:val="24"/>
                <w:szCs w:val="24"/>
              </w:rPr>
            </w:pPr>
          </w:p>
        </w:tc>
        <w:tc>
          <w:tcPr>
            <w:tcW w:w="4116" w:type="dxa"/>
          </w:tcPr>
          <w:p w14:paraId="30AFAC11" w14:textId="4FA9D158" w:rsidR="00EE3724" w:rsidRPr="00042407" w:rsidRDefault="00EE3724" w:rsidP="00042407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 w:rsidRPr="00BB5AA7">
              <w:rPr>
                <w:rFonts w:ascii="Calibri" w:eastAsia="Aptos" w:hAnsi="Calibri" w:cs="Calibri"/>
                <w:sz w:val="24"/>
                <w:szCs w:val="24"/>
              </w:rPr>
              <w:t>Inclusão de parágrafo pois, embora o caput estabeleça um rol mínimo de informações obrigatórias, a realidade das operações das EFPC pode demandar a divulgação de dados adicionais para refletir adequadamente a posição patrimonial e financeira da entidade. Assim, a inclusão de parágrafo único tem como finalidade possibilitar que informações complementares sejam incluídas nos próprios itens pertinentes ou ao final das divulgações mínimas, preserva</w:t>
            </w:r>
            <w:r w:rsidR="00C417D2">
              <w:rPr>
                <w:rFonts w:ascii="Calibri" w:eastAsia="Aptos" w:hAnsi="Calibri" w:cs="Calibri"/>
                <w:sz w:val="24"/>
                <w:szCs w:val="24"/>
              </w:rPr>
              <w:t>ndo</w:t>
            </w:r>
            <w:r w:rsidRPr="00BB5AA7">
              <w:rPr>
                <w:rFonts w:ascii="Calibri" w:eastAsia="Aptos" w:hAnsi="Calibri" w:cs="Calibri"/>
                <w:sz w:val="24"/>
                <w:szCs w:val="24"/>
              </w:rPr>
              <w:t>-se a organização e a compreensibilidade das notas explicativas, ao mesmo tempo em que se garante flexibilidade para que cada EFPC evidencie peculiaridades relevantes à sua situação.</w:t>
            </w:r>
          </w:p>
          <w:p w14:paraId="1BF03D6D" w14:textId="77777777" w:rsidR="00EE3724" w:rsidRPr="00FB4FAB" w:rsidRDefault="00EE3724" w:rsidP="00436F52">
            <w:pPr>
              <w:spacing w:line="240" w:lineRule="auto"/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21AAD688" w14:textId="77777777" w:rsidR="00EE3724" w:rsidRPr="00BB5AA7" w:rsidRDefault="00EE3724" w:rsidP="00042407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</w:tr>
      <w:tr w:rsidR="00EE3724" w:rsidRPr="00FB4FAB" w14:paraId="30A7EF77" w14:textId="67807470" w:rsidTr="00EE3724">
        <w:trPr>
          <w:trHeight w:val="300"/>
        </w:trPr>
        <w:tc>
          <w:tcPr>
            <w:tcW w:w="3903" w:type="dxa"/>
          </w:tcPr>
          <w:p w14:paraId="18F8ABFC" w14:textId="2F27E352" w:rsidR="00EE3724" w:rsidRPr="00FB4FAB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lastRenderedPageBreak/>
              <w:t>...</w:t>
            </w:r>
          </w:p>
        </w:tc>
        <w:tc>
          <w:tcPr>
            <w:tcW w:w="3886" w:type="dxa"/>
          </w:tcPr>
          <w:p w14:paraId="16EA9A39" w14:textId="46DC1247" w:rsidR="00EE3724" w:rsidRPr="0024314A" w:rsidRDefault="00EE3724" w:rsidP="00424EAA">
            <w:pPr>
              <w:spacing w:line="276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r>
              <w:rPr>
                <w:rFonts w:ascii="Calibri" w:eastAsia="Aptos" w:hAnsi="Calibri" w:cs="Calibri"/>
                <w:sz w:val="24"/>
                <w:szCs w:val="24"/>
              </w:rPr>
              <w:t>...</w:t>
            </w:r>
          </w:p>
        </w:tc>
        <w:tc>
          <w:tcPr>
            <w:tcW w:w="4116" w:type="dxa"/>
          </w:tcPr>
          <w:p w14:paraId="412B2E9C" w14:textId="7777777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222" w:type="dxa"/>
          </w:tcPr>
          <w:p w14:paraId="45FFCDB8" w14:textId="7777777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7A5B24DC" w14:textId="3928A7B4" w:rsidTr="00EE3724">
        <w:trPr>
          <w:trHeight w:val="300"/>
        </w:trPr>
        <w:tc>
          <w:tcPr>
            <w:tcW w:w="3903" w:type="dxa"/>
          </w:tcPr>
          <w:p w14:paraId="7E60A0E1" w14:textId="77777777" w:rsidR="00EE3724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5C08C582" w14:textId="1D3F95C5" w:rsidR="00EE3724" w:rsidRDefault="00EE3724" w:rsidP="00436F52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  <w:bookmarkStart w:id="11" w:name="_Hlk205978639"/>
            <w:r w:rsidRPr="0024314A">
              <w:rPr>
                <w:rFonts w:ascii="Calibri" w:eastAsia="Aptos" w:hAnsi="Calibri" w:cs="Calibri"/>
                <w:color w:val="0070C0"/>
                <w:sz w:val="24"/>
                <w:szCs w:val="24"/>
              </w:rPr>
              <w:t>Art. YYY.  Tornar sem efeito o Ofício Circular DINOR nº 03, de 25 de abril de 2025.</w:t>
            </w:r>
            <w:bookmarkEnd w:id="11"/>
          </w:p>
        </w:tc>
        <w:tc>
          <w:tcPr>
            <w:tcW w:w="4116" w:type="dxa"/>
          </w:tcPr>
          <w:p w14:paraId="578DEA1C" w14:textId="5AA8CCEB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bookmarkStart w:id="12" w:name="_Hlk205978735"/>
            <w:r>
              <w:rPr>
                <w:rFonts w:ascii="Calibri" w:hAnsi="Calibri" w:cs="Calibri"/>
                <w:sz w:val="24"/>
                <w:szCs w:val="24"/>
              </w:rPr>
              <w:t xml:space="preserve">Inclusão de dispositivo para tornar sem efeito o disposto </w:t>
            </w:r>
            <w:r w:rsidR="001827C4">
              <w:rPr>
                <w:rFonts w:ascii="Calibri" w:hAnsi="Calibri" w:cs="Calibri"/>
                <w:sz w:val="24"/>
                <w:szCs w:val="24"/>
              </w:rPr>
              <w:t xml:space="preserve">no </w:t>
            </w:r>
            <w:r w:rsidRPr="00371216">
              <w:rPr>
                <w:rFonts w:ascii="Calibri" w:eastAsia="Aptos" w:hAnsi="Calibri" w:cs="Calibri"/>
                <w:sz w:val="24"/>
                <w:szCs w:val="24"/>
              </w:rPr>
              <w:t>Ofício Circular DINOR nº 03, de 25 de abril de 2025</w:t>
            </w:r>
            <w:r>
              <w:rPr>
                <w:rFonts w:ascii="Calibri" w:eastAsia="Aptos" w:hAnsi="Calibri" w:cs="Calibri"/>
                <w:sz w:val="24"/>
                <w:szCs w:val="24"/>
              </w:rPr>
              <w:t>, visto que o seu conteúdo foi incorporado nas alterações de Resolução Previc nº 23/2023 realizadas em 2025.</w:t>
            </w:r>
            <w:bookmarkEnd w:id="12"/>
          </w:p>
        </w:tc>
        <w:tc>
          <w:tcPr>
            <w:tcW w:w="3222" w:type="dxa"/>
          </w:tcPr>
          <w:p w14:paraId="67B682CC" w14:textId="77777777" w:rsidR="00EE3724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EE3724" w:rsidRPr="00FB4FAB" w14:paraId="012B7749" w14:textId="072BE720" w:rsidTr="00EE3724">
        <w:trPr>
          <w:trHeight w:val="300"/>
        </w:trPr>
        <w:tc>
          <w:tcPr>
            <w:tcW w:w="3903" w:type="dxa"/>
          </w:tcPr>
          <w:p w14:paraId="365DD0D0" w14:textId="77777777" w:rsidR="00EE3724" w:rsidRDefault="00EE3724" w:rsidP="00424EAA">
            <w:pPr>
              <w:tabs>
                <w:tab w:val="left" w:pos="0"/>
              </w:tabs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3886" w:type="dxa"/>
          </w:tcPr>
          <w:p w14:paraId="22A2E2CA" w14:textId="77777777" w:rsidR="00EE3724" w:rsidRPr="00461BB9" w:rsidRDefault="00EE3724" w:rsidP="00436F52">
            <w:pPr>
              <w:spacing w:line="240" w:lineRule="auto"/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</w:rPr>
            </w:pPr>
            <w:bookmarkStart w:id="13" w:name="_Hlk205978790"/>
            <w:r w:rsidRPr="00461BB9">
              <w:rPr>
                <w:rFonts w:ascii="Calibri" w:eastAsia="Aptos" w:hAnsi="Calibri" w:cs="Calibri"/>
                <w:color w:val="0070C0"/>
                <w:sz w:val="24"/>
                <w:szCs w:val="24"/>
              </w:rPr>
              <w:t>Art. YYZ.  As alterações do art. 208 entram em vigor a partir de 01/01/2026.</w:t>
            </w:r>
          </w:p>
          <w:bookmarkEnd w:id="13"/>
          <w:p w14:paraId="6E0C146C" w14:textId="77777777" w:rsidR="00EE3724" w:rsidRPr="006F66B2" w:rsidRDefault="00EE3724" w:rsidP="00436F52">
            <w:pPr>
              <w:spacing w:line="240" w:lineRule="auto"/>
              <w:jc w:val="both"/>
              <w:rPr>
                <w:rFonts w:ascii="Calibri" w:eastAsia="Aptos" w:hAnsi="Calibri" w:cs="Calibri"/>
                <w:color w:val="0070C0"/>
                <w:sz w:val="24"/>
                <w:szCs w:val="24"/>
                <w:highlight w:val="yellow"/>
              </w:rPr>
            </w:pPr>
          </w:p>
          <w:p w14:paraId="48207D0D" w14:textId="5ED07ADB" w:rsidR="00EE3724" w:rsidRDefault="00EE3724" w:rsidP="00436F52">
            <w:pPr>
              <w:spacing w:line="240" w:lineRule="auto"/>
              <w:jc w:val="both"/>
              <w:rPr>
                <w:rFonts w:ascii="Calibri" w:eastAsia="Aptos" w:hAnsi="Calibri" w:cs="Calibri"/>
                <w:sz w:val="24"/>
                <w:szCs w:val="24"/>
              </w:rPr>
            </w:pPr>
          </w:p>
        </w:tc>
        <w:tc>
          <w:tcPr>
            <w:tcW w:w="4116" w:type="dxa"/>
          </w:tcPr>
          <w:p w14:paraId="216A2C1F" w14:textId="67D89617" w:rsidR="00EE3724" w:rsidRPr="00FB4FAB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bookmarkStart w:id="14" w:name="_Hlk205978809"/>
            <w:r>
              <w:rPr>
                <w:rFonts w:ascii="Calibri" w:hAnsi="Calibri" w:cs="Calibri"/>
                <w:sz w:val="24"/>
                <w:szCs w:val="24"/>
              </w:rPr>
              <w:t>Inclusão de dispositivo para evidenciar que as alterações do art. 208 passem a valer a partir da elaboração das demonstrações contábeis de 2026 que serão entregues em 2027.</w:t>
            </w:r>
            <w:bookmarkEnd w:id="14"/>
          </w:p>
        </w:tc>
        <w:tc>
          <w:tcPr>
            <w:tcW w:w="3222" w:type="dxa"/>
          </w:tcPr>
          <w:p w14:paraId="3A4E6B60" w14:textId="77777777" w:rsidR="00EE3724" w:rsidRDefault="00EE3724" w:rsidP="00424EA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782F95C1" w14:textId="77777777" w:rsidR="00265A4D" w:rsidRPr="0013191A" w:rsidRDefault="00265A4D" w:rsidP="00587FB4">
      <w:pPr>
        <w:jc w:val="center"/>
        <w:rPr>
          <w:rFonts w:ascii="Calibri" w:hAnsi="Calibri" w:cs="Calibri"/>
          <w:sz w:val="24"/>
          <w:szCs w:val="24"/>
        </w:rPr>
      </w:pPr>
    </w:p>
    <w:sectPr w:rsidR="00265A4D" w:rsidRPr="0013191A" w:rsidSect="00641AD6">
      <w:footerReference w:type="default" r:id="rId10"/>
      <w:pgSz w:w="16838" w:h="11906" w:orient="landscape"/>
      <w:pgMar w:top="1134" w:right="567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9BB92D" w14:textId="77777777" w:rsidR="00102809" w:rsidRDefault="00102809" w:rsidP="00127DCC">
      <w:pPr>
        <w:spacing w:after="0" w:line="240" w:lineRule="auto"/>
      </w:pPr>
      <w:r>
        <w:separator/>
      </w:r>
    </w:p>
  </w:endnote>
  <w:endnote w:type="continuationSeparator" w:id="0">
    <w:p w14:paraId="13047F0C" w14:textId="77777777" w:rsidR="00102809" w:rsidRDefault="00102809" w:rsidP="00127D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5318829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B7D676E" w14:textId="62B8CCBB" w:rsidR="00127DCC" w:rsidRDefault="00127DCC">
            <w:pPr>
              <w:pStyle w:val="Rodap"/>
              <w:jc w:val="center"/>
            </w:pPr>
            <w: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8956E4D" w14:textId="77777777" w:rsidR="00127DCC" w:rsidRDefault="00127DCC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A43961" w14:textId="77777777" w:rsidR="00102809" w:rsidRDefault="00102809" w:rsidP="00127DCC">
      <w:pPr>
        <w:spacing w:after="0" w:line="240" w:lineRule="auto"/>
      </w:pPr>
      <w:r>
        <w:separator/>
      </w:r>
    </w:p>
  </w:footnote>
  <w:footnote w:type="continuationSeparator" w:id="0">
    <w:p w14:paraId="0B95D8AA" w14:textId="77777777" w:rsidR="00102809" w:rsidRDefault="00102809" w:rsidP="00127DCC">
      <w:pPr>
        <w:spacing w:after="0" w:line="240" w:lineRule="auto"/>
      </w:pPr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1D69QThR" int2:invalidationBookmarkName="" int2:hashCode="CcEgSC99bYIl/D" int2:id="kC37fQNd">
      <int2:state int2:value="Rejected" int2:type="gram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20398D"/>
    <w:multiLevelType w:val="multilevel"/>
    <w:tmpl w:val="4FCE10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C7858DC"/>
    <w:multiLevelType w:val="multilevel"/>
    <w:tmpl w:val="8C4CBF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A09421F"/>
    <w:multiLevelType w:val="multilevel"/>
    <w:tmpl w:val="E06E7D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84F6655"/>
    <w:multiLevelType w:val="multilevel"/>
    <w:tmpl w:val="2974AB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CA42710"/>
    <w:multiLevelType w:val="multilevel"/>
    <w:tmpl w:val="A3B4D2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DB5EE2B"/>
    <w:multiLevelType w:val="hybridMultilevel"/>
    <w:tmpl w:val="004245C6"/>
    <w:lvl w:ilvl="0" w:tplc="373A0F34">
      <w:start w:val="1"/>
      <w:numFmt w:val="upperRoman"/>
      <w:lvlText w:val="%1."/>
      <w:lvlJc w:val="right"/>
      <w:pPr>
        <w:ind w:left="720" w:hanging="360"/>
      </w:pPr>
    </w:lvl>
    <w:lvl w:ilvl="1" w:tplc="793424AE">
      <w:start w:val="1"/>
      <w:numFmt w:val="lowerLetter"/>
      <w:lvlText w:val="%2."/>
      <w:lvlJc w:val="left"/>
      <w:pPr>
        <w:ind w:left="1440" w:hanging="360"/>
      </w:pPr>
    </w:lvl>
    <w:lvl w:ilvl="2" w:tplc="92E86CA6">
      <w:start w:val="1"/>
      <w:numFmt w:val="lowerRoman"/>
      <w:lvlText w:val="%3."/>
      <w:lvlJc w:val="right"/>
      <w:pPr>
        <w:ind w:left="2160" w:hanging="180"/>
      </w:pPr>
    </w:lvl>
    <w:lvl w:ilvl="3" w:tplc="A4107460">
      <w:start w:val="1"/>
      <w:numFmt w:val="decimal"/>
      <w:lvlText w:val="%4."/>
      <w:lvlJc w:val="left"/>
      <w:pPr>
        <w:ind w:left="2880" w:hanging="360"/>
      </w:pPr>
    </w:lvl>
    <w:lvl w:ilvl="4" w:tplc="FDC62B8E">
      <w:start w:val="1"/>
      <w:numFmt w:val="lowerLetter"/>
      <w:lvlText w:val="%5."/>
      <w:lvlJc w:val="left"/>
      <w:pPr>
        <w:ind w:left="3600" w:hanging="360"/>
      </w:pPr>
    </w:lvl>
    <w:lvl w:ilvl="5" w:tplc="4F6C4282">
      <w:start w:val="1"/>
      <w:numFmt w:val="lowerRoman"/>
      <w:lvlText w:val="%6."/>
      <w:lvlJc w:val="right"/>
      <w:pPr>
        <w:ind w:left="4320" w:hanging="180"/>
      </w:pPr>
    </w:lvl>
    <w:lvl w:ilvl="6" w:tplc="C262AFFA">
      <w:start w:val="1"/>
      <w:numFmt w:val="decimal"/>
      <w:lvlText w:val="%7."/>
      <w:lvlJc w:val="left"/>
      <w:pPr>
        <w:ind w:left="5040" w:hanging="360"/>
      </w:pPr>
    </w:lvl>
    <w:lvl w:ilvl="7" w:tplc="AAECB41C">
      <w:start w:val="1"/>
      <w:numFmt w:val="lowerLetter"/>
      <w:lvlText w:val="%8."/>
      <w:lvlJc w:val="left"/>
      <w:pPr>
        <w:ind w:left="5760" w:hanging="360"/>
      </w:pPr>
    </w:lvl>
    <w:lvl w:ilvl="8" w:tplc="19C62994">
      <w:start w:val="1"/>
      <w:numFmt w:val="lowerRoman"/>
      <w:lvlText w:val="%9."/>
      <w:lvlJc w:val="right"/>
      <w:pPr>
        <w:ind w:left="6480" w:hanging="180"/>
      </w:pPr>
    </w:lvl>
  </w:abstractNum>
  <w:num w:numId="1" w16cid:durableId="951782066">
    <w:abstractNumId w:val="5"/>
  </w:num>
  <w:num w:numId="2" w16cid:durableId="1513295868">
    <w:abstractNumId w:val="4"/>
  </w:num>
  <w:num w:numId="3" w16cid:durableId="906450626">
    <w:abstractNumId w:val="2"/>
  </w:num>
  <w:num w:numId="4" w16cid:durableId="1409108220">
    <w:abstractNumId w:val="0"/>
  </w:num>
  <w:num w:numId="5" w16cid:durableId="1235890859">
    <w:abstractNumId w:val="3"/>
  </w:num>
  <w:num w:numId="6" w16cid:durableId="9367864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1AD6"/>
    <w:rsid w:val="00013345"/>
    <w:rsid w:val="000134B0"/>
    <w:rsid w:val="00013C21"/>
    <w:rsid w:val="000163BF"/>
    <w:rsid w:val="0003379A"/>
    <w:rsid w:val="00041F03"/>
    <w:rsid w:val="00042407"/>
    <w:rsid w:val="00046441"/>
    <w:rsid w:val="0006712C"/>
    <w:rsid w:val="00071F14"/>
    <w:rsid w:val="00074DD1"/>
    <w:rsid w:val="00083352"/>
    <w:rsid w:val="000864AC"/>
    <w:rsid w:val="00086F24"/>
    <w:rsid w:val="000A05DE"/>
    <w:rsid w:val="000B695A"/>
    <w:rsid w:val="000C48AF"/>
    <w:rsid w:val="000C6096"/>
    <w:rsid w:val="000C6B64"/>
    <w:rsid w:val="000D11CF"/>
    <w:rsid w:val="000D7FEA"/>
    <w:rsid w:val="000E6C51"/>
    <w:rsid w:val="00100643"/>
    <w:rsid w:val="00102809"/>
    <w:rsid w:val="001154A2"/>
    <w:rsid w:val="00117326"/>
    <w:rsid w:val="001214AF"/>
    <w:rsid w:val="001246F0"/>
    <w:rsid w:val="0012711B"/>
    <w:rsid w:val="00127DCC"/>
    <w:rsid w:val="0013030D"/>
    <w:rsid w:val="0013191A"/>
    <w:rsid w:val="00137853"/>
    <w:rsid w:val="0014087A"/>
    <w:rsid w:val="00141354"/>
    <w:rsid w:val="00156B75"/>
    <w:rsid w:val="0016223F"/>
    <w:rsid w:val="0016356F"/>
    <w:rsid w:val="00172567"/>
    <w:rsid w:val="00176300"/>
    <w:rsid w:val="001827C4"/>
    <w:rsid w:val="00186DDE"/>
    <w:rsid w:val="001959BD"/>
    <w:rsid w:val="001A18D8"/>
    <w:rsid w:val="001A1F20"/>
    <w:rsid w:val="001A3084"/>
    <w:rsid w:val="001B0109"/>
    <w:rsid w:val="001B404A"/>
    <w:rsid w:val="001C0572"/>
    <w:rsid w:val="001C23B2"/>
    <w:rsid w:val="001D06FE"/>
    <w:rsid w:val="001D08DD"/>
    <w:rsid w:val="001D538A"/>
    <w:rsid w:val="001E26CF"/>
    <w:rsid w:val="00212BAC"/>
    <w:rsid w:val="0021461E"/>
    <w:rsid w:val="0022161C"/>
    <w:rsid w:val="00231CC7"/>
    <w:rsid w:val="002361F1"/>
    <w:rsid w:val="0024210E"/>
    <w:rsid w:val="0024314A"/>
    <w:rsid w:val="0024384E"/>
    <w:rsid w:val="002503F0"/>
    <w:rsid w:val="002517FF"/>
    <w:rsid w:val="00265A4D"/>
    <w:rsid w:val="00280690"/>
    <w:rsid w:val="00280F25"/>
    <w:rsid w:val="0029195D"/>
    <w:rsid w:val="00291CD3"/>
    <w:rsid w:val="00296556"/>
    <w:rsid w:val="002A29B8"/>
    <w:rsid w:val="002A6354"/>
    <w:rsid w:val="002A747A"/>
    <w:rsid w:val="002B4924"/>
    <w:rsid w:val="002B5A6E"/>
    <w:rsid w:val="002C5A6E"/>
    <w:rsid w:val="002D01EE"/>
    <w:rsid w:val="002D1D54"/>
    <w:rsid w:val="002D35C6"/>
    <w:rsid w:val="002E04B8"/>
    <w:rsid w:val="002E121E"/>
    <w:rsid w:val="002EE488"/>
    <w:rsid w:val="002F2EAD"/>
    <w:rsid w:val="0030237A"/>
    <w:rsid w:val="0033108E"/>
    <w:rsid w:val="00332EED"/>
    <w:rsid w:val="00342C25"/>
    <w:rsid w:val="0034374E"/>
    <w:rsid w:val="00344848"/>
    <w:rsid w:val="003450B6"/>
    <w:rsid w:val="0034613B"/>
    <w:rsid w:val="00354920"/>
    <w:rsid w:val="00354C1E"/>
    <w:rsid w:val="0035651A"/>
    <w:rsid w:val="0036301C"/>
    <w:rsid w:val="00363A52"/>
    <w:rsid w:val="003654EE"/>
    <w:rsid w:val="00371216"/>
    <w:rsid w:val="00372ECF"/>
    <w:rsid w:val="00377542"/>
    <w:rsid w:val="003803B9"/>
    <w:rsid w:val="003854A5"/>
    <w:rsid w:val="003904B1"/>
    <w:rsid w:val="0039656D"/>
    <w:rsid w:val="003A4AAD"/>
    <w:rsid w:val="003C40C5"/>
    <w:rsid w:val="003D114A"/>
    <w:rsid w:val="003E12C0"/>
    <w:rsid w:val="003E2F5E"/>
    <w:rsid w:val="003F665B"/>
    <w:rsid w:val="00402116"/>
    <w:rsid w:val="004067B4"/>
    <w:rsid w:val="00417FC4"/>
    <w:rsid w:val="00424809"/>
    <w:rsid w:val="00424EAA"/>
    <w:rsid w:val="0042550C"/>
    <w:rsid w:val="0042660C"/>
    <w:rsid w:val="00426933"/>
    <w:rsid w:val="004347C7"/>
    <w:rsid w:val="004369BE"/>
    <w:rsid w:val="00436F52"/>
    <w:rsid w:val="0044294E"/>
    <w:rsid w:val="00443D05"/>
    <w:rsid w:val="00454CE1"/>
    <w:rsid w:val="00455F06"/>
    <w:rsid w:val="0045FD20"/>
    <w:rsid w:val="00461BB9"/>
    <w:rsid w:val="0046219D"/>
    <w:rsid w:val="00474F60"/>
    <w:rsid w:val="0048436B"/>
    <w:rsid w:val="00484470"/>
    <w:rsid w:val="00490420"/>
    <w:rsid w:val="004929F1"/>
    <w:rsid w:val="00495EA7"/>
    <w:rsid w:val="004A3036"/>
    <w:rsid w:val="004A4D70"/>
    <w:rsid w:val="004A4DD5"/>
    <w:rsid w:val="004A5B62"/>
    <w:rsid w:val="004B73CF"/>
    <w:rsid w:val="004C1EC0"/>
    <w:rsid w:val="004C377B"/>
    <w:rsid w:val="004D27DA"/>
    <w:rsid w:val="004D3074"/>
    <w:rsid w:val="004E068F"/>
    <w:rsid w:val="004F6B36"/>
    <w:rsid w:val="004F6B5F"/>
    <w:rsid w:val="00502116"/>
    <w:rsid w:val="00506D17"/>
    <w:rsid w:val="00511000"/>
    <w:rsid w:val="00522F06"/>
    <w:rsid w:val="00523FEA"/>
    <w:rsid w:val="005250F2"/>
    <w:rsid w:val="0053726A"/>
    <w:rsid w:val="00547386"/>
    <w:rsid w:val="00550FE5"/>
    <w:rsid w:val="00561205"/>
    <w:rsid w:val="00567120"/>
    <w:rsid w:val="00584B32"/>
    <w:rsid w:val="00587FB4"/>
    <w:rsid w:val="005A4057"/>
    <w:rsid w:val="005A48EE"/>
    <w:rsid w:val="005B62F5"/>
    <w:rsid w:val="005C6B0A"/>
    <w:rsid w:val="005D3A09"/>
    <w:rsid w:val="005D6466"/>
    <w:rsid w:val="005D6D49"/>
    <w:rsid w:val="005D74E1"/>
    <w:rsid w:val="005F1716"/>
    <w:rsid w:val="005F1EDE"/>
    <w:rsid w:val="00603334"/>
    <w:rsid w:val="00605BB7"/>
    <w:rsid w:val="00607046"/>
    <w:rsid w:val="0061076A"/>
    <w:rsid w:val="00611198"/>
    <w:rsid w:val="00613EE5"/>
    <w:rsid w:val="006202AD"/>
    <w:rsid w:val="00641AD6"/>
    <w:rsid w:val="00645F6E"/>
    <w:rsid w:val="00650515"/>
    <w:rsid w:val="00663A67"/>
    <w:rsid w:val="006760A0"/>
    <w:rsid w:val="00685A9E"/>
    <w:rsid w:val="006871AB"/>
    <w:rsid w:val="006902C9"/>
    <w:rsid w:val="006937E6"/>
    <w:rsid w:val="00697C26"/>
    <w:rsid w:val="006A22BC"/>
    <w:rsid w:val="006A4308"/>
    <w:rsid w:val="006B221E"/>
    <w:rsid w:val="006B72EB"/>
    <w:rsid w:val="006B7913"/>
    <w:rsid w:val="006B7E52"/>
    <w:rsid w:val="006D570D"/>
    <w:rsid w:val="006E0A6C"/>
    <w:rsid w:val="006E139C"/>
    <w:rsid w:val="006E5C01"/>
    <w:rsid w:val="006F08B2"/>
    <w:rsid w:val="006F66B2"/>
    <w:rsid w:val="00700EA2"/>
    <w:rsid w:val="00704F5A"/>
    <w:rsid w:val="00705E3E"/>
    <w:rsid w:val="0072163B"/>
    <w:rsid w:val="0072324F"/>
    <w:rsid w:val="00730B9D"/>
    <w:rsid w:val="007341FF"/>
    <w:rsid w:val="007502A3"/>
    <w:rsid w:val="00754321"/>
    <w:rsid w:val="00755A06"/>
    <w:rsid w:val="00762E4D"/>
    <w:rsid w:val="007677F9"/>
    <w:rsid w:val="007754B6"/>
    <w:rsid w:val="0078541F"/>
    <w:rsid w:val="007A3477"/>
    <w:rsid w:val="007A65A1"/>
    <w:rsid w:val="007B658C"/>
    <w:rsid w:val="007D4E85"/>
    <w:rsid w:val="007D52D0"/>
    <w:rsid w:val="007F47E8"/>
    <w:rsid w:val="00800C60"/>
    <w:rsid w:val="00801605"/>
    <w:rsid w:val="00802B81"/>
    <w:rsid w:val="00805748"/>
    <w:rsid w:val="00805A4D"/>
    <w:rsid w:val="008140F4"/>
    <w:rsid w:val="00820E23"/>
    <w:rsid w:val="0082333B"/>
    <w:rsid w:val="00833051"/>
    <w:rsid w:val="00835230"/>
    <w:rsid w:val="00837FA2"/>
    <w:rsid w:val="0084078E"/>
    <w:rsid w:val="00847169"/>
    <w:rsid w:val="0085320A"/>
    <w:rsid w:val="00856B6A"/>
    <w:rsid w:val="00860B6C"/>
    <w:rsid w:val="00863845"/>
    <w:rsid w:val="008639E2"/>
    <w:rsid w:val="00864BF6"/>
    <w:rsid w:val="00864E75"/>
    <w:rsid w:val="00872CB2"/>
    <w:rsid w:val="00874395"/>
    <w:rsid w:val="008754AC"/>
    <w:rsid w:val="00881BEF"/>
    <w:rsid w:val="0088634C"/>
    <w:rsid w:val="00891951"/>
    <w:rsid w:val="00891BDF"/>
    <w:rsid w:val="00892173"/>
    <w:rsid w:val="00895603"/>
    <w:rsid w:val="00895E88"/>
    <w:rsid w:val="008B1076"/>
    <w:rsid w:val="008B2F8A"/>
    <w:rsid w:val="008D24AA"/>
    <w:rsid w:val="008E0369"/>
    <w:rsid w:val="008E3925"/>
    <w:rsid w:val="008E6469"/>
    <w:rsid w:val="008E7669"/>
    <w:rsid w:val="009006FB"/>
    <w:rsid w:val="00906E75"/>
    <w:rsid w:val="0091101A"/>
    <w:rsid w:val="009134D6"/>
    <w:rsid w:val="00924927"/>
    <w:rsid w:val="009279EC"/>
    <w:rsid w:val="00927C9B"/>
    <w:rsid w:val="009308D2"/>
    <w:rsid w:val="00934FE7"/>
    <w:rsid w:val="00967760"/>
    <w:rsid w:val="00967A90"/>
    <w:rsid w:val="009721CC"/>
    <w:rsid w:val="009766BC"/>
    <w:rsid w:val="009823AF"/>
    <w:rsid w:val="0098288C"/>
    <w:rsid w:val="00993BC5"/>
    <w:rsid w:val="009948AC"/>
    <w:rsid w:val="00997EF5"/>
    <w:rsid w:val="009A125C"/>
    <w:rsid w:val="009A1BB6"/>
    <w:rsid w:val="009A5AFC"/>
    <w:rsid w:val="009B56F6"/>
    <w:rsid w:val="009B6CBA"/>
    <w:rsid w:val="009C000E"/>
    <w:rsid w:val="009D37BB"/>
    <w:rsid w:val="009D5B30"/>
    <w:rsid w:val="009D743D"/>
    <w:rsid w:val="009E19C5"/>
    <w:rsid w:val="009F6D83"/>
    <w:rsid w:val="00A2762A"/>
    <w:rsid w:val="00A40B88"/>
    <w:rsid w:val="00A42BA3"/>
    <w:rsid w:val="00A43DEF"/>
    <w:rsid w:val="00A45DC2"/>
    <w:rsid w:val="00A47437"/>
    <w:rsid w:val="00A47C07"/>
    <w:rsid w:val="00A50BD0"/>
    <w:rsid w:val="00A55FA6"/>
    <w:rsid w:val="00A57A6A"/>
    <w:rsid w:val="00A61372"/>
    <w:rsid w:val="00A765AA"/>
    <w:rsid w:val="00A766D2"/>
    <w:rsid w:val="00A858C0"/>
    <w:rsid w:val="00A8731E"/>
    <w:rsid w:val="00A90D31"/>
    <w:rsid w:val="00A9372D"/>
    <w:rsid w:val="00AA1BF5"/>
    <w:rsid w:val="00AA2554"/>
    <w:rsid w:val="00AA2FC4"/>
    <w:rsid w:val="00AA47E5"/>
    <w:rsid w:val="00AA7287"/>
    <w:rsid w:val="00AA7D70"/>
    <w:rsid w:val="00AB102D"/>
    <w:rsid w:val="00AB24D3"/>
    <w:rsid w:val="00AB3EA2"/>
    <w:rsid w:val="00AC169E"/>
    <w:rsid w:val="00AD75CE"/>
    <w:rsid w:val="00AE5592"/>
    <w:rsid w:val="00AF16CA"/>
    <w:rsid w:val="00B04C30"/>
    <w:rsid w:val="00B121AD"/>
    <w:rsid w:val="00B12227"/>
    <w:rsid w:val="00B12E73"/>
    <w:rsid w:val="00B24DA5"/>
    <w:rsid w:val="00B2547B"/>
    <w:rsid w:val="00B2657E"/>
    <w:rsid w:val="00B30F12"/>
    <w:rsid w:val="00B41681"/>
    <w:rsid w:val="00B66CEC"/>
    <w:rsid w:val="00B70F87"/>
    <w:rsid w:val="00B728EA"/>
    <w:rsid w:val="00B877AB"/>
    <w:rsid w:val="00B878AC"/>
    <w:rsid w:val="00B95E91"/>
    <w:rsid w:val="00B974C7"/>
    <w:rsid w:val="00BB161C"/>
    <w:rsid w:val="00BB2A08"/>
    <w:rsid w:val="00BB2F9A"/>
    <w:rsid w:val="00BB5AA7"/>
    <w:rsid w:val="00BB5C32"/>
    <w:rsid w:val="00BC2549"/>
    <w:rsid w:val="00BC4E05"/>
    <w:rsid w:val="00BC4F2C"/>
    <w:rsid w:val="00BD14CF"/>
    <w:rsid w:val="00BD3940"/>
    <w:rsid w:val="00BD3BF6"/>
    <w:rsid w:val="00BE3F60"/>
    <w:rsid w:val="00BF5528"/>
    <w:rsid w:val="00C008D2"/>
    <w:rsid w:val="00C01D5C"/>
    <w:rsid w:val="00C238EF"/>
    <w:rsid w:val="00C33A8E"/>
    <w:rsid w:val="00C40BE4"/>
    <w:rsid w:val="00C417D2"/>
    <w:rsid w:val="00C45C5B"/>
    <w:rsid w:val="00C51BB7"/>
    <w:rsid w:val="00C54685"/>
    <w:rsid w:val="00C567F1"/>
    <w:rsid w:val="00C72018"/>
    <w:rsid w:val="00C7717D"/>
    <w:rsid w:val="00C863F3"/>
    <w:rsid w:val="00C8B034"/>
    <w:rsid w:val="00CA7A06"/>
    <w:rsid w:val="00CB12FF"/>
    <w:rsid w:val="00CB19DF"/>
    <w:rsid w:val="00CB7C94"/>
    <w:rsid w:val="00CB7CD3"/>
    <w:rsid w:val="00CC0ECA"/>
    <w:rsid w:val="00CC1867"/>
    <w:rsid w:val="00CD3F97"/>
    <w:rsid w:val="00CD4191"/>
    <w:rsid w:val="00CD6585"/>
    <w:rsid w:val="00CD7FEE"/>
    <w:rsid w:val="00CE784E"/>
    <w:rsid w:val="00CF6023"/>
    <w:rsid w:val="00CF723F"/>
    <w:rsid w:val="00D00B3D"/>
    <w:rsid w:val="00D0435D"/>
    <w:rsid w:val="00D06508"/>
    <w:rsid w:val="00D14F7E"/>
    <w:rsid w:val="00D2145F"/>
    <w:rsid w:val="00D24477"/>
    <w:rsid w:val="00D34880"/>
    <w:rsid w:val="00D41425"/>
    <w:rsid w:val="00D550A8"/>
    <w:rsid w:val="00D64D64"/>
    <w:rsid w:val="00D656BB"/>
    <w:rsid w:val="00D667E9"/>
    <w:rsid w:val="00D73864"/>
    <w:rsid w:val="00D7662C"/>
    <w:rsid w:val="00D83AF1"/>
    <w:rsid w:val="00D85A16"/>
    <w:rsid w:val="00D9076C"/>
    <w:rsid w:val="00DA0AFB"/>
    <w:rsid w:val="00DA32FE"/>
    <w:rsid w:val="00DB1EF3"/>
    <w:rsid w:val="00DB4013"/>
    <w:rsid w:val="00DC41CA"/>
    <w:rsid w:val="00DD0861"/>
    <w:rsid w:val="00DD131A"/>
    <w:rsid w:val="00DD1A79"/>
    <w:rsid w:val="00DD25EE"/>
    <w:rsid w:val="00DDBAB6"/>
    <w:rsid w:val="00DE0FB9"/>
    <w:rsid w:val="00DE73E9"/>
    <w:rsid w:val="00DF2EB5"/>
    <w:rsid w:val="00DF421B"/>
    <w:rsid w:val="00DF49CE"/>
    <w:rsid w:val="00E03F38"/>
    <w:rsid w:val="00E174BB"/>
    <w:rsid w:val="00E43E4B"/>
    <w:rsid w:val="00E44E0B"/>
    <w:rsid w:val="00E554CA"/>
    <w:rsid w:val="00E65B98"/>
    <w:rsid w:val="00E809EA"/>
    <w:rsid w:val="00E812B8"/>
    <w:rsid w:val="00E87F84"/>
    <w:rsid w:val="00E90DA1"/>
    <w:rsid w:val="00E92056"/>
    <w:rsid w:val="00EA22DE"/>
    <w:rsid w:val="00EA6885"/>
    <w:rsid w:val="00EB3176"/>
    <w:rsid w:val="00EB74DC"/>
    <w:rsid w:val="00EC1330"/>
    <w:rsid w:val="00EC23B3"/>
    <w:rsid w:val="00ED37A2"/>
    <w:rsid w:val="00ED7025"/>
    <w:rsid w:val="00EE0AFF"/>
    <w:rsid w:val="00EE1363"/>
    <w:rsid w:val="00EE3724"/>
    <w:rsid w:val="00EE7024"/>
    <w:rsid w:val="00EE73C0"/>
    <w:rsid w:val="00EF7009"/>
    <w:rsid w:val="00F06D3D"/>
    <w:rsid w:val="00F07A14"/>
    <w:rsid w:val="00F20784"/>
    <w:rsid w:val="00F23323"/>
    <w:rsid w:val="00F27C61"/>
    <w:rsid w:val="00F3397A"/>
    <w:rsid w:val="00F41281"/>
    <w:rsid w:val="00F4154A"/>
    <w:rsid w:val="00F44FD7"/>
    <w:rsid w:val="00F557F9"/>
    <w:rsid w:val="00F559A9"/>
    <w:rsid w:val="00F732DB"/>
    <w:rsid w:val="00F7623D"/>
    <w:rsid w:val="00F764DB"/>
    <w:rsid w:val="00F83EAA"/>
    <w:rsid w:val="00F943A3"/>
    <w:rsid w:val="00F94C8D"/>
    <w:rsid w:val="00FA4F8E"/>
    <w:rsid w:val="00FA6281"/>
    <w:rsid w:val="00FB4FAB"/>
    <w:rsid w:val="00FC24DF"/>
    <w:rsid w:val="00FC2588"/>
    <w:rsid w:val="00FC4E2B"/>
    <w:rsid w:val="00FD4D29"/>
    <w:rsid w:val="00FD7260"/>
    <w:rsid w:val="00FE0D90"/>
    <w:rsid w:val="00FE42CB"/>
    <w:rsid w:val="00FF1C15"/>
    <w:rsid w:val="0106B333"/>
    <w:rsid w:val="013AD2DC"/>
    <w:rsid w:val="01C7398C"/>
    <w:rsid w:val="01F13E81"/>
    <w:rsid w:val="02875BFE"/>
    <w:rsid w:val="02D92D36"/>
    <w:rsid w:val="03BE0A89"/>
    <w:rsid w:val="03C52930"/>
    <w:rsid w:val="03E726DE"/>
    <w:rsid w:val="04CC6BFB"/>
    <w:rsid w:val="04DC3D98"/>
    <w:rsid w:val="0518BE7D"/>
    <w:rsid w:val="053458C7"/>
    <w:rsid w:val="05834F9B"/>
    <w:rsid w:val="05961B1D"/>
    <w:rsid w:val="05AD160A"/>
    <w:rsid w:val="05D77E5F"/>
    <w:rsid w:val="06562224"/>
    <w:rsid w:val="06809DFE"/>
    <w:rsid w:val="06976B65"/>
    <w:rsid w:val="06CFD3D9"/>
    <w:rsid w:val="06E4C6D3"/>
    <w:rsid w:val="072D53E3"/>
    <w:rsid w:val="0759F5EF"/>
    <w:rsid w:val="07D82805"/>
    <w:rsid w:val="080D0CAF"/>
    <w:rsid w:val="082E583B"/>
    <w:rsid w:val="0847E77F"/>
    <w:rsid w:val="0965B7CF"/>
    <w:rsid w:val="09C569BD"/>
    <w:rsid w:val="0A37949B"/>
    <w:rsid w:val="0A3EF69A"/>
    <w:rsid w:val="0AFFED8A"/>
    <w:rsid w:val="0B2908C5"/>
    <w:rsid w:val="0B6FDD3E"/>
    <w:rsid w:val="0BB52DE2"/>
    <w:rsid w:val="0C01C866"/>
    <w:rsid w:val="0C2A2284"/>
    <w:rsid w:val="0C49983B"/>
    <w:rsid w:val="0C56B26D"/>
    <w:rsid w:val="0CC5BE61"/>
    <w:rsid w:val="0D0A08A1"/>
    <w:rsid w:val="0D1145F8"/>
    <w:rsid w:val="0D27A476"/>
    <w:rsid w:val="0D73EC63"/>
    <w:rsid w:val="0E2D6DBC"/>
    <w:rsid w:val="0E44514B"/>
    <w:rsid w:val="0E502D96"/>
    <w:rsid w:val="0EA3580A"/>
    <w:rsid w:val="0EAF0A84"/>
    <w:rsid w:val="0F288C38"/>
    <w:rsid w:val="0F46CC9A"/>
    <w:rsid w:val="0F478A3B"/>
    <w:rsid w:val="0FC64B41"/>
    <w:rsid w:val="0FDB7994"/>
    <w:rsid w:val="0FEF187A"/>
    <w:rsid w:val="102E80F4"/>
    <w:rsid w:val="1032216D"/>
    <w:rsid w:val="10CAEEE7"/>
    <w:rsid w:val="117081E4"/>
    <w:rsid w:val="1193D92E"/>
    <w:rsid w:val="11B30F82"/>
    <w:rsid w:val="11CEFAF8"/>
    <w:rsid w:val="12095028"/>
    <w:rsid w:val="12503A8D"/>
    <w:rsid w:val="12877BB0"/>
    <w:rsid w:val="138CB030"/>
    <w:rsid w:val="13C34F81"/>
    <w:rsid w:val="13ED519C"/>
    <w:rsid w:val="14723F89"/>
    <w:rsid w:val="152C14BB"/>
    <w:rsid w:val="155A9D90"/>
    <w:rsid w:val="15DA1A01"/>
    <w:rsid w:val="15E99E48"/>
    <w:rsid w:val="16CC5A59"/>
    <w:rsid w:val="179C39F2"/>
    <w:rsid w:val="17A15C7E"/>
    <w:rsid w:val="17B22DB3"/>
    <w:rsid w:val="1899B8E1"/>
    <w:rsid w:val="190DB529"/>
    <w:rsid w:val="19635C39"/>
    <w:rsid w:val="197201B9"/>
    <w:rsid w:val="197F22F2"/>
    <w:rsid w:val="19A32025"/>
    <w:rsid w:val="19ED409F"/>
    <w:rsid w:val="1A229705"/>
    <w:rsid w:val="1AD52F99"/>
    <w:rsid w:val="1C974A59"/>
    <w:rsid w:val="1CA38A94"/>
    <w:rsid w:val="1CA8A581"/>
    <w:rsid w:val="1CBFF466"/>
    <w:rsid w:val="1D98CC14"/>
    <w:rsid w:val="1DA28DF0"/>
    <w:rsid w:val="1DA9AE7A"/>
    <w:rsid w:val="1DC48EE5"/>
    <w:rsid w:val="1DD86F3A"/>
    <w:rsid w:val="1DF71AA4"/>
    <w:rsid w:val="1E202F25"/>
    <w:rsid w:val="1E448FB3"/>
    <w:rsid w:val="1E486575"/>
    <w:rsid w:val="1EBACC4A"/>
    <w:rsid w:val="1F24694D"/>
    <w:rsid w:val="1F3A30BA"/>
    <w:rsid w:val="1F435B89"/>
    <w:rsid w:val="1F670B6E"/>
    <w:rsid w:val="1F9CEC25"/>
    <w:rsid w:val="20BE485B"/>
    <w:rsid w:val="20C7BB0E"/>
    <w:rsid w:val="20EEF319"/>
    <w:rsid w:val="20FB42E4"/>
    <w:rsid w:val="212DE8FF"/>
    <w:rsid w:val="225F20E8"/>
    <w:rsid w:val="22F5B164"/>
    <w:rsid w:val="231813EF"/>
    <w:rsid w:val="23428DE1"/>
    <w:rsid w:val="2353A0C8"/>
    <w:rsid w:val="23A2EC77"/>
    <w:rsid w:val="23B88905"/>
    <w:rsid w:val="23D1AC88"/>
    <w:rsid w:val="23D21B1F"/>
    <w:rsid w:val="24BDDD44"/>
    <w:rsid w:val="24E3ED01"/>
    <w:rsid w:val="24EC579A"/>
    <w:rsid w:val="2539408B"/>
    <w:rsid w:val="25F76222"/>
    <w:rsid w:val="26B15168"/>
    <w:rsid w:val="27519B98"/>
    <w:rsid w:val="27798C05"/>
    <w:rsid w:val="2888A042"/>
    <w:rsid w:val="289FDF31"/>
    <w:rsid w:val="2974B8C1"/>
    <w:rsid w:val="29BC83B8"/>
    <w:rsid w:val="29E0459F"/>
    <w:rsid w:val="29F7B44B"/>
    <w:rsid w:val="2A191BB8"/>
    <w:rsid w:val="2A1C8CAE"/>
    <w:rsid w:val="2A596535"/>
    <w:rsid w:val="2AF8210C"/>
    <w:rsid w:val="2B483E8E"/>
    <w:rsid w:val="2B4B5F41"/>
    <w:rsid w:val="2B9B74BE"/>
    <w:rsid w:val="2C30C91F"/>
    <w:rsid w:val="2C56EE52"/>
    <w:rsid w:val="2C5D75BA"/>
    <w:rsid w:val="2C8C7902"/>
    <w:rsid w:val="2CA324A3"/>
    <w:rsid w:val="2D335132"/>
    <w:rsid w:val="2D4BFCCF"/>
    <w:rsid w:val="2D7B191B"/>
    <w:rsid w:val="2DC830FC"/>
    <w:rsid w:val="2DD88B1D"/>
    <w:rsid w:val="2E6299A6"/>
    <w:rsid w:val="2EB231B2"/>
    <w:rsid w:val="2F104204"/>
    <w:rsid w:val="2F7CECAB"/>
    <w:rsid w:val="2FE9E564"/>
    <w:rsid w:val="30411D4F"/>
    <w:rsid w:val="305669AC"/>
    <w:rsid w:val="3069C384"/>
    <w:rsid w:val="307D8E6F"/>
    <w:rsid w:val="3093899A"/>
    <w:rsid w:val="309C4347"/>
    <w:rsid w:val="30EBE381"/>
    <w:rsid w:val="31F00B08"/>
    <w:rsid w:val="32197F4C"/>
    <w:rsid w:val="32A9F3F8"/>
    <w:rsid w:val="330DC1BA"/>
    <w:rsid w:val="332FB0DD"/>
    <w:rsid w:val="333B8704"/>
    <w:rsid w:val="3368A38B"/>
    <w:rsid w:val="33C50F65"/>
    <w:rsid w:val="33D82AB7"/>
    <w:rsid w:val="3425FB2B"/>
    <w:rsid w:val="34959618"/>
    <w:rsid w:val="350F501F"/>
    <w:rsid w:val="3556441C"/>
    <w:rsid w:val="357B9253"/>
    <w:rsid w:val="36992675"/>
    <w:rsid w:val="36FC06BF"/>
    <w:rsid w:val="37572DF4"/>
    <w:rsid w:val="37903951"/>
    <w:rsid w:val="380C66AD"/>
    <w:rsid w:val="382134CF"/>
    <w:rsid w:val="385C5B18"/>
    <w:rsid w:val="38788C96"/>
    <w:rsid w:val="38B4187F"/>
    <w:rsid w:val="38B89F12"/>
    <w:rsid w:val="390C0C9E"/>
    <w:rsid w:val="3A480C88"/>
    <w:rsid w:val="3AB988F8"/>
    <w:rsid w:val="3ACB5812"/>
    <w:rsid w:val="3ADDDF95"/>
    <w:rsid w:val="3AE354F1"/>
    <w:rsid w:val="3B23AD31"/>
    <w:rsid w:val="3B452225"/>
    <w:rsid w:val="3B633497"/>
    <w:rsid w:val="3C02FF90"/>
    <w:rsid w:val="3C03B27E"/>
    <w:rsid w:val="3C212099"/>
    <w:rsid w:val="3C40965E"/>
    <w:rsid w:val="3C433C53"/>
    <w:rsid w:val="3C5D2AD9"/>
    <w:rsid w:val="3CB7B0F5"/>
    <w:rsid w:val="3CF8234B"/>
    <w:rsid w:val="3D1F3EF0"/>
    <w:rsid w:val="3D483F53"/>
    <w:rsid w:val="3DBE34FD"/>
    <w:rsid w:val="3DE8E57F"/>
    <w:rsid w:val="3E50F627"/>
    <w:rsid w:val="3E754CE8"/>
    <w:rsid w:val="3F10B85F"/>
    <w:rsid w:val="403912DE"/>
    <w:rsid w:val="40469E3F"/>
    <w:rsid w:val="405871EB"/>
    <w:rsid w:val="40C289A6"/>
    <w:rsid w:val="4234833B"/>
    <w:rsid w:val="42DA0CAE"/>
    <w:rsid w:val="432AB7AE"/>
    <w:rsid w:val="43495227"/>
    <w:rsid w:val="435A9A65"/>
    <w:rsid w:val="43B7C8FF"/>
    <w:rsid w:val="44198481"/>
    <w:rsid w:val="452FBD5D"/>
    <w:rsid w:val="45AA90BB"/>
    <w:rsid w:val="45F25647"/>
    <w:rsid w:val="45FE85BB"/>
    <w:rsid w:val="4685954B"/>
    <w:rsid w:val="4704F06C"/>
    <w:rsid w:val="47A4337E"/>
    <w:rsid w:val="47DDFF75"/>
    <w:rsid w:val="47E5692D"/>
    <w:rsid w:val="481E3964"/>
    <w:rsid w:val="489AEC22"/>
    <w:rsid w:val="48DEF710"/>
    <w:rsid w:val="493DD816"/>
    <w:rsid w:val="49AAE6C2"/>
    <w:rsid w:val="4A3175B1"/>
    <w:rsid w:val="4A8F5835"/>
    <w:rsid w:val="4B19B960"/>
    <w:rsid w:val="4B2122B6"/>
    <w:rsid w:val="4B21287D"/>
    <w:rsid w:val="4B41BC0E"/>
    <w:rsid w:val="4B442825"/>
    <w:rsid w:val="4C2CDC42"/>
    <w:rsid w:val="4C40151D"/>
    <w:rsid w:val="4C4E2AFE"/>
    <w:rsid w:val="4C55F481"/>
    <w:rsid w:val="4C999E15"/>
    <w:rsid w:val="4CF3714C"/>
    <w:rsid w:val="4DB28934"/>
    <w:rsid w:val="4E98EF00"/>
    <w:rsid w:val="4E9DC376"/>
    <w:rsid w:val="4EEB52C7"/>
    <w:rsid w:val="4F72F010"/>
    <w:rsid w:val="4FEA9754"/>
    <w:rsid w:val="5020A671"/>
    <w:rsid w:val="50981EBB"/>
    <w:rsid w:val="509AFE64"/>
    <w:rsid w:val="50C66085"/>
    <w:rsid w:val="50DBBB3B"/>
    <w:rsid w:val="50FF338A"/>
    <w:rsid w:val="519F9C78"/>
    <w:rsid w:val="51A69DA0"/>
    <w:rsid w:val="52573178"/>
    <w:rsid w:val="52606F7B"/>
    <w:rsid w:val="52C68F0D"/>
    <w:rsid w:val="53456A34"/>
    <w:rsid w:val="537B5BB8"/>
    <w:rsid w:val="53973A28"/>
    <w:rsid w:val="53F5C86E"/>
    <w:rsid w:val="5449F7AE"/>
    <w:rsid w:val="545A9FED"/>
    <w:rsid w:val="54684F79"/>
    <w:rsid w:val="547B9BA9"/>
    <w:rsid w:val="55B71123"/>
    <w:rsid w:val="55C77FD6"/>
    <w:rsid w:val="55FDFF18"/>
    <w:rsid w:val="56339B97"/>
    <w:rsid w:val="565C3996"/>
    <w:rsid w:val="566470DE"/>
    <w:rsid w:val="5668CB26"/>
    <w:rsid w:val="56690759"/>
    <w:rsid w:val="566CEB0D"/>
    <w:rsid w:val="56C5696A"/>
    <w:rsid w:val="56CDB9E2"/>
    <w:rsid w:val="57249F49"/>
    <w:rsid w:val="582D179D"/>
    <w:rsid w:val="5858CBA4"/>
    <w:rsid w:val="585A448F"/>
    <w:rsid w:val="58712A8E"/>
    <w:rsid w:val="587D348B"/>
    <w:rsid w:val="5892E3F3"/>
    <w:rsid w:val="593B0779"/>
    <w:rsid w:val="5963A233"/>
    <w:rsid w:val="599BE325"/>
    <w:rsid w:val="59B3AC6A"/>
    <w:rsid w:val="59F793AC"/>
    <w:rsid w:val="5A2FB5DA"/>
    <w:rsid w:val="5A3ABBFC"/>
    <w:rsid w:val="5A7E4D44"/>
    <w:rsid w:val="5ADB3432"/>
    <w:rsid w:val="5AFC6AF1"/>
    <w:rsid w:val="5B714C5D"/>
    <w:rsid w:val="5BCFE5D2"/>
    <w:rsid w:val="5C3B61B1"/>
    <w:rsid w:val="5C4D05F4"/>
    <w:rsid w:val="5C4EEBE5"/>
    <w:rsid w:val="5CCC54EA"/>
    <w:rsid w:val="5CCDC3CB"/>
    <w:rsid w:val="5D5D000F"/>
    <w:rsid w:val="5D78CD2E"/>
    <w:rsid w:val="5D7FCE4B"/>
    <w:rsid w:val="5DA63FA3"/>
    <w:rsid w:val="5DA85197"/>
    <w:rsid w:val="5DADC59F"/>
    <w:rsid w:val="5DAE7297"/>
    <w:rsid w:val="5DE0EC1E"/>
    <w:rsid w:val="5DEF8E92"/>
    <w:rsid w:val="5E55FE0A"/>
    <w:rsid w:val="5E8A11D0"/>
    <w:rsid w:val="5EA92DC9"/>
    <w:rsid w:val="5EE51C0D"/>
    <w:rsid w:val="5F3119F4"/>
    <w:rsid w:val="5F37E5A7"/>
    <w:rsid w:val="5F436158"/>
    <w:rsid w:val="5F64572F"/>
    <w:rsid w:val="5FEF5C81"/>
    <w:rsid w:val="6031656C"/>
    <w:rsid w:val="60D96E3B"/>
    <w:rsid w:val="60EB3C3A"/>
    <w:rsid w:val="611E4970"/>
    <w:rsid w:val="616E11B8"/>
    <w:rsid w:val="617F4516"/>
    <w:rsid w:val="624C0BB4"/>
    <w:rsid w:val="624C9EF5"/>
    <w:rsid w:val="62C251B7"/>
    <w:rsid w:val="62CAFFF9"/>
    <w:rsid w:val="62DB7BB3"/>
    <w:rsid w:val="6398A751"/>
    <w:rsid w:val="63BAA0B6"/>
    <w:rsid w:val="63C595AE"/>
    <w:rsid w:val="6410B327"/>
    <w:rsid w:val="642D2543"/>
    <w:rsid w:val="646E797F"/>
    <w:rsid w:val="646FE0D6"/>
    <w:rsid w:val="64932114"/>
    <w:rsid w:val="64ADC3F1"/>
    <w:rsid w:val="64E5472E"/>
    <w:rsid w:val="64F72BB9"/>
    <w:rsid w:val="6549C2F1"/>
    <w:rsid w:val="65990A1B"/>
    <w:rsid w:val="65C3066F"/>
    <w:rsid w:val="6649CEFF"/>
    <w:rsid w:val="6675FB37"/>
    <w:rsid w:val="668174D8"/>
    <w:rsid w:val="66D64C44"/>
    <w:rsid w:val="66F14B9F"/>
    <w:rsid w:val="675390AC"/>
    <w:rsid w:val="67784935"/>
    <w:rsid w:val="680BB934"/>
    <w:rsid w:val="680D916E"/>
    <w:rsid w:val="687BAD53"/>
    <w:rsid w:val="6911600E"/>
    <w:rsid w:val="69402D57"/>
    <w:rsid w:val="69DD47FE"/>
    <w:rsid w:val="6A7F54A8"/>
    <w:rsid w:val="6A9BE5B4"/>
    <w:rsid w:val="6AD80134"/>
    <w:rsid w:val="6B5EA78E"/>
    <w:rsid w:val="6BD411D0"/>
    <w:rsid w:val="6BEB6EFB"/>
    <w:rsid w:val="6C04D6B7"/>
    <w:rsid w:val="6CFE0292"/>
    <w:rsid w:val="6D210B8C"/>
    <w:rsid w:val="6D4095E8"/>
    <w:rsid w:val="6D66BA63"/>
    <w:rsid w:val="6D808D18"/>
    <w:rsid w:val="6D934E1B"/>
    <w:rsid w:val="6DD80016"/>
    <w:rsid w:val="6DDA9BC0"/>
    <w:rsid w:val="6E88CB89"/>
    <w:rsid w:val="6EA05528"/>
    <w:rsid w:val="6F09D57B"/>
    <w:rsid w:val="6FCC2473"/>
    <w:rsid w:val="70B03011"/>
    <w:rsid w:val="714FF0E7"/>
    <w:rsid w:val="7265BE4A"/>
    <w:rsid w:val="7291D7DF"/>
    <w:rsid w:val="72B9E4D1"/>
    <w:rsid w:val="72CC5591"/>
    <w:rsid w:val="733FF9D6"/>
    <w:rsid w:val="7369BF3B"/>
    <w:rsid w:val="737FEA5D"/>
    <w:rsid w:val="73EDCE15"/>
    <w:rsid w:val="740AF735"/>
    <w:rsid w:val="75012A31"/>
    <w:rsid w:val="75E58C97"/>
    <w:rsid w:val="75E7B0A9"/>
    <w:rsid w:val="760CCBFF"/>
    <w:rsid w:val="76DC3B65"/>
    <w:rsid w:val="77541CC0"/>
    <w:rsid w:val="77A2A877"/>
    <w:rsid w:val="77F53A36"/>
    <w:rsid w:val="78016439"/>
    <w:rsid w:val="78218857"/>
    <w:rsid w:val="783BE14A"/>
    <w:rsid w:val="784A54D1"/>
    <w:rsid w:val="785F2016"/>
    <w:rsid w:val="7893CA6A"/>
    <w:rsid w:val="78FEB0D4"/>
    <w:rsid w:val="79C8997F"/>
    <w:rsid w:val="7A4878E8"/>
    <w:rsid w:val="7A6E8C17"/>
    <w:rsid w:val="7AAC7B81"/>
    <w:rsid w:val="7B463D05"/>
    <w:rsid w:val="7B8E0EDA"/>
    <w:rsid w:val="7BB46FA5"/>
    <w:rsid w:val="7BCCBF62"/>
    <w:rsid w:val="7BD6085E"/>
    <w:rsid w:val="7C495146"/>
    <w:rsid w:val="7C5DC402"/>
    <w:rsid w:val="7C6A43C6"/>
    <w:rsid w:val="7C84344F"/>
    <w:rsid w:val="7CF8D8D9"/>
    <w:rsid w:val="7D4C5A54"/>
    <w:rsid w:val="7DDC98F2"/>
    <w:rsid w:val="7DEA29B2"/>
    <w:rsid w:val="7E6C8DA9"/>
    <w:rsid w:val="7E9AB17A"/>
    <w:rsid w:val="7EAD2C00"/>
    <w:rsid w:val="7ED42C45"/>
    <w:rsid w:val="7ED5D1FF"/>
    <w:rsid w:val="7F17F58A"/>
    <w:rsid w:val="7F76B980"/>
    <w:rsid w:val="7F861F09"/>
    <w:rsid w:val="7FA06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BFA612"/>
  <w15:chartTrackingRefBased/>
  <w15:docId w15:val="{F732F7F4-2355-4747-98E4-6C1C16C77C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1AD6"/>
    <w:pPr>
      <w:spacing w:line="259" w:lineRule="auto"/>
    </w:pPr>
    <w:rPr>
      <w:kern w:val="0"/>
      <w:sz w:val="22"/>
      <w:szCs w:val="22"/>
      <w14:ligatures w14:val="none"/>
    </w:rPr>
  </w:style>
  <w:style w:type="paragraph" w:styleId="Ttulo1">
    <w:name w:val="heading 1"/>
    <w:basedOn w:val="Normal"/>
    <w:next w:val="Normal"/>
    <w:link w:val="Ttulo1Char"/>
    <w:uiPriority w:val="9"/>
    <w:qFormat/>
    <w:rsid w:val="00641AD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641AD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641AD6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641AD6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641AD6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641AD6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641AD6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641AD6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641AD6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641AD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641AD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641AD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641AD6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641AD6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641AD6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641AD6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641AD6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641AD6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641AD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tuloChar">
    <w:name w:val="Título Char"/>
    <w:basedOn w:val="Fontepargpadro"/>
    <w:link w:val="Ttulo"/>
    <w:uiPriority w:val="10"/>
    <w:rsid w:val="00641A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1AD6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tuloChar">
    <w:name w:val="Subtítulo Char"/>
    <w:basedOn w:val="Fontepargpadro"/>
    <w:link w:val="Subttulo"/>
    <w:uiPriority w:val="11"/>
    <w:rsid w:val="00641AD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641AD6"/>
    <w:pPr>
      <w:spacing w:before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CitaoChar">
    <w:name w:val="Citação Char"/>
    <w:basedOn w:val="Fontepargpadro"/>
    <w:link w:val="Citao"/>
    <w:uiPriority w:val="29"/>
    <w:rsid w:val="00641AD6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641AD6"/>
    <w:pPr>
      <w:spacing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nfaseIntensa">
    <w:name w:val="Intense Emphasis"/>
    <w:basedOn w:val="Fontepargpadro"/>
    <w:uiPriority w:val="21"/>
    <w:qFormat/>
    <w:rsid w:val="00641AD6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641AD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641AD6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641AD6"/>
    <w:rPr>
      <w:b/>
      <w:bCs/>
      <w:smallCaps/>
      <w:color w:val="0F4761" w:themeColor="accent1" w:themeShade="BF"/>
      <w:spacing w:val="5"/>
    </w:rPr>
  </w:style>
  <w:style w:type="table" w:styleId="Tabelacomgrade">
    <w:name w:val="Table Grid"/>
    <w:basedOn w:val="Tabelanormal"/>
    <w:uiPriority w:val="39"/>
    <w:rsid w:val="00641AD6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texto">
    <w:name w:val="Body Text"/>
    <w:basedOn w:val="Normal"/>
    <w:link w:val="CorpodetextoChar"/>
    <w:uiPriority w:val="1"/>
    <w:qFormat/>
    <w:rsid w:val="00641AD6"/>
    <w:pPr>
      <w:widowControl w:val="0"/>
      <w:autoSpaceDE w:val="0"/>
      <w:autoSpaceDN w:val="0"/>
      <w:spacing w:after="0" w:line="240" w:lineRule="auto"/>
      <w:ind w:left="220" w:firstLine="1417"/>
    </w:pPr>
    <w:rPr>
      <w:rFonts w:ascii="Calibri" w:eastAsia="Calibri" w:hAnsi="Calibri" w:cs="Calibri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641AD6"/>
    <w:rPr>
      <w:rFonts w:ascii="Calibri" w:eastAsia="Calibri" w:hAnsi="Calibri" w:cs="Calibri"/>
      <w:kern w:val="0"/>
      <w:lang w:val="pt-PT"/>
      <w14:ligatures w14:val="none"/>
    </w:rPr>
  </w:style>
  <w:style w:type="paragraph" w:styleId="Cabealho">
    <w:name w:val="header"/>
    <w:basedOn w:val="Normal"/>
    <w:link w:val="CabealhoChar"/>
    <w:uiPriority w:val="99"/>
    <w:unhideWhenUsed/>
    <w:rsid w:val="00127DC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27DCC"/>
    <w:rPr>
      <w:kern w:val="0"/>
      <w:sz w:val="22"/>
      <w:szCs w:val="22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127DC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27DCC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39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19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6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8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microsoft.com/office/2020/10/relationships/intelligence" Target="intelligence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6514204-60b6-49bf-93dd-e2c25e0a8d37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1F396758AD8B14180D5DC88C0F4E17A" ma:contentTypeVersion="15" ma:contentTypeDescription="Crie um novo documento." ma:contentTypeScope="" ma:versionID="4203ab2bba964bc9a06286aef7b1f7fb">
  <xsd:schema xmlns:xsd="http://www.w3.org/2001/XMLSchema" xmlns:xs="http://www.w3.org/2001/XMLSchema" xmlns:p="http://schemas.microsoft.com/office/2006/metadata/properties" xmlns:ns3="36514204-60b6-49bf-93dd-e2c25e0a8d37" xmlns:ns4="5c67f874-4d47-421e-9f1b-d78efa6db140" targetNamespace="http://schemas.microsoft.com/office/2006/metadata/properties" ma:root="true" ma:fieldsID="e6cfae4207f0c8780c6bdcb5247d56d0" ns3:_="" ns4:_="">
    <xsd:import namespace="36514204-60b6-49bf-93dd-e2c25e0a8d37"/>
    <xsd:import namespace="5c67f874-4d47-421e-9f1b-d78efa6db14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DateTaken" minOccurs="0"/>
                <xsd:element ref="ns3:MediaServiceSearchProperties" minOccurs="0"/>
                <xsd:element ref="ns3:_activity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14204-60b6-49bf-93dd-e2c25e0a8d3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  <xsd:element name="MediaServiceSystemTags" ma:index="19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67f874-4d47-421e-9f1b-d78efa6db14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ash de Dica de Compartilhamento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EFEE2A7-8B4F-4633-9A7B-4FFF267E81E6}">
  <ds:schemaRefs>
    <ds:schemaRef ds:uri="http://schemas.microsoft.com/office/2006/metadata/properties"/>
    <ds:schemaRef ds:uri="http://schemas.microsoft.com/office/infopath/2007/PartnerControls"/>
    <ds:schemaRef ds:uri="36514204-60b6-49bf-93dd-e2c25e0a8d37"/>
  </ds:schemaRefs>
</ds:datastoreItem>
</file>

<file path=customXml/itemProps2.xml><?xml version="1.0" encoding="utf-8"?>
<ds:datastoreItem xmlns:ds="http://schemas.openxmlformats.org/officeDocument/2006/customXml" ds:itemID="{D85979C9-2017-47AB-AB72-E5F566BFFB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514204-60b6-49bf-93dd-e2c25e0a8d37"/>
    <ds:schemaRef ds:uri="5c67f874-4d47-421e-9f1b-d78efa6db14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BF19877-686D-4021-8222-5A8C9050CFC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4253</Words>
  <Characters>22971</Characters>
  <Application>Microsoft Office Word</Application>
  <DocSecurity>0</DocSecurity>
  <Lines>191</Lines>
  <Paragraphs>54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Elizabeth Ashton de Araujo - PREVICDF</dc:creator>
  <cp:keywords/>
  <dc:description/>
  <cp:lastModifiedBy>Claudia Elizabeth Ashton de Araujo - PREVICDF</cp:lastModifiedBy>
  <cp:revision>2</cp:revision>
  <dcterms:created xsi:type="dcterms:W3CDTF">2025-08-15T14:18:00Z</dcterms:created>
  <dcterms:modified xsi:type="dcterms:W3CDTF">2025-08-15T14:18:00Z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0x010100F1F396758AD8B14180D5DC88C0F4E17A</vt:lpwstr>
  </property>
</Properties>
</file>