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C16E5B" w14:textId="77777777" w:rsidR="00EE459B" w:rsidRPr="006D3F45" w:rsidRDefault="00EE459B" w:rsidP="00EE459B">
      <w:pPr>
        <w:jc w:val="center"/>
      </w:pPr>
      <w:r w:rsidRPr="006D3F45">
        <w:t>ATA DA REUNIÃO SOBRE ALTERAÇÃO DA RESOLUÇÃO PREVIC Nº 23/2023</w:t>
      </w:r>
    </w:p>
    <w:p w14:paraId="06B36C02" w14:textId="77777777" w:rsidR="00EE459B" w:rsidRDefault="00EE459B" w:rsidP="00EE459B">
      <w:pPr>
        <w:jc w:val="both"/>
      </w:pPr>
      <w:r w:rsidRPr="006D3F45">
        <w:rPr>
          <w:b/>
          <w:bCs/>
        </w:rPr>
        <w:t>DATA</w:t>
      </w:r>
      <w:r w:rsidRPr="006D3F45">
        <w:t xml:space="preserve">: 27 de junho de 2025 </w:t>
      </w:r>
    </w:p>
    <w:p w14:paraId="2C433F20" w14:textId="77777777" w:rsidR="00EE459B" w:rsidRDefault="00EE459B" w:rsidP="00EE459B">
      <w:pPr>
        <w:jc w:val="both"/>
      </w:pPr>
      <w:r w:rsidRPr="006D3F45">
        <w:rPr>
          <w:b/>
          <w:bCs/>
        </w:rPr>
        <w:t>HORÁRIO</w:t>
      </w:r>
      <w:r>
        <w:t>: das 09h30 às 12h30</w:t>
      </w:r>
    </w:p>
    <w:p w14:paraId="2AD98385" w14:textId="77777777" w:rsidR="00EE459B" w:rsidRDefault="00EE459B" w:rsidP="00EE459B">
      <w:pPr>
        <w:jc w:val="both"/>
      </w:pPr>
      <w:r w:rsidRPr="006D3F45">
        <w:rPr>
          <w:b/>
          <w:bCs/>
        </w:rPr>
        <w:t>LOCAL</w:t>
      </w:r>
      <w:r w:rsidRPr="006D3F45">
        <w:t xml:space="preserve">: Auditório da Fundação Eletros, Rio de Janeiro/RJ </w:t>
      </w:r>
    </w:p>
    <w:p w14:paraId="7597576F" w14:textId="77777777" w:rsidR="00EE459B" w:rsidRPr="006D3F45" w:rsidRDefault="00EE459B" w:rsidP="00EE459B">
      <w:pPr>
        <w:jc w:val="both"/>
      </w:pPr>
      <w:r w:rsidRPr="006D3F45">
        <w:rPr>
          <w:b/>
          <w:bCs/>
        </w:rPr>
        <w:t>ASSUNTO</w:t>
      </w:r>
      <w:r>
        <w:t xml:space="preserve">: </w:t>
      </w:r>
      <w:r w:rsidRPr="006D3F45">
        <w:t>Discussão sobre proposta de regulamentação dos §§ 4º e 5º do art. 10 da Resolução CMN nº 5.202, de 2025, no âmbito da Resolução Previc nº 23, de 2023</w:t>
      </w:r>
      <w:r>
        <w:t>, com as EFPC do segmento S2 e S3.</w:t>
      </w:r>
    </w:p>
    <w:p w14:paraId="4A024086" w14:textId="77777777" w:rsidR="00EE459B" w:rsidRDefault="00EE459B" w:rsidP="00EE459B">
      <w:pPr>
        <w:jc w:val="both"/>
      </w:pPr>
      <w:r w:rsidRPr="006D3F45">
        <w:rPr>
          <w:b/>
          <w:bCs/>
        </w:rPr>
        <w:t>PARTICIPANTES</w:t>
      </w:r>
      <w:r w:rsidRPr="006D3F45">
        <w:t xml:space="preserve">: </w:t>
      </w:r>
    </w:p>
    <w:p w14:paraId="5372309E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 xml:space="preserve">Alcinei </w:t>
      </w:r>
      <w:r>
        <w:t xml:space="preserve">Cardoso </w:t>
      </w:r>
      <w:r w:rsidRPr="00A30131">
        <w:t>Rodrigues – Diretor de Normas – DINOR/PREVIC</w:t>
      </w:r>
    </w:p>
    <w:p w14:paraId="5EBFF25E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 xml:space="preserve">Claudemiro </w:t>
      </w:r>
      <w:r>
        <w:t xml:space="preserve">Correia </w:t>
      </w:r>
      <w:r w:rsidRPr="00A30131">
        <w:t>Quintal</w:t>
      </w:r>
      <w:r>
        <w:t xml:space="preserve"> Júnior</w:t>
      </w:r>
      <w:r w:rsidRPr="00A30131">
        <w:t xml:space="preserve"> – Coordenador-Geral</w:t>
      </w:r>
      <w:r>
        <w:t xml:space="preserve"> de Normas de Investimento</w:t>
      </w:r>
      <w:r w:rsidRPr="00A30131">
        <w:t xml:space="preserve"> – CGNI/DINOR/PREVIC</w:t>
      </w:r>
    </w:p>
    <w:p w14:paraId="04C1D93E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Pedro Paulo da Cunha – Presidente – ELETROS</w:t>
      </w:r>
    </w:p>
    <w:p w14:paraId="1BB7D1E1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Luiz Guilherme F. N. Pinto – Diretor Financeiro – ELETROS</w:t>
      </w:r>
    </w:p>
    <w:p w14:paraId="75FB5A9C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Max Leandro Ferreira – Gerente de Investimentos – ELETROS</w:t>
      </w:r>
    </w:p>
    <w:p w14:paraId="46D00384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Renata Ferretti – Gerente de Controladoria – ELETROS</w:t>
      </w:r>
    </w:p>
    <w:p w14:paraId="3523A7B6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Wilson Carlos F. Matheus – Diretor de Investimentos e Finanças – BRASLIGHT</w:t>
      </w:r>
    </w:p>
    <w:p w14:paraId="33E5B2E8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Luiz Cláudio Levy Cardoso – Diretor Financeiro – NUCLEOS</w:t>
      </w:r>
    </w:p>
    <w:p w14:paraId="0E0D3431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Ruy Costa Ferreira Filho – Gerente de Investimentos – NUCLEOS</w:t>
      </w:r>
    </w:p>
    <w:p w14:paraId="2B980156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Marco Aurélio de Azevedo – Diretor-Superintendente – SÃO RAFAEL PREVIDÊNCIA</w:t>
      </w:r>
    </w:p>
    <w:p w14:paraId="0178094D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Andrea Pittigliani – Diretora Financeira – TELOS</w:t>
      </w:r>
    </w:p>
    <w:p w14:paraId="75098644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Mariana Guimarães de Lima – Gerente de Governança, Riscos e Compliance – TELOS</w:t>
      </w:r>
    </w:p>
    <w:p w14:paraId="0970E0DC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 xml:space="preserve">Marcelo Amaral </w:t>
      </w:r>
      <w:proofErr w:type="spellStart"/>
      <w:r w:rsidRPr="00A30131">
        <w:t>Papalilo</w:t>
      </w:r>
      <w:proofErr w:type="spellEnd"/>
      <w:r w:rsidRPr="00A30131">
        <w:t xml:space="preserve"> – Diretor de Investimentos – PRECE</w:t>
      </w:r>
    </w:p>
    <w:p w14:paraId="4A6F0434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Diogo Carneiro Batista – Gerente de Investimentos – PRECE</w:t>
      </w:r>
    </w:p>
    <w:p w14:paraId="20012625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Daniela Santos Oliveira – Diretora Superintendente e Diretora Administrativa e Financeira Interina – INFRAPREV</w:t>
      </w:r>
    </w:p>
    <w:p w14:paraId="67211874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Isadora Cini Oliveira – Analista de Investimentos Sênior – INFRAPREV</w:t>
      </w:r>
    </w:p>
    <w:p w14:paraId="7BB41120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Anna Claudia Fernandes – Gerente de Governança e Investimentos – SERPROS</w:t>
      </w:r>
    </w:p>
    <w:p w14:paraId="4601E38C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Marco Miller Santos – Diretor Financeiro – PREVHAB</w:t>
      </w:r>
    </w:p>
    <w:p w14:paraId="5183537D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Marcio Faria – Diretor de Investimentos – FUNDAÇÃO ATLÂNTICO</w:t>
      </w:r>
    </w:p>
    <w:p w14:paraId="3626D640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Marcelo Correa Lessa – Gerente Administrativo e Financeiro – SIAS</w:t>
      </w:r>
    </w:p>
    <w:p w14:paraId="0AF6280D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Luciana Hoffmann Geiger – Gerente de Administração e Previdência – PREVHAB</w:t>
      </w:r>
    </w:p>
    <w:p w14:paraId="206B2330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João Luiz Ribeiro Lopes – Gerente de Investimentos – PREVHAB</w:t>
      </w:r>
    </w:p>
    <w:p w14:paraId="49319F36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lastRenderedPageBreak/>
        <w:t>Mario Cardoso Sampaio – Diretor-Superintendente – PREVHAB</w:t>
      </w:r>
    </w:p>
    <w:p w14:paraId="0FB5ABFE" w14:textId="77777777" w:rsidR="00EE459B" w:rsidRPr="00A30131" w:rsidRDefault="00EE459B" w:rsidP="00EE459B">
      <w:pPr>
        <w:numPr>
          <w:ilvl w:val="0"/>
          <w:numId w:val="2"/>
        </w:numPr>
        <w:jc w:val="both"/>
      </w:pPr>
      <w:r w:rsidRPr="00A30131">
        <w:t>Eduardo Riche – Gerente de Investimentos – INFRAPREV</w:t>
      </w:r>
    </w:p>
    <w:p w14:paraId="4793ECCA" w14:textId="77777777" w:rsidR="00EE459B" w:rsidRDefault="00EE459B" w:rsidP="00EE459B">
      <w:pPr>
        <w:ind w:left="720"/>
        <w:jc w:val="both"/>
      </w:pPr>
    </w:p>
    <w:p w14:paraId="10EFE018" w14:textId="77777777" w:rsidR="00EE459B" w:rsidRDefault="00EE459B" w:rsidP="00EE459B">
      <w:pPr>
        <w:ind w:left="720"/>
        <w:jc w:val="both"/>
      </w:pPr>
    </w:p>
    <w:p w14:paraId="5D74C2F9" w14:textId="77777777" w:rsidR="00EE459B" w:rsidRDefault="00EE459B" w:rsidP="00EE459B">
      <w:pPr>
        <w:jc w:val="both"/>
        <w:rPr>
          <w:b/>
          <w:bCs/>
        </w:rPr>
      </w:pPr>
      <w:r>
        <w:rPr>
          <w:b/>
          <w:bCs/>
        </w:rPr>
        <w:t>DEBATES</w:t>
      </w:r>
      <w:r w:rsidRPr="00A30131">
        <w:rPr>
          <w:b/>
          <w:bCs/>
        </w:rPr>
        <w:t>:</w:t>
      </w:r>
    </w:p>
    <w:p w14:paraId="6368A485" w14:textId="77777777" w:rsidR="00EE459B" w:rsidRDefault="00EE459B" w:rsidP="00EE459B">
      <w:pPr>
        <w:jc w:val="both"/>
        <w:rPr>
          <w:b/>
          <w:bCs/>
        </w:rPr>
      </w:pPr>
    </w:p>
    <w:p w14:paraId="407C68E5" w14:textId="77777777" w:rsidR="00EE459B" w:rsidRDefault="00EE459B" w:rsidP="00EE459B">
      <w:pPr>
        <w:pStyle w:val="PargrafodaLista"/>
        <w:numPr>
          <w:ilvl w:val="0"/>
          <w:numId w:val="3"/>
        </w:numPr>
        <w:jc w:val="both"/>
      </w:pPr>
      <w:r w:rsidRPr="006D3F45">
        <w:t>A reunião teve início com as boas-vindas</w:t>
      </w:r>
      <w:r>
        <w:t xml:space="preserve"> do</w:t>
      </w:r>
      <w:r w:rsidRPr="005523FA">
        <w:t xml:space="preserve"> Diretor de Normas (Dinor) da Previc, Alcinei Cardoso Rodrigues,</w:t>
      </w:r>
      <w:r>
        <w:t xml:space="preserve"> </w:t>
      </w:r>
      <w:r w:rsidRPr="006D3F45">
        <w:t>que apresentou</w:t>
      </w:r>
      <w:r>
        <w:t>, logo em seguida,</w:t>
      </w:r>
      <w:r w:rsidRPr="006D3F45">
        <w:t xml:space="preserve"> os objetivos do encontro</w:t>
      </w:r>
      <w:r>
        <w:t>, a saber</w:t>
      </w:r>
      <w:r w:rsidRPr="006D3F45">
        <w:t>: colher subsídios das EFPC dos segmentos S2 e S3 sobre a proposta de regulamentação dos dispositivos da Resolução CMN nº 5.202</w:t>
      </w:r>
      <w:r>
        <w:t xml:space="preserve">, de </w:t>
      </w:r>
      <w:r w:rsidRPr="006D3F45">
        <w:t>2025</w:t>
      </w:r>
      <w:r>
        <w:t>,</w:t>
      </w:r>
      <w:r w:rsidRPr="006D3F45">
        <w:t xml:space="preserve"> </w:t>
      </w:r>
      <w:r>
        <w:t>no que tange à</w:t>
      </w:r>
      <w:r w:rsidRPr="006D3F45">
        <w:t xml:space="preserve"> </w:t>
      </w:r>
      <w:r>
        <w:t>mensuração</w:t>
      </w:r>
      <w:r w:rsidRPr="006D3F45">
        <w:t xml:space="preserve"> e transparência d</w:t>
      </w:r>
      <w:r>
        <w:t xml:space="preserve">os impactos </w:t>
      </w:r>
      <w:r w:rsidRPr="006D3F45">
        <w:t>ASG (ambientais, sociais e de governança)</w:t>
      </w:r>
      <w:r>
        <w:t xml:space="preserve"> nas carteiras dos planos de benefícios.</w:t>
      </w:r>
    </w:p>
    <w:p w14:paraId="7FD0E637" w14:textId="77777777" w:rsidR="00EE459B" w:rsidRDefault="00EE459B" w:rsidP="00EE459B">
      <w:pPr>
        <w:pStyle w:val="PargrafodaLista"/>
        <w:numPr>
          <w:ilvl w:val="0"/>
          <w:numId w:val="3"/>
        </w:numPr>
        <w:jc w:val="both"/>
      </w:pPr>
      <w:r>
        <w:t xml:space="preserve">O Diretor de Normas da Previc, </w:t>
      </w:r>
      <w:r w:rsidRPr="007767F3">
        <w:t>Alcinei Cardoso Rodrigues</w:t>
      </w:r>
      <w:r>
        <w:t xml:space="preserve">, deu início à sua apresentação fazendo uma </w:t>
      </w:r>
      <w:r w:rsidRPr="00A50B87">
        <w:t>breve contextualização sobre a proposta normativa, destacando a necessidade de aprimorar os mecanismos de consideração, mensuração e reporte de fatores ASG pelas EFPC, observando o princípio da proporcionalidade.</w:t>
      </w:r>
    </w:p>
    <w:p w14:paraId="0C1CC1B2" w14:textId="77777777" w:rsidR="00EE459B" w:rsidRDefault="00EE459B" w:rsidP="00EE459B">
      <w:pPr>
        <w:pStyle w:val="PargrafodaLista"/>
        <w:numPr>
          <w:ilvl w:val="0"/>
          <w:numId w:val="3"/>
        </w:numPr>
        <w:jc w:val="both"/>
      </w:pPr>
      <w:r>
        <w:t>Também fez um apanhado geral sobre a evolução normativa em relação aos aspectos ASG e demonstrou a necessidade de elaborar um diagnóstico como essa questão está sendo tratada pelas EFPC e pelo mercado.</w:t>
      </w:r>
    </w:p>
    <w:p w14:paraId="463F8AED" w14:textId="6E32E9F5" w:rsidR="00EE459B" w:rsidRPr="006D3F45" w:rsidRDefault="00EE459B" w:rsidP="00EE459B">
      <w:pPr>
        <w:pStyle w:val="PargrafodaLista"/>
        <w:numPr>
          <w:ilvl w:val="0"/>
          <w:numId w:val="3"/>
        </w:numPr>
        <w:jc w:val="both"/>
      </w:pPr>
      <w:proofErr w:type="spellStart"/>
      <w:r w:rsidRPr="007767F3">
        <w:t>Alcinei</w:t>
      </w:r>
      <w:proofErr w:type="spellEnd"/>
      <w:r w:rsidRPr="007767F3">
        <w:t xml:space="preserve"> Cardoso Rodrigues</w:t>
      </w:r>
      <w:r>
        <w:t xml:space="preserve"> destacou ainda que o intuito na normatização não é estimular a criação de produtos de “prateleira” que sejam adotadas pelas EFPC apenas cumprir regras, sem observar as especificidades de cada entidade. Citou como exemplo o estudo de taxa, que em muitas ocasiões são um verdadeiro </w:t>
      </w:r>
      <w:proofErr w:type="spellStart"/>
      <w:r>
        <w:t>copia</w:t>
      </w:r>
      <w:proofErr w:type="spellEnd"/>
      <w:r>
        <w:t xml:space="preserve"> e cola.</w:t>
      </w:r>
    </w:p>
    <w:p w14:paraId="0EC187F5" w14:textId="77777777" w:rsidR="00EE459B" w:rsidRPr="00A30131" w:rsidRDefault="00EE459B" w:rsidP="00EE459B">
      <w:pPr>
        <w:pStyle w:val="PargrafodaLista"/>
        <w:numPr>
          <w:ilvl w:val="0"/>
          <w:numId w:val="3"/>
        </w:numPr>
        <w:jc w:val="both"/>
        <w:rPr>
          <w:b/>
          <w:bCs/>
        </w:rPr>
      </w:pPr>
      <w:r w:rsidRPr="006D3F45">
        <w:t>Foi apresentada a necessidade de adequação da Resolução Previc nº 23</w:t>
      </w:r>
      <w:r>
        <w:t xml:space="preserve">, de </w:t>
      </w:r>
      <w:r w:rsidRPr="006D3F45">
        <w:t>2023</w:t>
      </w:r>
      <w:r>
        <w:t>,</w:t>
      </w:r>
      <w:r w:rsidRPr="006D3F45">
        <w:t xml:space="preserve"> aos comandos dos §§ 4º e 5º do art. 10 da Resolução CMN nº 5.202</w:t>
      </w:r>
      <w:r>
        <w:t xml:space="preserve">, de </w:t>
      </w:r>
      <w:r w:rsidRPr="006D3F45">
        <w:t>2025, destacando-se a diferença de exigências entre os segmentos, conforme o porte e a complexidade das EFPC.</w:t>
      </w:r>
    </w:p>
    <w:p w14:paraId="31897E06" w14:textId="77777777" w:rsidR="00EE459B" w:rsidRDefault="00EE459B" w:rsidP="00EE459B">
      <w:pPr>
        <w:pStyle w:val="PargrafodaLista"/>
        <w:numPr>
          <w:ilvl w:val="0"/>
          <w:numId w:val="3"/>
        </w:numPr>
        <w:jc w:val="both"/>
      </w:pPr>
      <w:r>
        <w:t xml:space="preserve">O Coordenador-Geral da CGNI, </w:t>
      </w:r>
      <w:r w:rsidRPr="00A50B87">
        <w:t>Claudemiro Correia Quintal Júnior</w:t>
      </w:r>
      <w:r>
        <w:t>,</w:t>
      </w:r>
      <w:r w:rsidRPr="00A50B87">
        <w:t xml:space="preserve"> apresentou </w:t>
      </w:r>
      <w:r>
        <w:t>a necessidade de as EFPC apresentarem algum critério para mensurar a materialidade e relevância para incorporar na avaliação de risco tradicional aspectos ASG, que a Previc já estimula essa prática desde a edição do Guia Previc de Melhores Práticas de Investimentos.</w:t>
      </w:r>
    </w:p>
    <w:p w14:paraId="02B4729E" w14:textId="77777777" w:rsidR="00EE459B" w:rsidRPr="00A50B87" w:rsidRDefault="00EE459B" w:rsidP="00EE459B">
      <w:pPr>
        <w:pStyle w:val="PargrafodaLista"/>
        <w:numPr>
          <w:ilvl w:val="0"/>
          <w:numId w:val="3"/>
        </w:numPr>
        <w:jc w:val="both"/>
      </w:pPr>
      <w:r>
        <w:t>Claudemiro também destacou que uma opção para dar publicidade á mensuração dos impactos ASG na carteira de investimentos da EFPC seja o Relatório Anual de Informações (RAI), cuja divulgação ocorre anualmente.</w:t>
      </w:r>
    </w:p>
    <w:p w14:paraId="5F9DC0FB" w14:textId="77777777" w:rsidR="00EE459B" w:rsidRDefault="00EE459B" w:rsidP="00EE459B">
      <w:pPr>
        <w:pStyle w:val="PargrafodaLista"/>
        <w:numPr>
          <w:ilvl w:val="0"/>
          <w:numId w:val="3"/>
        </w:numPr>
        <w:jc w:val="both"/>
      </w:pPr>
      <w:r w:rsidRPr="00A50B87">
        <w:t>As entidades manifestaram apoio à proposta de proporcionalidade, enfatizando a diversidade estrutural e operacional das EFPC S2 e S3. Foi ressaltada a limitação de recursos humanos e orçamentários, como exemplificado por EFPC com patrimônio elevado e quadro técnico enxuto.</w:t>
      </w:r>
    </w:p>
    <w:p w14:paraId="4201561F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>Renata Ferretti, representante da Eletros, relatou o uso de métricas quantitativas com apoio de inteligência artificial para definição de carteiras recomendadas com base em scores ASG. Defendeu-se o estímulo à formalização de política ASG.</w:t>
      </w:r>
    </w:p>
    <w:p w14:paraId="4851B42F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lastRenderedPageBreak/>
        <w:t xml:space="preserve">Anna Claudia Fernandes, representante do </w:t>
      </w:r>
      <w:proofErr w:type="spellStart"/>
      <w:r w:rsidRPr="00BA5EFA">
        <w:t>Serpros</w:t>
      </w:r>
      <w:proofErr w:type="spellEnd"/>
      <w:r w:rsidRPr="00BA5EFA">
        <w:t>, destacou a utilização de questionário para avaliação de gestores quanto a critérios ASG e mapeamento anual dos riscos ASG. Reconheceu fragilidades de informação especialmente nos fundos multimercado.</w:t>
      </w:r>
    </w:p>
    <w:p w14:paraId="017A4F83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 xml:space="preserve">Luciana Hoffmann Geiger, representante da </w:t>
      </w:r>
      <w:proofErr w:type="spellStart"/>
      <w:r w:rsidRPr="00BA5EFA">
        <w:t>Prevhap</w:t>
      </w:r>
      <w:proofErr w:type="spellEnd"/>
      <w:r w:rsidRPr="00BA5EFA">
        <w:t>, relatou que, embora toda a carteira seja terceirizada, realiza reuniões sistemáticas com os gestores para avaliação das abordagens ASG.</w:t>
      </w:r>
    </w:p>
    <w:p w14:paraId="4C48FF4C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 xml:space="preserve">Isadora Cini Oliveira, representante do </w:t>
      </w:r>
      <w:proofErr w:type="spellStart"/>
      <w:r w:rsidRPr="00BA5EFA">
        <w:t>Infraprev</w:t>
      </w:r>
      <w:proofErr w:type="spellEnd"/>
      <w:r w:rsidRPr="00BA5EFA">
        <w:t>, afirmou que não realiza novos aportes em FIP e exige relatórios dos gestores. Apontou dificuldades na adaptação da renda fixa às exigências ASG.</w:t>
      </w:r>
    </w:p>
    <w:p w14:paraId="2776F4FB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>Marco Aurélio de Azevedo, representante da São Rafael Previdência, mencionou práticas estruturadas na avaliação de gestores, com uso de indicadores qualitativos e quantitativos, e reuniões mensais de acompanhamento.</w:t>
      </w:r>
    </w:p>
    <w:p w14:paraId="19A1157B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 xml:space="preserve">Marcelo Correa Lessa, representante da Sias, manifestou interesse em ampliar investimentos com viés ASG, como </w:t>
      </w:r>
      <w:proofErr w:type="spellStart"/>
      <w:r w:rsidRPr="00BA5EFA">
        <w:t>green</w:t>
      </w:r>
      <w:proofErr w:type="spellEnd"/>
      <w:r w:rsidRPr="00BA5EFA">
        <w:t xml:space="preserve"> </w:t>
      </w:r>
      <w:proofErr w:type="spellStart"/>
      <w:r w:rsidRPr="00BA5EFA">
        <w:t>bonds</w:t>
      </w:r>
      <w:proofErr w:type="spellEnd"/>
      <w:r w:rsidRPr="00BA5EFA">
        <w:t>, e defendeu verificação da conformidade legal no caso dos FIAGRO.</w:t>
      </w:r>
    </w:p>
    <w:p w14:paraId="53C1D06C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 xml:space="preserve">Diversas EFPC, incluindo representantes da Prece, </w:t>
      </w:r>
      <w:proofErr w:type="spellStart"/>
      <w:r w:rsidRPr="00BA5EFA">
        <w:t>Nucleos</w:t>
      </w:r>
      <w:proofErr w:type="spellEnd"/>
      <w:r w:rsidRPr="00BA5EFA">
        <w:t xml:space="preserve"> e </w:t>
      </w:r>
      <w:proofErr w:type="spellStart"/>
      <w:r w:rsidRPr="00BA5EFA">
        <w:t>Braslight</w:t>
      </w:r>
      <w:proofErr w:type="spellEnd"/>
      <w:r w:rsidRPr="00BA5EFA">
        <w:t>, sugeriram que a regulamentação inclua estímulo à elaboração de diagnóstico interno, formalização de carta de engajamento com terceiros e critérios objetivos mínimos por segmento.</w:t>
      </w:r>
    </w:p>
    <w:p w14:paraId="4D6596AD" w14:textId="77777777" w:rsidR="00EE459B" w:rsidRPr="00BA5EFA" w:rsidRDefault="00EE459B" w:rsidP="00EE459B">
      <w:pPr>
        <w:numPr>
          <w:ilvl w:val="0"/>
          <w:numId w:val="3"/>
        </w:numPr>
        <w:jc w:val="both"/>
      </w:pPr>
      <w:r w:rsidRPr="00BA5EFA">
        <w:t>Foi proposta a definição de cronograma de implementação escalonado, compatível com a complexidade das EFPC e considerando o papel de prestadores de serviços essenciais.</w:t>
      </w:r>
    </w:p>
    <w:p w14:paraId="4D5243B6" w14:textId="77777777" w:rsidR="00EE459B" w:rsidRDefault="00EE459B" w:rsidP="00EE459B">
      <w:pPr>
        <w:jc w:val="both"/>
        <w:rPr>
          <w:b/>
          <w:bCs/>
        </w:rPr>
      </w:pPr>
    </w:p>
    <w:p w14:paraId="67FC874A" w14:textId="77777777" w:rsidR="00EE459B" w:rsidRPr="006D3F45" w:rsidRDefault="00EE459B" w:rsidP="00EE459B">
      <w:pPr>
        <w:jc w:val="both"/>
        <w:rPr>
          <w:b/>
          <w:bCs/>
        </w:rPr>
      </w:pPr>
      <w:r w:rsidRPr="006D3F45">
        <w:rPr>
          <w:b/>
          <w:bCs/>
        </w:rPr>
        <w:t>ENCAMINHAMENTOS</w:t>
      </w:r>
    </w:p>
    <w:p w14:paraId="5DDF0A7B" w14:textId="77777777" w:rsidR="00EE459B" w:rsidRDefault="00EE459B" w:rsidP="00EE459B">
      <w:pPr>
        <w:numPr>
          <w:ilvl w:val="0"/>
          <w:numId w:val="1"/>
        </w:numPr>
        <w:jc w:val="both"/>
      </w:pPr>
      <w:r w:rsidRPr="006D3F45">
        <w:t>A Previc se comprometeu a analisar a possibilidade de consolidar as contribuições na minuta da proposta normativa, com vistas a uma consulta dirigida.</w:t>
      </w:r>
    </w:p>
    <w:p w14:paraId="50A20067" w14:textId="77777777" w:rsidR="00EE459B" w:rsidRPr="006D3F45" w:rsidRDefault="00EE459B" w:rsidP="00EE459B">
      <w:pPr>
        <w:numPr>
          <w:ilvl w:val="0"/>
          <w:numId w:val="1"/>
        </w:numPr>
        <w:jc w:val="both"/>
      </w:pPr>
      <w:r w:rsidRPr="006D3F45">
        <w:t xml:space="preserve">As entidades solicitaram que </w:t>
      </w:r>
      <w:proofErr w:type="gramStart"/>
      <w:r w:rsidRPr="006D3F45">
        <w:t>seja</w:t>
      </w:r>
      <w:proofErr w:type="gramEnd"/>
      <w:r w:rsidRPr="006D3F45">
        <w:t xml:space="preserve"> mantido o diálogo aberto e a previsão de um prazo razoável para adaptação das exigências.</w:t>
      </w:r>
    </w:p>
    <w:p w14:paraId="71F64296" w14:textId="77777777" w:rsidR="00EE459B" w:rsidRDefault="00EE459B" w:rsidP="00EE459B">
      <w:pPr>
        <w:numPr>
          <w:ilvl w:val="0"/>
          <w:numId w:val="1"/>
        </w:numPr>
        <w:jc w:val="both"/>
      </w:pPr>
      <w:r w:rsidRPr="006D3F45">
        <w:t>A reunião foi encerrada com agradecimentos aos participantes e a reafirmação do compromisso da Previc com a construção regulatória participativa e compatível com a realidade do sistema.</w:t>
      </w:r>
    </w:p>
    <w:p w14:paraId="0F656629" w14:textId="77777777" w:rsidR="00EE459B" w:rsidRDefault="00EE459B" w:rsidP="00EE459B">
      <w:pPr>
        <w:numPr>
          <w:ilvl w:val="0"/>
          <w:numId w:val="1"/>
        </w:numPr>
        <w:jc w:val="both"/>
      </w:pPr>
      <w:r>
        <w:t>Foi dado o prazo até dia 11/07/25 para que as EFPC enviassem seus comentários e/ou sugestões de aprimoramento da proposta apresentada pela Previc.</w:t>
      </w:r>
    </w:p>
    <w:p w14:paraId="400CFB80" w14:textId="77777777" w:rsidR="00EE459B" w:rsidRDefault="00EE459B" w:rsidP="00EE459B">
      <w:pPr>
        <w:jc w:val="both"/>
      </w:pPr>
    </w:p>
    <w:p w14:paraId="4D1937B7" w14:textId="77777777" w:rsidR="00EE459B" w:rsidRPr="006D3F45" w:rsidRDefault="00EE459B" w:rsidP="00EE459B">
      <w:pPr>
        <w:jc w:val="both"/>
        <w:rPr>
          <w:b/>
          <w:bCs/>
        </w:rPr>
      </w:pPr>
      <w:r w:rsidRPr="00A30131">
        <w:rPr>
          <w:b/>
          <w:bCs/>
        </w:rPr>
        <w:t>FECHAMENTO:</w:t>
      </w:r>
    </w:p>
    <w:p w14:paraId="0543CC36" w14:textId="1D0A7434" w:rsidR="00180CBE" w:rsidRDefault="00EE459B" w:rsidP="00EE459B">
      <w:pPr>
        <w:jc w:val="both"/>
      </w:pPr>
      <w:r w:rsidRPr="006D3F45">
        <w:t xml:space="preserve">1. Eu, </w:t>
      </w:r>
      <w:r>
        <w:t>Claudemiro Correia Quintal Júnior</w:t>
      </w:r>
      <w:r w:rsidRPr="006D3F45">
        <w:t>, Coordenador-Geral da CG</w:t>
      </w:r>
      <w:r>
        <w:t>NI</w:t>
      </w:r>
      <w:r w:rsidRPr="006D3F45">
        <w:t xml:space="preserve">, lavrei a presente ata, que vai assinada por mim </w:t>
      </w:r>
      <w:r>
        <w:t xml:space="preserve">e pelo Diretor de Normas, Alcinei Cardoso Rodrigues. A assinatura dos demais integrantes constam da lista de presença anexa, SEI </w:t>
      </w:r>
      <w:r w:rsidR="00371424">
        <w:t>0821412</w:t>
      </w:r>
      <w:bookmarkStart w:id="0" w:name="_GoBack"/>
      <w:bookmarkEnd w:id="0"/>
      <w:r>
        <w:t>.</w:t>
      </w:r>
    </w:p>
    <w:sectPr w:rsidR="00180C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C43FAD"/>
    <w:multiLevelType w:val="multilevel"/>
    <w:tmpl w:val="04B00E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6099143B"/>
    <w:multiLevelType w:val="multilevel"/>
    <w:tmpl w:val="70C23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C8B3DF8"/>
    <w:multiLevelType w:val="multilevel"/>
    <w:tmpl w:val="07E89C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59B"/>
    <w:rsid w:val="00180CBE"/>
    <w:rsid w:val="001A03A6"/>
    <w:rsid w:val="00371424"/>
    <w:rsid w:val="0073532D"/>
    <w:rsid w:val="00EE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8E453"/>
  <w15:chartTrackingRefBased/>
  <w15:docId w15:val="{C3E0A259-078B-43DA-9D79-A99029DA7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E459B"/>
  </w:style>
  <w:style w:type="paragraph" w:styleId="Ttulo1">
    <w:name w:val="heading 1"/>
    <w:basedOn w:val="Normal"/>
    <w:next w:val="Normal"/>
    <w:link w:val="Ttulo1Char"/>
    <w:uiPriority w:val="9"/>
    <w:qFormat/>
    <w:rsid w:val="00EE45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E45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E45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E45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E45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E45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E45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E45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E45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E45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E45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E45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E459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E459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E459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E459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E459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E459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E45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E45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E45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E45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E45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E459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E459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E459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E45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E459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E459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1080</Words>
  <Characters>5838</Characters>
  <Application>Microsoft Office Word</Application>
  <DocSecurity>0</DocSecurity>
  <Lines>48</Lines>
  <Paragraphs>13</Paragraphs>
  <ScaleCrop>false</ScaleCrop>
  <Company/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Correia Quintal Junior - PREVICDF</dc:creator>
  <cp:keywords/>
  <dc:description/>
  <cp:lastModifiedBy>Priscila Kelly Carvalho Sabino - PREVICDF</cp:lastModifiedBy>
  <cp:revision>2</cp:revision>
  <dcterms:created xsi:type="dcterms:W3CDTF">2025-07-14T12:42:00Z</dcterms:created>
  <dcterms:modified xsi:type="dcterms:W3CDTF">2025-07-17T14:37:00Z</dcterms:modified>
</cp:coreProperties>
</file>