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613E4D" w:rsidRPr="008E4A06" w14:paraId="7722E741" w14:textId="77777777" w:rsidTr="00E12E7A">
        <w:tc>
          <w:tcPr>
            <w:tcW w:w="13994" w:type="dxa"/>
            <w:gridSpan w:val="3"/>
          </w:tcPr>
          <w:p w14:paraId="0D8309FD" w14:textId="424DB50D" w:rsidR="00613E4D" w:rsidRPr="00613E4D" w:rsidRDefault="00613E4D" w:rsidP="00613E4D">
            <w:pPr>
              <w:jc w:val="center"/>
              <w:rPr>
                <w:b/>
                <w:bCs/>
              </w:rPr>
            </w:pPr>
            <w:r w:rsidRPr="00613E4D">
              <w:rPr>
                <w:b/>
                <w:bCs/>
              </w:rPr>
              <w:t>Resolução Previc nº 23, de 2023</w:t>
            </w:r>
          </w:p>
        </w:tc>
      </w:tr>
      <w:tr w:rsidR="008E4A06" w:rsidRPr="008E4A06" w14:paraId="25C449A5" w14:textId="77777777" w:rsidTr="008E4A06">
        <w:tc>
          <w:tcPr>
            <w:tcW w:w="4664" w:type="dxa"/>
          </w:tcPr>
          <w:p w14:paraId="0954830D" w14:textId="120BE4C3" w:rsidR="008E4A06" w:rsidRPr="00613E4D" w:rsidRDefault="008E4A06" w:rsidP="00613E4D">
            <w:pPr>
              <w:jc w:val="center"/>
              <w:rPr>
                <w:b/>
                <w:bCs/>
              </w:rPr>
            </w:pPr>
            <w:r w:rsidRPr="00613E4D">
              <w:rPr>
                <w:b/>
                <w:bCs/>
              </w:rPr>
              <w:t>DE</w:t>
            </w:r>
          </w:p>
        </w:tc>
        <w:tc>
          <w:tcPr>
            <w:tcW w:w="4665" w:type="dxa"/>
          </w:tcPr>
          <w:p w14:paraId="0A343D64" w14:textId="5A7DF961" w:rsidR="008E4A06" w:rsidRPr="00613E4D" w:rsidRDefault="008E4A06" w:rsidP="00613E4D">
            <w:pPr>
              <w:jc w:val="center"/>
              <w:rPr>
                <w:b/>
                <w:bCs/>
              </w:rPr>
            </w:pPr>
            <w:r w:rsidRPr="00613E4D">
              <w:rPr>
                <w:b/>
                <w:bCs/>
              </w:rPr>
              <w:t>PARA</w:t>
            </w:r>
          </w:p>
        </w:tc>
        <w:tc>
          <w:tcPr>
            <w:tcW w:w="4665" w:type="dxa"/>
          </w:tcPr>
          <w:p w14:paraId="1123CEE1" w14:textId="371FEB47" w:rsidR="008E4A06" w:rsidRPr="00613E4D" w:rsidRDefault="008E4A06" w:rsidP="00613E4D">
            <w:pPr>
              <w:jc w:val="center"/>
              <w:rPr>
                <w:b/>
                <w:bCs/>
              </w:rPr>
            </w:pPr>
            <w:r w:rsidRPr="00613E4D">
              <w:rPr>
                <w:b/>
                <w:bCs/>
              </w:rPr>
              <w:t>JUSTIFICATIVA</w:t>
            </w:r>
          </w:p>
        </w:tc>
      </w:tr>
      <w:tr w:rsidR="008E4A06" w:rsidRPr="008E4A06" w14:paraId="1C8CA672" w14:textId="77777777" w:rsidTr="008E4A06">
        <w:tc>
          <w:tcPr>
            <w:tcW w:w="4664" w:type="dxa"/>
          </w:tcPr>
          <w:p w14:paraId="6FCD5A21" w14:textId="1F1069E3" w:rsidR="008E4A06" w:rsidRPr="008E4A06" w:rsidRDefault="008E4A06" w:rsidP="008E4A06">
            <w:pPr>
              <w:jc w:val="both"/>
            </w:pPr>
            <w:r w:rsidRPr="008E4A06">
              <w:t>Art. 157. A EFPC deve comunicar o início do seu funcionamento ou do plano de benefícios administrado, sob pena de cancelamento do licenciamento, em até cento e oitenta dias, contados da data da autorização da constituição da EFPC ou da implantação do plano de benefícios.</w:t>
            </w:r>
          </w:p>
        </w:tc>
        <w:tc>
          <w:tcPr>
            <w:tcW w:w="4665" w:type="dxa"/>
          </w:tcPr>
          <w:p w14:paraId="6A7A1F06" w14:textId="77777777" w:rsidR="008E4A06" w:rsidRPr="008E4A06" w:rsidRDefault="008E4A06" w:rsidP="008E4A06">
            <w:pPr>
              <w:jc w:val="both"/>
              <w:rPr>
                <w:color w:val="FF0000"/>
              </w:rPr>
            </w:pPr>
            <w:r w:rsidRPr="008E4A06">
              <w:t xml:space="preserve">Art. 157. A EFPC deve comunicar </w:t>
            </w:r>
            <w:r w:rsidRPr="008E4A06">
              <w:rPr>
                <w:color w:val="FF0000"/>
              </w:rPr>
              <w:t>à Previc</w:t>
            </w:r>
            <w:r w:rsidRPr="008E4A06">
              <w:t>, em até cento e oitenta dias</w:t>
            </w:r>
            <w:r w:rsidRPr="008E4A06">
              <w:rPr>
                <w:color w:val="FF0000"/>
              </w:rPr>
              <w:t>, contados da respectiva data da autorização, sob pena de cancelamento do licenciamento, o início:</w:t>
            </w:r>
          </w:p>
          <w:p w14:paraId="2ECD8E0D" w14:textId="77777777" w:rsidR="008E4A06" w:rsidRPr="008E4A06" w:rsidRDefault="008E4A06" w:rsidP="008E4A06">
            <w:pPr>
              <w:jc w:val="both"/>
              <w:rPr>
                <w:color w:val="FF0000"/>
              </w:rPr>
            </w:pPr>
            <w:r w:rsidRPr="008E4A06">
              <w:rPr>
                <w:color w:val="FF0000"/>
              </w:rPr>
              <w:t xml:space="preserve">I - </w:t>
            </w:r>
            <w:proofErr w:type="gramStart"/>
            <w:r w:rsidRPr="008E4A06">
              <w:rPr>
                <w:color w:val="FF0000"/>
              </w:rPr>
              <w:t>de</w:t>
            </w:r>
            <w:proofErr w:type="gramEnd"/>
            <w:r w:rsidRPr="008E4A06">
              <w:rPr>
                <w:color w:val="FF0000"/>
              </w:rPr>
              <w:t xml:space="preserve"> funcionamento da entidade;</w:t>
            </w:r>
          </w:p>
          <w:p w14:paraId="06E85FA6" w14:textId="77777777" w:rsidR="008E4A06" w:rsidRPr="008E4A06" w:rsidRDefault="008E4A06" w:rsidP="008E4A06">
            <w:pPr>
              <w:jc w:val="both"/>
              <w:rPr>
                <w:color w:val="FF0000"/>
              </w:rPr>
            </w:pPr>
            <w:r w:rsidRPr="008E4A06">
              <w:rPr>
                <w:color w:val="FF0000"/>
              </w:rPr>
              <w:t xml:space="preserve">II - </w:t>
            </w:r>
            <w:proofErr w:type="gramStart"/>
            <w:r w:rsidRPr="008E4A06">
              <w:rPr>
                <w:color w:val="FF0000"/>
              </w:rPr>
              <w:t>da</w:t>
            </w:r>
            <w:proofErr w:type="gramEnd"/>
            <w:r w:rsidRPr="008E4A06">
              <w:rPr>
                <w:color w:val="FF0000"/>
              </w:rPr>
              <w:t xml:space="preserve"> implantação do plano de benefícios administrado; e</w:t>
            </w:r>
          </w:p>
          <w:p w14:paraId="34079BBA" w14:textId="1BAA0480" w:rsidR="008E4A06" w:rsidRPr="008E4A06" w:rsidRDefault="008E4A06" w:rsidP="008E4A06">
            <w:pPr>
              <w:jc w:val="both"/>
            </w:pPr>
            <w:r w:rsidRPr="008E4A06">
              <w:rPr>
                <w:color w:val="FF0000"/>
              </w:rPr>
              <w:t>III - da operacionalização do convênio de adesão, no caso de planos multipatrocinados.</w:t>
            </w:r>
          </w:p>
        </w:tc>
        <w:tc>
          <w:tcPr>
            <w:tcW w:w="4665" w:type="dxa"/>
          </w:tcPr>
          <w:p w14:paraId="22EDEC3D" w14:textId="7CFAF292" w:rsidR="008E4A06" w:rsidRPr="008E4A06" w:rsidRDefault="008E4A06" w:rsidP="008E4A06">
            <w:pPr>
              <w:jc w:val="both"/>
            </w:pPr>
            <w:r>
              <w:t>A</w:t>
            </w:r>
            <w:r w:rsidRPr="008E4A06">
              <w:t>juste redacional para ficar claro que nos casos de planos multipatrocinados é necessário informar também o início de funcionamento do convênio de adesão, que se dará com o ingresso do primeiro participante vinculado àquele convênio.</w:t>
            </w:r>
          </w:p>
        </w:tc>
      </w:tr>
      <w:tr w:rsidR="008E4A06" w:rsidRPr="008E4A06" w14:paraId="0C129578" w14:textId="77777777" w:rsidTr="008E4A06">
        <w:tc>
          <w:tcPr>
            <w:tcW w:w="4664" w:type="dxa"/>
          </w:tcPr>
          <w:p w14:paraId="5ADA256D" w14:textId="55EF3325" w:rsidR="008E4A06" w:rsidRPr="008E4A06" w:rsidRDefault="008E4A06" w:rsidP="00DA513E">
            <w:r w:rsidRPr="008E4A06">
              <w:t xml:space="preserve">Parágrafo único. O prazo de que trata o </w:t>
            </w:r>
            <w:r w:rsidRPr="008E4A06">
              <w:rPr>
                <w:b/>
                <w:bCs/>
              </w:rPr>
              <w:t xml:space="preserve">caput </w:t>
            </w:r>
            <w:r w:rsidRPr="008E4A06">
              <w:t>pode ser prorrogado, por igual período, mediante anuência da Previc.</w:t>
            </w:r>
          </w:p>
        </w:tc>
        <w:tc>
          <w:tcPr>
            <w:tcW w:w="4665" w:type="dxa"/>
          </w:tcPr>
          <w:p w14:paraId="7DDAA168" w14:textId="6F7C5EBB" w:rsidR="008E4A06" w:rsidRPr="008E4A06" w:rsidRDefault="008E4A06" w:rsidP="00DA513E">
            <w:r w:rsidRPr="008E4A06">
              <w:rPr>
                <w:color w:val="FF0000"/>
              </w:rPr>
              <w:t xml:space="preserve">Parágrafo único. Mediante requerimento fundamentado, o prazo de que trata o </w:t>
            </w:r>
            <w:r w:rsidRPr="008E4A06">
              <w:rPr>
                <w:i/>
                <w:iCs/>
                <w:color w:val="FF0000"/>
              </w:rPr>
              <w:t>caput</w:t>
            </w:r>
            <w:r w:rsidRPr="008E4A06">
              <w:rPr>
                <w:b/>
                <w:bCs/>
                <w:color w:val="FF0000"/>
              </w:rPr>
              <w:t xml:space="preserve"> </w:t>
            </w:r>
            <w:r w:rsidRPr="008E4A06">
              <w:rPr>
                <w:color w:val="FF0000"/>
              </w:rPr>
              <w:t>pode ser prorrogado, por igual período, pela Previc.</w:t>
            </w:r>
          </w:p>
        </w:tc>
        <w:tc>
          <w:tcPr>
            <w:tcW w:w="4665" w:type="dxa"/>
          </w:tcPr>
          <w:p w14:paraId="476F18AE" w14:textId="08EB5AB8" w:rsidR="008E4A06" w:rsidRPr="008E4A06" w:rsidRDefault="008E4A06" w:rsidP="00DA513E">
            <w:r>
              <w:t>Ajuste redacional.</w:t>
            </w:r>
          </w:p>
        </w:tc>
      </w:tr>
    </w:tbl>
    <w:p w14:paraId="59CD3FD9" w14:textId="77777777" w:rsidR="000C368B" w:rsidRDefault="000C368B"/>
    <w:p w14:paraId="047F194B" w14:textId="77777777" w:rsidR="002F5CE7" w:rsidRDefault="002F5CE7"/>
    <w:sectPr w:rsidR="002F5CE7" w:rsidSect="008E4A06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755"/>
    <w:rsid w:val="0002693B"/>
    <w:rsid w:val="000C2D87"/>
    <w:rsid w:val="000C368B"/>
    <w:rsid w:val="000F4755"/>
    <w:rsid w:val="00183DA9"/>
    <w:rsid w:val="002F5CE7"/>
    <w:rsid w:val="00391215"/>
    <w:rsid w:val="00391772"/>
    <w:rsid w:val="00414FFF"/>
    <w:rsid w:val="00533E54"/>
    <w:rsid w:val="00613E4D"/>
    <w:rsid w:val="006F43A4"/>
    <w:rsid w:val="007F0F9D"/>
    <w:rsid w:val="008B07EA"/>
    <w:rsid w:val="008E4A06"/>
    <w:rsid w:val="00931313"/>
    <w:rsid w:val="00C94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DAAE4"/>
  <w15:chartTrackingRefBased/>
  <w15:docId w15:val="{5EF6709F-BE19-42B3-8362-2574B567D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F47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F47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47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F47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F47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F47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F47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F47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F47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F47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F47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F47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F475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F4755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F4755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F4755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F4755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F475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F47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F47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F47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F47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F47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F475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F4755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F475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F47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F4755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F4755"/>
    <w:rPr>
      <w:b/>
      <w:bCs/>
      <w:smallCaps/>
      <w:color w:val="0F4761" w:themeColor="accent1" w:themeShade="BF"/>
      <w:spacing w:val="5"/>
    </w:rPr>
  </w:style>
  <w:style w:type="paragraph" w:styleId="Reviso">
    <w:name w:val="Revision"/>
    <w:hidden/>
    <w:uiPriority w:val="99"/>
    <w:semiHidden/>
    <w:rsid w:val="000F4755"/>
    <w:pPr>
      <w:spacing w:after="0" w:line="240" w:lineRule="auto"/>
    </w:pPr>
  </w:style>
  <w:style w:type="table" w:styleId="Tabelacomgrade">
    <w:name w:val="Table Grid"/>
    <w:basedOn w:val="Tabelanormal"/>
    <w:uiPriority w:val="39"/>
    <w:rsid w:val="008E4A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184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Paim Romera</dc:creator>
  <cp:keywords/>
  <dc:description/>
  <cp:lastModifiedBy>Ana Carolina Baasch</cp:lastModifiedBy>
  <cp:revision>8</cp:revision>
  <dcterms:created xsi:type="dcterms:W3CDTF">2024-09-13T14:44:00Z</dcterms:created>
  <dcterms:modified xsi:type="dcterms:W3CDTF">2024-09-13T16:48:00Z</dcterms:modified>
</cp:coreProperties>
</file>