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4E5B47" w14:textId="7A2A2CB7" w:rsidR="00B13982" w:rsidRPr="00140E22" w:rsidRDefault="00B13982" w:rsidP="007C3D89">
      <w:pPr>
        <w:spacing w:before="100" w:beforeAutospacing="1" w:after="100" w:afterAutospacing="1" w:line="240" w:lineRule="auto"/>
        <w:ind w:left="-567" w:right="-1135"/>
        <w:jc w:val="center"/>
        <w:rPr>
          <w:rFonts w:ascii="Calibri" w:eastAsia="Times New Roman" w:hAnsi="Calibri" w:cs="Calibri"/>
          <w:b/>
          <w:bCs/>
          <w:caps/>
          <w:kern w:val="0"/>
          <w:sz w:val="24"/>
          <w:szCs w:val="24"/>
          <w:lang w:eastAsia="pt-BR"/>
          <w14:ligatures w14:val="none"/>
        </w:rPr>
      </w:pPr>
      <w:r w:rsidRPr="00140E22">
        <w:rPr>
          <w:rFonts w:ascii="Calibri" w:eastAsia="Times New Roman" w:hAnsi="Calibri" w:cs="Calibri"/>
          <w:b/>
          <w:bCs/>
          <w:caps/>
          <w:kern w:val="0"/>
          <w:sz w:val="24"/>
          <w:szCs w:val="24"/>
          <w:lang w:eastAsia="pt-BR"/>
          <w14:ligatures w14:val="none"/>
        </w:rPr>
        <w:t>SUPERINTENDÊNCIA NACIONAL DE PREVIDÊNCIA COMPLEMENTAR</w:t>
      </w:r>
    </w:p>
    <w:p w14:paraId="071074F5" w14:textId="77777777" w:rsidR="00B13982" w:rsidRPr="00140E22" w:rsidRDefault="00B13982" w:rsidP="007C3D89">
      <w:pPr>
        <w:spacing w:before="100" w:beforeAutospacing="1" w:after="100" w:afterAutospacing="1" w:line="240" w:lineRule="auto"/>
        <w:ind w:left="-567" w:right="-1135"/>
        <w:jc w:val="center"/>
        <w:rPr>
          <w:rFonts w:ascii="Calibri" w:eastAsia="Times New Roman" w:hAnsi="Calibri" w:cs="Calibri"/>
          <w:b/>
          <w:bCs/>
          <w:caps/>
          <w:kern w:val="0"/>
          <w:sz w:val="24"/>
          <w:szCs w:val="24"/>
          <w:lang w:eastAsia="pt-BR"/>
          <w14:ligatures w14:val="none"/>
        </w:rPr>
      </w:pPr>
      <w:r w:rsidRPr="00140E22">
        <w:rPr>
          <w:rFonts w:ascii="Calibri" w:eastAsia="Times New Roman" w:hAnsi="Calibri" w:cs="Calibri"/>
          <w:b/>
          <w:bCs/>
          <w:caps/>
          <w:kern w:val="0"/>
          <w:sz w:val="24"/>
          <w:szCs w:val="24"/>
          <w:lang w:eastAsia="pt-BR"/>
          <w14:ligatures w14:val="none"/>
        </w:rPr>
        <w:t>  </w:t>
      </w:r>
    </w:p>
    <w:p w14:paraId="1D639D65" w14:textId="2E3A6948" w:rsidR="00B13982" w:rsidRPr="00140E22" w:rsidRDefault="00B13982" w:rsidP="007C3D89">
      <w:pPr>
        <w:spacing w:before="100" w:beforeAutospacing="1" w:after="100" w:afterAutospacing="1" w:line="240" w:lineRule="auto"/>
        <w:ind w:left="-567" w:right="-1135"/>
        <w:jc w:val="center"/>
        <w:rPr>
          <w:rFonts w:ascii="Calibri" w:eastAsia="Times New Roman" w:hAnsi="Calibri" w:cs="Calibri"/>
          <w:caps/>
          <w:kern w:val="0"/>
          <w:sz w:val="24"/>
          <w:szCs w:val="24"/>
          <w:lang w:eastAsia="pt-BR"/>
          <w14:ligatures w14:val="none"/>
        </w:rPr>
      </w:pPr>
      <w:r w:rsidRPr="00140E22">
        <w:rPr>
          <w:rFonts w:ascii="Calibri" w:eastAsia="Times New Roman" w:hAnsi="Calibri" w:cs="Calibri"/>
          <w:caps/>
          <w:kern w:val="0"/>
          <w:sz w:val="24"/>
          <w:szCs w:val="24"/>
          <w:lang w:eastAsia="pt-BR"/>
          <w14:ligatures w14:val="none"/>
        </w:rPr>
        <w:t>RESOLUÇÃO PREVIC Nº 25, DE XX DE XXXXX DE 2024</w:t>
      </w:r>
    </w:p>
    <w:p w14:paraId="73663325" w14:textId="582BB5C8" w:rsidR="00B13982" w:rsidRPr="00140E22" w:rsidRDefault="00B13982" w:rsidP="007C3D89">
      <w:pPr>
        <w:spacing w:before="100" w:beforeAutospacing="1" w:after="100" w:afterAutospacing="1" w:line="240" w:lineRule="auto"/>
        <w:ind w:left="3402" w:right="-1135"/>
        <w:jc w:val="both"/>
        <w:rPr>
          <w:rFonts w:ascii="Calibri" w:eastAsia="Times New Roman" w:hAnsi="Calibri" w:cs="Calibri"/>
          <w:caps/>
          <w:kern w:val="0"/>
          <w:sz w:val="24"/>
          <w:szCs w:val="24"/>
          <w:lang w:eastAsia="pt-BR"/>
          <w14:ligatures w14:val="none"/>
        </w:rPr>
      </w:pPr>
      <w:r w:rsidRPr="00140E22">
        <w:rPr>
          <w:rFonts w:ascii="Calibri" w:hAnsi="Calibri" w:cs="Calibri"/>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7862D89C" w14:textId="0C3C38E0" w:rsidR="008C38D4" w:rsidRPr="00140E22" w:rsidRDefault="00B13982" w:rsidP="007C3D89">
      <w:pPr>
        <w:tabs>
          <w:tab w:val="left" w:pos="-567"/>
        </w:tabs>
        <w:ind w:left="-567" w:right="-1135"/>
        <w:jc w:val="both"/>
        <w:rPr>
          <w:rFonts w:ascii="Calibri" w:hAnsi="Calibri" w:cs="Calibri"/>
          <w:sz w:val="24"/>
          <w:szCs w:val="24"/>
        </w:rPr>
      </w:pPr>
      <w:r w:rsidRPr="00140E22">
        <w:rPr>
          <w:rFonts w:ascii="Calibri" w:hAnsi="Calibri" w:cs="Calibri"/>
          <w:b/>
          <w:bCs/>
          <w:sz w:val="24"/>
          <w:szCs w:val="24"/>
        </w:rPr>
        <w:t>A DIRETORIA COLEGIADA DA SUPERINTENDÊNCIA NACIONAL DE PREVIDÊNCIA COMPLEMENTAR (PREVIC)</w:t>
      </w:r>
      <w:r w:rsidRPr="00140E22">
        <w:rPr>
          <w:rFonts w:ascii="Calibri" w:hAnsi="Calibri" w:cs="Calibri"/>
          <w:sz w:val="24"/>
          <w:szCs w:val="24"/>
        </w:rPr>
        <w:t>, na sessão XXXª, realizada em XX de XXXXX de 2024, com fundamento na Lei Complementar nº 109, de 29 de maio de 2001, na Lei nº 12.154, de 23 de dezembro de 2009, e no Decreto nº 11.241, de 18 de outubro de 2022, </w:t>
      </w:r>
      <w:r w:rsidRPr="00140E22">
        <w:rPr>
          <w:rFonts w:ascii="Calibri" w:hAnsi="Calibri" w:cs="Calibri"/>
          <w:b/>
          <w:bCs/>
          <w:sz w:val="24"/>
          <w:szCs w:val="24"/>
        </w:rPr>
        <w:t>RESOLVE</w:t>
      </w:r>
      <w:r w:rsidRPr="00140E22">
        <w:rPr>
          <w:rFonts w:ascii="Calibri" w:hAnsi="Calibri" w:cs="Calibri"/>
          <w:sz w:val="24"/>
          <w:szCs w:val="24"/>
        </w:rPr>
        <w:t>:</w:t>
      </w:r>
    </w:p>
    <w:p w14:paraId="6A2D34D0" w14:textId="348B2D80" w:rsidR="00B13982" w:rsidRPr="00140E22" w:rsidRDefault="00B13982" w:rsidP="007C3D89">
      <w:pPr>
        <w:tabs>
          <w:tab w:val="left" w:pos="-567"/>
        </w:tabs>
        <w:ind w:left="-567"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Art. 1º  A Resolução Previc nº 23, de 14 de agosto de 2023, passa a vigorar com as seguintes alterações:</w:t>
      </w:r>
    </w:p>
    <w:p w14:paraId="2F875F60" w14:textId="7D2BDD8C" w:rsidR="00340F5D" w:rsidRPr="00140E22" w:rsidRDefault="005D2AC6" w:rsidP="007C3D89">
      <w:pPr>
        <w:tabs>
          <w:tab w:val="left" w:pos="0"/>
        </w:tabs>
        <w:spacing w:after="120"/>
        <w:ind w:left="-284" w:right="-1135"/>
        <w:jc w:val="both"/>
        <w:rPr>
          <w:rFonts w:ascii="Calibri" w:hAnsi="Calibri" w:cs="Calibri"/>
          <w:sz w:val="24"/>
          <w:szCs w:val="24"/>
        </w:rPr>
      </w:pPr>
      <w:r w:rsidRPr="00140E22">
        <w:rPr>
          <w:rFonts w:ascii="Calibri" w:hAnsi="Calibri" w:cs="Calibri"/>
          <w:kern w:val="0"/>
          <w:sz w:val="24"/>
          <w:szCs w:val="24"/>
        </w:rPr>
        <w:t>“</w:t>
      </w:r>
      <w:r w:rsidR="00F05C87" w:rsidRPr="00140E22">
        <w:rPr>
          <w:rFonts w:ascii="Calibri" w:hAnsi="Calibri" w:cs="Calibri"/>
          <w:kern w:val="0"/>
          <w:sz w:val="24"/>
          <w:szCs w:val="24"/>
        </w:rPr>
        <w:t>Art. 21</w:t>
      </w:r>
      <w:r w:rsidR="00340F5D" w:rsidRPr="00140E22">
        <w:rPr>
          <w:rFonts w:ascii="Calibri" w:hAnsi="Calibri" w:cs="Calibri"/>
          <w:kern w:val="0"/>
          <w:sz w:val="24"/>
          <w:szCs w:val="24"/>
        </w:rPr>
        <w:t>-A</w:t>
      </w:r>
      <w:r w:rsidR="006C3DA6" w:rsidRPr="00140E22">
        <w:rPr>
          <w:rFonts w:ascii="Calibri" w:hAnsi="Calibri" w:cs="Calibri"/>
          <w:kern w:val="0"/>
          <w:sz w:val="24"/>
          <w:szCs w:val="24"/>
        </w:rPr>
        <w:t>.</w:t>
      </w:r>
      <w:r w:rsidR="00340F5D" w:rsidRPr="00140E22">
        <w:rPr>
          <w:rFonts w:ascii="Calibri" w:hAnsi="Calibri" w:cs="Calibri"/>
          <w:kern w:val="0"/>
          <w:sz w:val="24"/>
          <w:szCs w:val="24"/>
        </w:rPr>
        <w:t xml:space="preserve"> </w:t>
      </w:r>
      <w:r w:rsidRPr="00140E22">
        <w:rPr>
          <w:rFonts w:ascii="Calibri" w:hAnsi="Calibri" w:cs="Calibri"/>
          <w:kern w:val="0"/>
          <w:sz w:val="24"/>
          <w:szCs w:val="24"/>
        </w:rPr>
        <w:t xml:space="preserve"> </w:t>
      </w:r>
      <w:r w:rsidR="00105A70" w:rsidRPr="00140E22">
        <w:rPr>
          <w:rFonts w:ascii="Calibri" w:hAnsi="Calibri" w:cs="Calibri"/>
          <w:kern w:val="0"/>
          <w:sz w:val="24"/>
          <w:szCs w:val="24"/>
        </w:rPr>
        <w:t>A</w:t>
      </w:r>
      <w:r w:rsidR="00F05C87" w:rsidRPr="00140E22">
        <w:rPr>
          <w:rFonts w:ascii="Calibri" w:hAnsi="Calibri" w:cs="Calibri"/>
          <w:kern w:val="0"/>
          <w:sz w:val="24"/>
          <w:szCs w:val="24"/>
        </w:rPr>
        <w:t xml:space="preserve"> EFPC ao contratar auditoria independente deve exigir do </w:t>
      </w:r>
      <w:r w:rsidR="00F05C87" w:rsidRPr="00140E22">
        <w:rPr>
          <w:rFonts w:ascii="Calibri" w:hAnsi="Calibri" w:cs="Calibri"/>
          <w:sz w:val="24"/>
          <w:szCs w:val="24"/>
        </w:rPr>
        <w:t>responsável técnico pela auditoria independente</w:t>
      </w:r>
      <w:r w:rsidR="00A24535" w:rsidRPr="00140E22">
        <w:rPr>
          <w:rFonts w:ascii="Calibri" w:hAnsi="Calibri" w:cs="Calibri"/>
          <w:sz w:val="24"/>
          <w:szCs w:val="24"/>
        </w:rPr>
        <w:t xml:space="preserve"> </w:t>
      </w:r>
      <w:r w:rsidR="00F05C87" w:rsidRPr="00140E22">
        <w:rPr>
          <w:rFonts w:ascii="Calibri" w:hAnsi="Calibri" w:cs="Calibri"/>
          <w:sz w:val="24"/>
          <w:szCs w:val="24"/>
        </w:rPr>
        <w:t>certificação emitida pelo Conselho Federal de Contabilidade.</w:t>
      </w:r>
      <w:r w:rsidRPr="00140E22">
        <w:rPr>
          <w:rFonts w:ascii="Calibri" w:hAnsi="Calibri" w:cs="Calibri"/>
          <w:sz w:val="24"/>
          <w:szCs w:val="24"/>
        </w:rPr>
        <w:t>” (NR)</w:t>
      </w:r>
    </w:p>
    <w:p w14:paraId="758F3F8F" w14:textId="3AA9330F" w:rsidR="0048482D" w:rsidRPr="00140E22" w:rsidRDefault="007C038C"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r w:rsidR="00EC2916" w:rsidRPr="00140E22">
        <w:rPr>
          <w:rFonts w:ascii="Calibri" w:hAnsi="Calibri" w:cs="Calibri"/>
          <w:sz w:val="24"/>
          <w:szCs w:val="24"/>
        </w:rPr>
        <w:t xml:space="preserve">Parágrafo único.  </w:t>
      </w:r>
      <w:r w:rsidR="006510ED" w:rsidRPr="00140E22">
        <w:rPr>
          <w:rFonts w:ascii="Calibri" w:hAnsi="Calibri" w:cs="Calibri"/>
          <w:sz w:val="24"/>
          <w:szCs w:val="24"/>
        </w:rPr>
        <w:t>Os relatórios dos auditores independentes devem ser assinados p</w:t>
      </w:r>
      <w:r w:rsidR="0057374A" w:rsidRPr="00140E22">
        <w:rPr>
          <w:rFonts w:ascii="Calibri" w:hAnsi="Calibri" w:cs="Calibri"/>
          <w:sz w:val="24"/>
          <w:szCs w:val="24"/>
        </w:rPr>
        <w:t>elo responsável técnico pela auditoria independente</w:t>
      </w:r>
      <w:r w:rsidR="00197FA0" w:rsidRPr="00140E22">
        <w:rPr>
          <w:rFonts w:ascii="Calibri" w:hAnsi="Calibri" w:cs="Calibri"/>
          <w:sz w:val="24"/>
          <w:szCs w:val="24"/>
        </w:rPr>
        <w:t xml:space="preserve"> </w:t>
      </w:r>
      <w:r w:rsidR="000B0A74" w:rsidRPr="00140E22">
        <w:rPr>
          <w:rFonts w:ascii="Calibri" w:hAnsi="Calibri" w:cs="Calibri"/>
          <w:sz w:val="24"/>
          <w:szCs w:val="24"/>
        </w:rPr>
        <w:t xml:space="preserve">devidamente certificado </w:t>
      </w:r>
      <w:r w:rsidRPr="00140E22">
        <w:rPr>
          <w:rFonts w:ascii="Calibri" w:hAnsi="Calibri" w:cs="Calibri"/>
          <w:sz w:val="24"/>
          <w:szCs w:val="24"/>
        </w:rPr>
        <w:t>com a indicação</w:t>
      </w:r>
      <w:r w:rsidR="006F2A4A" w:rsidRPr="00140E22">
        <w:rPr>
          <w:rFonts w:ascii="Calibri" w:hAnsi="Calibri" w:cs="Calibri"/>
          <w:sz w:val="24"/>
          <w:szCs w:val="24"/>
        </w:rPr>
        <w:t xml:space="preserve"> </w:t>
      </w:r>
      <w:r w:rsidRPr="00140E22">
        <w:rPr>
          <w:rFonts w:ascii="Calibri" w:hAnsi="Calibri" w:cs="Calibri"/>
          <w:sz w:val="24"/>
          <w:szCs w:val="24"/>
        </w:rPr>
        <w:t>do número de registro no Conselho Regional de Contabilidade</w:t>
      </w:r>
      <w:r w:rsidR="00B31794" w:rsidRPr="00140E22">
        <w:rPr>
          <w:rFonts w:ascii="Calibri" w:hAnsi="Calibri" w:cs="Calibri"/>
          <w:sz w:val="24"/>
          <w:szCs w:val="24"/>
        </w:rPr>
        <w:t>.</w:t>
      </w:r>
      <w:r w:rsidR="00BC0B66" w:rsidRPr="00140E22">
        <w:rPr>
          <w:rFonts w:ascii="Calibri" w:hAnsi="Calibri" w:cs="Calibri"/>
          <w:sz w:val="24"/>
          <w:szCs w:val="24"/>
        </w:rPr>
        <w:t>” (NR)</w:t>
      </w:r>
      <w:r w:rsidR="000E6C7C" w:rsidRPr="00140E22">
        <w:rPr>
          <w:rFonts w:ascii="Calibri" w:hAnsi="Calibri" w:cs="Calibri"/>
          <w:kern w:val="0"/>
          <w:sz w:val="24"/>
          <w:szCs w:val="24"/>
        </w:rPr>
        <w:t xml:space="preserve"> </w:t>
      </w:r>
    </w:p>
    <w:p w14:paraId="4B3D3071" w14:textId="0E45DCA3" w:rsidR="00966129" w:rsidRPr="00140E22" w:rsidRDefault="005D2AC6" w:rsidP="007C3D89">
      <w:pPr>
        <w:tabs>
          <w:tab w:val="left" w:pos="0"/>
        </w:tabs>
        <w:spacing w:after="120"/>
        <w:ind w:left="-284" w:right="-1135"/>
        <w:jc w:val="both"/>
        <w:rPr>
          <w:rFonts w:ascii="Calibri" w:hAnsi="Calibri" w:cs="Calibri"/>
          <w:b/>
          <w:bCs/>
          <w:sz w:val="24"/>
          <w:szCs w:val="24"/>
        </w:rPr>
      </w:pPr>
      <w:r w:rsidRPr="00140E22">
        <w:rPr>
          <w:rFonts w:ascii="Calibri" w:hAnsi="Calibri" w:cs="Calibri"/>
          <w:sz w:val="24"/>
          <w:szCs w:val="24"/>
        </w:rPr>
        <w:t>...</w:t>
      </w:r>
    </w:p>
    <w:p w14:paraId="10380F51" w14:textId="72E89385" w:rsidR="00966129" w:rsidRPr="00140E22" w:rsidRDefault="00966129" w:rsidP="007C3D89">
      <w:pPr>
        <w:tabs>
          <w:tab w:val="left" w:pos="0"/>
        </w:tabs>
        <w:spacing w:after="120"/>
        <w:ind w:left="-284" w:right="-1135"/>
        <w:jc w:val="both"/>
        <w:rPr>
          <w:rFonts w:ascii="Calibri" w:hAnsi="Calibri" w:cs="Calibri"/>
          <w:kern w:val="0"/>
          <w:sz w:val="24"/>
          <w:szCs w:val="24"/>
        </w:rPr>
      </w:pPr>
      <w:r w:rsidRPr="00140E22">
        <w:rPr>
          <w:rFonts w:ascii="Calibri" w:hAnsi="Calibri" w:cs="Calibri"/>
          <w:kern w:val="0"/>
          <w:sz w:val="24"/>
          <w:szCs w:val="24"/>
        </w:rPr>
        <w:t>Art. 24.</w:t>
      </w:r>
      <w:r w:rsidR="00E059A6" w:rsidRPr="00140E22">
        <w:rPr>
          <w:rFonts w:ascii="Calibri" w:hAnsi="Calibri" w:cs="Calibri"/>
          <w:kern w:val="0"/>
          <w:sz w:val="24"/>
          <w:szCs w:val="24"/>
        </w:rPr>
        <w:t xml:space="preserve"> </w:t>
      </w:r>
      <w:r w:rsidRPr="00140E22">
        <w:rPr>
          <w:rFonts w:ascii="Calibri" w:hAnsi="Calibri" w:cs="Calibri"/>
          <w:kern w:val="0"/>
          <w:sz w:val="24"/>
          <w:szCs w:val="24"/>
        </w:rPr>
        <w:t>...</w:t>
      </w:r>
    </w:p>
    <w:p w14:paraId="71FC1C00" w14:textId="0D9862D8" w:rsidR="00B75DC5" w:rsidRPr="00140E22" w:rsidRDefault="0096612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5742F7" w:rsidRPr="00140E22">
        <w:rPr>
          <w:rFonts w:ascii="Calibri" w:hAnsi="Calibri" w:cs="Calibri"/>
          <w:sz w:val="24"/>
          <w:szCs w:val="24"/>
        </w:rPr>
        <w:t xml:space="preserve"> </w:t>
      </w:r>
      <w:r w:rsidRPr="00140E22">
        <w:rPr>
          <w:rFonts w:ascii="Calibri" w:hAnsi="Calibri" w:cs="Calibri"/>
          <w:sz w:val="24"/>
          <w:szCs w:val="24"/>
        </w:rPr>
        <w:t>1º</w:t>
      </w:r>
      <w:r w:rsidR="005742F7" w:rsidRPr="00140E22">
        <w:rPr>
          <w:rFonts w:ascii="Calibri" w:hAnsi="Calibri" w:cs="Calibri"/>
          <w:sz w:val="24"/>
          <w:szCs w:val="24"/>
        </w:rPr>
        <w:t xml:space="preserve"> </w:t>
      </w:r>
      <w:r w:rsidRPr="00140E22">
        <w:rPr>
          <w:rFonts w:ascii="Calibri" w:hAnsi="Calibri" w:cs="Calibri"/>
          <w:sz w:val="24"/>
          <w:szCs w:val="24"/>
        </w:rPr>
        <w:t xml:space="preserve"> </w:t>
      </w:r>
      <w:r w:rsidR="00E409F0" w:rsidRPr="00140E22">
        <w:rPr>
          <w:rFonts w:ascii="Calibri" w:hAnsi="Calibri" w:cs="Calibri"/>
          <w:sz w:val="24"/>
          <w:szCs w:val="24"/>
        </w:rPr>
        <w:t>Em situações excepcionais, devidamente justificadas, a Previc poderá permitir a prorrogação do prazo previsto no caput, sem prejuízo do encaminhamento imediato de solicitação de habilitação do substituto.</w:t>
      </w:r>
    </w:p>
    <w:p w14:paraId="549D9DFE" w14:textId="5DD34FF5" w:rsidR="00966129" w:rsidRPr="00140E22" w:rsidRDefault="00B75DC5"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966129" w:rsidRPr="00140E22">
        <w:rPr>
          <w:rFonts w:ascii="Calibri" w:hAnsi="Calibri" w:cs="Calibri"/>
          <w:sz w:val="24"/>
          <w:szCs w:val="24"/>
        </w:rPr>
        <w:t>§</w:t>
      </w:r>
      <w:r w:rsidR="005742F7" w:rsidRPr="00140E22">
        <w:rPr>
          <w:rFonts w:ascii="Calibri" w:hAnsi="Calibri" w:cs="Calibri"/>
          <w:sz w:val="24"/>
          <w:szCs w:val="24"/>
        </w:rPr>
        <w:t xml:space="preserve"> </w:t>
      </w:r>
      <w:r w:rsidR="00966129" w:rsidRPr="00140E22">
        <w:rPr>
          <w:rFonts w:ascii="Calibri" w:hAnsi="Calibri" w:cs="Calibri"/>
          <w:sz w:val="24"/>
          <w:szCs w:val="24"/>
        </w:rPr>
        <w:t xml:space="preserve">2º </w:t>
      </w:r>
      <w:r w:rsidR="005742F7" w:rsidRPr="00140E22">
        <w:rPr>
          <w:rFonts w:ascii="Calibri" w:hAnsi="Calibri" w:cs="Calibri"/>
          <w:sz w:val="24"/>
          <w:szCs w:val="24"/>
        </w:rPr>
        <w:t xml:space="preserve"> </w:t>
      </w:r>
      <w:r w:rsidR="00966129" w:rsidRPr="00140E22">
        <w:rPr>
          <w:rFonts w:ascii="Calibri" w:hAnsi="Calibri" w:cs="Calibri"/>
          <w:sz w:val="24"/>
          <w:szCs w:val="24"/>
        </w:rPr>
        <w:t>Na hipótese devidamente justificada de não realização tempestiva e prévia do processo seletivo referido no art</w:t>
      </w:r>
      <w:r w:rsidR="00D60679" w:rsidRPr="00140E22">
        <w:rPr>
          <w:rFonts w:ascii="Calibri" w:hAnsi="Calibri" w:cs="Calibri"/>
          <w:sz w:val="24"/>
          <w:szCs w:val="24"/>
        </w:rPr>
        <w:t>.</w:t>
      </w:r>
      <w:r w:rsidR="00966129" w:rsidRPr="00140E22">
        <w:rPr>
          <w:rFonts w:ascii="Calibri" w:hAnsi="Calibri" w:cs="Calibri"/>
          <w:sz w:val="24"/>
          <w:szCs w:val="24"/>
        </w:rPr>
        <w:t xml:space="preserve"> 5º</w:t>
      </w:r>
      <w:r w:rsidR="00D60679" w:rsidRPr="00140E22">
        <w:rPr>
          <w:rFonts w:ascii="Calibri" w:hAnsi="Calibri" w:cs="Calibri"/>
          <w:sz w:val="24"/>
          <w:szCs w:val="24"/>
        </w:rPr>
        <w:t xml:space="preserve">, § 1º </w:t>
      </w:r>
      <w:r w:rsidR="00966129" w:rsidRPr="00140E22">
        <w:rPr>
          <w:rFonts w:ascii="Calibri" w:hAnsi="Calibri" w:cs="Calibri"/>
          <w:sz w:val="24"/>
          <w:szCs w:val="24"/>
        </w:rPr>
        <w:t>da Resolução CNPC nº 35, de 20 de dezembro de 2019, alterada pela Resolução CNPC nº 49, de 08 de dezembro de 2021, excepcionalmente, poderá ser requerida pela EFPC a habilitação de empregado ou dirigente que já presta serviço à mesma para o exercício de cargo na condição de interino, por prazo não superior a seis meses, condicionada à apresentação de cronograma para a realização do processo seletivo</w:t>
      </w:r>
      <w:r w:rsidR="00E059A6" w:rsidRPr="00140E22">
        <w:rPr>
          <w:rFonts w:ascii="Calibri" w:hAnsi="Calibri" w:cs="Calibri"/>
          <w:sz w:val="24"/>
          <w:szCs w:val="24"/>
        </w:rPr>
        <w:t>”</w:t>
      </w:r>
      <w:r w:rsidR="00966129" w:rsidRPr="00140E22">
        <w:rPr>
          <w:rFonts w:ascii="Calibri" w:hAnsi="Calibri" w:cs="Calibri"/>
          <w:sz w:val="24"/>
          <w:szCs w:val="24"/>
        </w:rPr>
        <w:t>.</w:t>
      </w:r>
      <w:r w:rsidR="00044992" w:rsidRPr="00140E22">
        <w:rPr>
          <w:rFonts w:ascii="Calibri" w:hAnsi="Calibri" w:cs="Calibri"/>
          <w:sz w:val="24"/>
          <w:szCs w:val="24"/>
        </w:rPr>
        <w:t xml:space="preserve"> (NR)</w:t>
      </w:r>
    </w:p>
    <w:p w14:paraId="1F0A5F7A" w14:textId="15A84194" w:rsidR="00E059A6"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B1C6340" w14:textId="39EC5516" w:rsidR="0036620D" w:rsidRDefault="00C6076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36. ...</w:t>
      </w:r>
    </w:p>
    <w:p w14:paraId="01CFFD16" w14:textId="6B14E0D0" w:rsidR="00D765EE" w:rsidRPr="00140E22" w:rsidRDefault="00E32BCF"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cs="Calibri"/>
          <w:sz w:val="24"/>
          <w:szCs w:val="24"/>
        </w:rPr>
        <w:t>Parágrafo único. ...</w:t>
      </w:r>
    </w:p>
    <w:p w14:paraId="734E1B9A" w14:textId="74AFB853" w:rsidR="00C6076D" w:rsidRPr="00140E22" w:rsidRDefault="00AC47B9"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“I - comunicação eletrônica à Previc, no prazo de cinco dias a contar do fato que motivou a alteração dos dados cadastrais dos membros habilitados;</w:t>
      </w:r>
      <w:r w:rsidR="00E76F96" w:rsidRPr="00140E22">
        <w:rPr>
          <w:rFonts w:ascii="Calibri" w:eastAsia="Calibri" w:hAnsi="Calibri" w:cs="Calibri"/>
          <w:sz w:val="24"/>
          <w:szCs w:val="24"/>
        </w:rPr>
        <w:t xml:space="preserve"> (NR)</w:t>
      </w:r>
    </w:p>
    <w:p w14:paraId="4DC71461" w14:textId="4FBBA351" w:rsidR="008C08A5" w:rsidRPr="00140E22" w:rsidRDefault="008C08A5" w:rsidP="007C3D89">
      <w:pPr>
        <w:tabs>
          <w:tab w:val="left" w:pos="0"/>
        </w:tabs>
        <w:ind w:left="-284" w:right="-1135"/>
        <w:jc w:val="both"/>
        <w:rPr>
          <w:rFonts w:ascii="Calibri" w:hAnsi="Calibri" w:cs="Calibri"/>
          <w:sz w:val="24"/>
          <w:szCs w:val="24"/>
        </w:rPr>
      </w:pPr>
      <w:r w:rsidRPr="00140E22">
        <w:rPr>
          <w:rFonts w:ascii="Calibri" w:eastAsia="Calibri" w:hAnsi="Calibri" w:cs="Calibri"/>
          <w:sz w:val="24"/>
          <w:szCs w:val="24"/>
        </w:rPr>
        <w:lastRenderedPageBreak/>
        <w:t>II - atualização dos dados referentes aos mandatos, no Portal de Sistemas da Previc, dos membros dos conselhos deliberativo e fiscal da EFPC enquadrada no segmento S3 ou S4, no prazo de cinco dias a contar do fato que motivou a alteração; e</w:t>
      </w:r>
      <w:r w:rsidR="00E76F96" w:rsidRPr="00140E22">
        <w:rPr>
          <w:rFonts w:ascii="Calibri" w:eastAsia="Calibri" w:hAnsi="Calibri" w:cs="Calibri"/>
          <w:sz w:val="24"/>
          <w:szCs w:val="24"/>
        </w:rPr>
        <w:t xml:space="preserve"> (NR)</w:t>
      </w:r>
    </w:p>
    <w:p w14:paraId="42CE7B6D" w14:textId="4ABCCC7D" w:rsidR="007575C3" w:rsidRPr="00140E22" w:rsidRDefault="00F268DF"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III - comunicação eletrônica à Previc, no prazo de cinco dias, da data efetiva da posse dos membros do conselho deliberativo, do conselho fiscal e da diretoria-executiva, em consonância com normatização a ser expedida pela Diretoria de Licenciamento.” (NR)</w:t>
      </w:r>
    </w:p>
    <w:p w14:paraId="74975B81" w14:textId="0BB81475" w:rsidR="006B0D04" w:rsidRPr="00140E22" w:rsidRDefault="006B0D0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eastAsia="Calibri" w:hAnsi="Calibri" w:cs="Calibri"/>
          <w:sz w:val="24"/>
          <w:szCs w:val="24"/>
        </w:rPr>
        <w:t>...</w:t>
      </w:r>
    </w:p>
    <w:p w14:paraId="64C34D8A" w14:textId="4C3FCD7A" w:rsidR="003F0FBD" w:rsidRPr="00140E22" w:rsidRDefault="006B0D04"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w:t>
      </w:r>
      <w:r w:rsidR="003F0FBD" w:rsidRPr="00140E22">
        <w:rPr>
          <w:rFonts w:ascii="Calibri" w:eastAsia="Calibri" w:hAnsi="Calibri" w:cs="Calibri"/>
          <w:sz w:val="24"/>
          <w:szCs w:val="24"/>
        </w:rPr>
        <w:t>Art. 57. As tábuas biométricas utilizadas nas avaliações atuariais dos planos de benefícios devem ter sua aderência atestada por meio de estudo específico, elaborado em conformidade com a Seção VI deste Capítulo</w:t>
      </w:r>
      <w:r w:rsidRPr="00140E22">
        <w:rPr>
          <w:rFonts w:ascii="Calibri" w:eastAsia="Calibri" w:hAnsi="Calibri" w:cs="Calibri"/>
          <w:sz w:val="24"/>
          <w:szCs w:val="24"/>
        </w:rPr>
        <w:t>”</w:t>
      </w:r>
      <w:r w:rsidR="003F0FBD" w:rsidRPr="00140E22">
        <w:rPr>
          <w:rFonts w:ascii="Calibri" w:eastAsia="Calibri" w:hAnsi="Calibri" w:cs="Calibri"/>
          <w:sz w:val="24"/>
          <w:szCs w:val="24"/>
        </w:rPr>
        <w:t>.</w:t>
      </w:r>
      <w:r w:rsidR="00AB58AA" w:rsidRPr="00140E22">
        <w:rPr>
          <w:rFonts w:ascii="Calibri" w:eastAsia="Calibri" w:hAnsi="Calibri" w:cs="Calibri"/>
          <w:sz w:val="24"/>
          <w:szCs w:val="24"/>
        </w:rPr>
        <w:t xml:space="preserve"> (N</w:t>
      </w:r>
      <w:r w:rsidR="00712BF8" w:rsidRPr="00140E22">
        <w:rPr>
          <w:rFonts w:ascii="Calibri" w:eastAsia="Calibri" w:hAnsi="Calibri" w:cs="Calibri"/>
          <w:sz w:val="24"/>
          <w:szCs w:val="24"/>
        </w:rPr>
        <w:t>R)</w:t>
      </w:r>
    </w:p>
    <w:p w14:paraId="193E3BD4" w14:textId="6DFDAF79" w:rsidR="00712BF8" w:rsidRPr="00140E22" w:rsidRDefault="00712BF8"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w:t>
      </w:r>
    </w:p>
    <w:p w14:paraId="484C0032" w14:textId="6769CC35" w:rsidR="00712BF8" w:rsidRPr="00140E22" w:rsidRDefault="00E757FF"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 3º No caso de planos de benefícios que comprovem aderência das tábuas de mortalidade geral nos termos definidos na Seção VI,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 (NR)</w:t>
      </w:r>
    </w:p>
    <w:p w14:paraId="56107F21" w14:textId="2D9C3CD6" w:rsidR="00331CA5" w:rsidRPr="00140E22" w:rsidRDefault="00331CA5"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w:t>
      </w:r>
    </w:p>
    <w:p w14:paraId="43921E53" w14:textId="3AD5CBA5" w:rsidR="006C3DA6" w:rsidRPr="00140E22" w:rsidRDefault="006C3DA6" w:rsidP="007C3D89">
      <w:pPr>
        <w:tabs>
          <w:tab w:val="left" w:pos="0"/>
        </w:tabs>
        <w:spacing w:after="120" w:line="240" w:lineRule="auto"/>
        <w:ind w:left="-284" w:right="-1135"/>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Art. 105.  </w:t>
      </w:r>
      <w:r w:rsidR="00AA1BD8" w:rsidRPr="00140E22">
        <w:rPr>
          <w:rFonts w:ascii="Calibri" w:eastAsia="Times New Roman" w:hAnsi="Calibri" w:cs="Calibri"/>
          <w:sz w:val="24"/>
          <w:szCs w:val="24"/>
          <w:lang w:eastAsia="pt-BR"/>
        </w:rPr>
        <w:t>...</w:t>
      </w:r>
    </w:p>
    <w:p w14:paraId="4B68FC48" w14:textId="3D1DA00A" w:rsidR="006C3DA6" w:rsidRPr="00140E22" w:rsidRDefault="006C3DA6" w:rsidP="007C3D89">
      <w:pPr>
        <w:tabs>
          <w:tab w:val="left" w:pos="0"/>
        </w:tabs>
        <w:spacing w:after="120" w:line="240" w:lineRule="auto"/>
        <w:ind w:left="-284" w:right="-1135"/>
        <w:rPr>
          <w:rFonts w:ascii="Calibri" w:hAnsi="Calibri" w:cs="Calibri"/>
          <w:sz w:val="24"/>
          <w:szCs w:val="24"/>
        </w:rPr>
      </w:pPr>
      <w:r w:rsidRPr="00140E22">
        <w:rPr>
          <w:rFonts w:ascii="Calibri" w:eastAsia="Times New Roman" w:hAnsi="Calibri" w:cs="Calibri"/>
          <w:sz w:val="24"/>
          <w:szCs w:val="24"/>
          <w:lang w:eastAsia="pt-BR"/>
        </w:rPr>
        <w:t>...</w:t>
      </w:r>
    </w:p>
    <w:p w14:paraId="02CA83F3" w14:textId="3C3AFDF0" w:rsidR="006C3DA6" w:rsidRPr="00140E22" w:rsidRDefault="006C3DA6" w:rsidP="007C3D89">
      <w:pPr>
        <w:tabs>
          <w:tab w:val="left" w:pos="0"/>
        </w:tabs>
        <w:spacing w:after="120" w:line="240" w:lineRule="auto"/>
        <w:ind w:left="-284" w:right="-1135"/>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II </w:t>
      </w:r>
      <w:r w:rsidR="00105A70" w:rsidRPr="00140E22">
        <w:rPr>
          <w:rFonts w:ascii="Calibri" w:eastAsia="Times New Roman" w:hAnsi="Calibri" w:cs="Calibri"/>
          <w:sz w:val="24"/>
          <w:szCs w:val="24"/>
          <w:lang w:eastAsia="pt-BR"/>
        </w:rPr>
        <w:t>-</w:t>
      </w:r>
      <w:r w:rsidRPr="00140E22">
        <w:rPr>
          <w:rFonts w:ascii="Calibri" w:eastAsia="Times New Roman" w:hAnsi="Calibri" w:cs="Calibri"/>
          <w:sz w:val="24"/>
          <w:szCs w:val="24"/>
          <w:lang w:eastAsia="pt-BR"/>
        </w:rPr>
        <w:t xml:space="preserve"> </w:t>
      </w:r>
      <w:r w:rsidR="005742F7" w:rsidRPr="00140E22">
        <w:rPr>
          <w:rFonts w:ascii="Calibri" w:eastAsia="Times New Roman" w:hAnsi="Calibri" w:cs="Calibri"/>
          <w:sz w:val="24"/>
          <w:szCs w:val="24"/>
          <w:lang w:eastAsia="pt-BR"/>
        </w:rPr>
        <w:t>...</w:t>
      </w:r>
    </w:p>
    <w:p w14:paraId="1B9257B1" w14:textId="6EE99905" w:rsidR="006C3DA6" w:rsidRPr="00140E22" w:rsidRDefault="006C3DA6" w:rsidP="007C3D89">
      <w:pPr>
        <w:tabs>
          <w:tab w:val="left" w:pos="0"/>
        </w:tabs>
        <w:spacing w:after="120" w:line="240" w:lineRule="auto"/>
        <w:ind w:left="-284" w:right="-1135"/>
        <w:rPr>
          <w:rFonts w:ascii="Calibri" w:hAnsi="Calibri" w:cs="Calibri"/>
          <w:sz w:val="24"/>
          <w:szCs w:val="24"/>
        </w:rPr>
      </w:pPr>
      <w:r w:rsidRPr="00140E22">
        <w:rPr>
          <w:rFonts w:ascii="Calibri" w:eastAsia="Times New Roman" w:hAnsi="Calibri" w:cs="Calibri"/>
          <w:sz w:val="24"/>
          <w:szCs w:val="24"/>
          <w:lang w:eastAsia="pt-BR"/>
        </w:rPr>
        <w:t>...</w:t>
      </w:r>
    </w:p>
    <w:p w14:paraId="2E34C5FD" w14:textId="04D648B0" w:rsidR="006C3DA6" w:rsidRPr="00140E22" w:rsidRDefault="003D4DAE"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w:t>
      </w:r>
      <w:r w:rsidR="006C3DA6" w:rsidRPr="00140E22">
        <w:rPr>
          <w:rFonts w:ascii="Calibri" w:eastAsia="Times New Roman" w:hAnsi="Calibri" w:cs="Calibri"/>
          <w:sz w:val="24"/>
          <w:szCs w:val="24"/>
          <w:lang w:eastAsia="pt-BR"/>
        </w:rPr>
        <w:t>f) aumento da parcela patronal na composição do valor do resgate</w:t>
      </w:r>
      <w:r w:rsidR="00D60679" w:rsidRPr="00140E22">
        <w:rPr>
          <w:rFonts w:ascii="Calibri" w:eastAsia="Times New Roman" w:hAnsi="Calibri" w:cs="Calibri"/>
          <w:sz w:val="24"/>
          <w:szCs w:val="24"/>
          <w:lang w:eastAsia="pt-BR"/>
        </w:rPr>
        <w:t>;</w:t>
      </w:r>
    </w:p>
    <w:p w14:paraId="399C440B" w14:textId="7E86E326" w:rsidR="006C3DA6" w:rsidRPr="00140E22" w:rsidRDefault="006C3DA6"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g) atualização do valor da unidade de referência, quando definida no regulamento; ou</w:t>
      </w:r>
    </w:p>
    <w:p w14:paraId="3AEB2F44" w14:textId="17C531F7" w:rsidR="006C3DA6" w:rsidRPr="00140E22" w:rsidRDefault="006C3DA6"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h) inclusão da previsão da inscrição automática de participantes, bem como suas condições, procedimentos, prazos e forma de desistência.</w:t>
      </w:r>
      <w:r w:rsidR="00E059A6" w:rsidRPr="00140E22">
        <w:rPr>
          <w:rFonts w:ascii="Calibri" w:eastAsia="Times New Roman" w:hAnsi="Calibri" w:cs="Calibri"/>
          <w:sz w:val="24"/>
          <w:szCs w:val="24"/>
          <w:lang w:eastAsia="pt-BR"/>
        </w:rPr>
        <w:t>”</w:t>
      </w:r>
      <w:r w:rsidRPr="00140E22">
        <w:rPr>
          <w:rFonts w:ascii="Calibri" w:eastAsia="Times New Roman" w:hAnsi="Calibri" w:cs="Calibri"/>
          <w:sz w:val="24"/>
          <w:szCs w:val="24"/>
          <w:lang w:eastAsia="pt-BR"/>
        </w:rPr>
        <w:t xml:space="preserve"> </w:t>
      </w:r>
      <w:r w:rsidR="00173596" w:rsidRPr="00140E22">
        <w:rPr>
          <w:rFonts w:ascii="Calibri" w:eastAsia="Times New Roman" w:hAnsi="Calibri" w:cs="Calibri"/>
          <w:sz w:val="24"/>
          <w:szCs w:val="24"/>
          <w:lang w:eastAsia="pt-BR"/>
        </w:rPr>
        <w:t>(NR)</w:t>
      </w:r>
    </w:p>
    <w:p w14:paraId="4A57987B" w14:textId="06367325" w:rsidR="006C3DA6" w:rsidRPr="00140E22" w:rsidRDefault="006C3D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35775269" w14:textId="77A87046" w:rsidR="006C3DA6" w:rsidRPr="00140E22" w:rsidRDefault="006C3D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IV </w:t>
      </w:r>
      <w:r w:rsidR="00105A70" w:rsidRPr="00140E22">
        <w:rPr>
          <w:rFonts w:ascii="Calibri" w:hAnsi="Calibri" w:cs="Calibri"/>
          <w:sz w:val="24"/>
          <w:szCs w:val="24"/>
        </w:rPr>
        <w:t>-</w:t>
      </w:r>
      <w:r w:rsidRPr="00140E22">
        <w:rPr>
          <w:rFonts w:ascii="Calibri" w:hAnsi="Calibri" w:cs="Calibri"/>
          <w:sz w:val="24"/>
          <w:szCs w:val="24"/>
        </w:rPr>
        <w:t xml:space="preserve"> </w:t>
      </w:r>
      <w:r w:rsidR="005742F7" w:rsidRPr="00140E22">
        <w:rPr>
          <w:rFonts w:ascii="Calibri" w:hAnsi="Calibri" w:cs="Calibri"/>
          <w:sz w:val="24"/>
          <w:szCs w:val="24"/>
        </w:rPr>
        <w:t>...</w:t>
      </w:r>
    </w:p>
    <w:p w14:paraId="6C285F62" w14:textId="64A19F8C" w:rsidR="006C3DA6" w:rsidRPr="00140E22" w:rsidRDefault="006C3D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3DA168E7" w14:textId="1A8C4FB3" w:rsidR="006C3DA6" w:rsidRPr="00140E22" w:rsidRDefault="003D4DAE"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w:t>
      </w:r>
      <w:r w:rsidR="006C3DA6" w:rsidRPr="00140E22">
        <w:rPr>
          <w:rFonts w:ascii="Calibri" w:eastAsia="Times New Roman" w:hAnsi="Calibri" w:cs="Calibri"/>
          <w:sz w:val="24"/>
          <w:szCs w:val="24"/>
          <w:lang w:eastAsia="pt-BR"/>
        </w:rPr>
        <w:t>c) nome do plano de benefícios;</w:t>
      </w:r>
    </w:p>
    <w:p w14:paraId="744228D3" w14:textId="5DA65B62" w:rsidR="006C3DA6" w:rsidRPr="00140E22" w:rsidRDefault="006C3DA6"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d) correções de remissões ou ajustes ortográficos; </w:t>
      </w:r>
      <w:r w:rsidR="00173596" w:rsidRPr="00140E22">
        <w:rPr>
          <w:rFonts w:ascii="Calibri" w:eastAsia="Times New Roman" w:hAnsi="Calibri" w:cs="Calibri"/>
          <w:sz w:val="24"/>
          <w:szCs w:val="24"/>
          <w:lang w:eastAsia="pt-BR"/>
        </w:rPr>
        <w:t>ou</w:t>
      </w:r>
    </w:p>
    <w:p w14:paraId="588BFA49" w14:textId="355143CC" w:rsidR="006C3DA6" w:rsidRPr="00140E22" w:rsidRDefault="006C3DA6" w:rsidP="007C3D89">
      <w:pPr>
        <w:tabs>
          <w:tab w:val="left" w:pos="0"/>
        </w:tabs>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e) oferecimento da inscrição automática e as obrigações dela decorrentes.” (NR)</w:t>
      </w:r>
    </w:p>
    <w:p w14:paraId="6FF2EAA6" w14:textId="5F82F5FA" w:rsidR="00E059A6" w:rsidRPr="00140E22" w:rsidRDefault="00E059A6" w:rsidP="007C3D89">
      <w:pPr>
        <w:tabs>
          <w:tab w:val="left" w:pos="0"/>
        </w:tabs>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w:t>
      </w:r>
    </w:p>
    <w:p w14:paraId="24F9DF7A" w14:textId="39BB414A" w:rsidR="005F6A42" w:rsidRPr="00140E22" w:rsidRDefault="002F514A" w:rsidP="007C3D89">
      <w:pPr>
        <w:tabs>
          <w:tab w:val="left" w:pos="0"/>
        </w:tabs>
        <w:ind w:left="-284" w:right="-1135"/>
        <w:jc w:val="center"/>
        <w:rPr>
          <w:rFonts w:ascii="Calibri" w:eastAsia="Times New Roman" w:hAnsi="Calibri" w:cs="Calibri"/>
          <w:sz w:val="24"/>
          <w:szCs w:val="24"/>
          <w:lang w:eastAsia="pt-BR"/>
        </w:rPr>
      </w:pPr>
      <w:r w:rsidRPr="00140E22">
        <w:rPr>
          <w:rFonts w:ascii="Calibri" w:eastAsia="Times New Roman" w:hAnsi="Calibri" w:cs="Calibri"/>
          <w:b/>
          <w:bCs/>
          <w:sz w:val="24"/>
          <w:szCs w:val="24"/>
          <w:lang w:eastAsia="pt-BR"/>
        </w:rPr>
        <w:t>Subseção VII ...</w:t>
      </w:r>
    </w:p>
    <w:p w14:paraId="75477E53" w14:textId="236F07E5" w:rsidR="005F6A42" w:rsidRPr="00140E22" w:rsidRDefault="007B55C8" w:rsidP="007C3D89">
      <w:pPr>
        <w:tabs>
          <w:tab w:val="left" w:pos="0"/>
        </w:tabs>
        <w:ind w:left="-284" w:right="-1135"/>
        <w:jc w:val="both"/>
        <w:rPr>
          <w:rFonts w:ascii="Calibri" w:eastAsia="Times New Roman" w:hAnsi="Calibri" w:cs="Calibri"/>
          <w:sz w:val="24"/>
          <w:szCs w:val="24"/>
          <w:lang w:eastAsia="pt-BR"/>
        </w:rPr>
      </w:pPr>
      <w:r w:rsidRPr="00140E22">
        <w:rPr>
          <w:rFonts w:ascii="Calibri" w:eastAsia="Times New Roman" w:hAnsi="Calibri" w:cs="Calibri"/>
          <w:b/>
          <w:bCs/>
          <w:sz w:val="24"/>
          <w:szCs w:val="24"/>
          <w:lang w:eastAsia="pt-BR"/>
        </w:rPr>
        <w:t>Definições</w:t>
      </w:r>
    </w:p>
    <w:p w14:paraId="1884D9CB" w14:textId="4332C8EC" w:rsidR="005F6A42" w:rsidRPr="00140E22" w:rsidRDefault="00AE60DC"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“Art. 135. </w:t>
      </w:r>
      <w:r w:rsidR="00D8592A" w:rsidRPr="00140E22">
        <w:rPr>
          <w:rFonts w:ascii="Calibri" w:hAnsi="Calibri" w:cs="Calibri"/>
          <w:sz w:val="24"/>
          <w:szCs w:val="24"/>
        </w:rPr>
        <w:t xml:space="preserve"> </w:t>
      </w:r>
      <w:r w:rsidRPr="00140E22">
        <w:rPr>
          <w:rFonts w:ascii="Calibri" w:hAnsi="Calibri" w:cs="Calibri"/>
          <w:sz w:val="24"/>
          <w:szCs w:val="24"/>
        </w:rPr>
        <w:t>Para os fins desta Seção, considera-se as seguintes definições:” (NR)</w:t>
      </w:r>
    </w:p>
    <w:p w14:paraId="532F98D0" w14:textId="388AD510" w:rsidR="00532566" w:rsidRPr="00140E22" w:rsidRDefault="0065670C" w:rsidP="007C3D89">
      <w:pPr>
        <w:tabs>
          <w:tab w:val="left" w:pos="0"/>
        </w:tabs>
        <w:ind w:left="-284" w:right="-1135"/>
        <w:jc w:val="both"/>
        <w:rPr>
          <w:rFonts w:ascii="Calibri" w:hAnsi="Calibri" w:cs="Calibri"/>
          <w:sz w:val="24"/>
          <w:szCs w:val="24"/>
        </w:rPr>
      </w:pPr>
      <w:r w:rsidRPr="00140E22">
        <w:rPr>
          <w:rFonts w:ascii="Calibri" w:hAnsi="Calibri" w:cs="Calibri"/>
          <w:sz w:val="24"/>
          <w:szCs w:val="24"/>
        </w:rPr>
        <w:lastRenderedPageBreak/>
        <w:t>“</w:t>
      </w:r>
      <w:r w:rsidR="00532566" w:rsidRPr="00140E22">
        <w:rPr>
          <w:rFonts w:ascii="Calibri" w:hAnsi="Calibri" w:cs="Calibri"/>
          <w:sz w:val="24"/>
          <w:szCs w:val="24"/>
        </w:rPr>
        <w:t>I - data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w:t>
      </w:r>
      <w:r w:rsidRPr="00140E22">
        <w:rPr>
          <w:rFonts w:ascii="Calibri" w:hAnsi="Calibri" w:cs="Calibri"/>
          <w:sz w:val="24"/>
          <w:szCs w:val="24"/>
        </w:rPr>
        <w:t>” (NR)</w:t>
      </w:r>
    </w:p>
    <w:p w14:paraId="08F2C417" w14:textId="58BE89F3" w:rsidR="002072EF" w:rsidRPr="00140E22" w:rsidRDefault="002072EF"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“II - data de protocolo: aquela na qual a EFPC deve protocolar o requerimento de licenciamento de retirada de patrocínio ou de rescisão de convênio de adesão por iniciativa da EFPC junto à Previc, no prazo de até duzentos e quarenta dias, contados da data da notificação;” (NR)</w:t>
      </w:r>
    </w:p>
    <w:p w14:paraId="756D741B" w14:textId="5A0CDB58" w:rsidR="006C5E5D" w:rsidRPr="00140E22" w:rsidRDefault="006C5E5D"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“III - data de aporte: aquela na qual devem ocorrer os aportes de responsabilidade do patrocinador, previstos no termo de retirada de patrocínio ou de rescisão de convênio de adesão por iniciativa da EFPC, em até trinta dias antes da data efetiva;” (NR)</w:t>
      </w:r>
    </w:p>
    <w:p w14:paraId="4D014CE0" w14:textId="77777777" w:rsidR="003E6A60" w:rsidRPr="00140E22" w:rsidRDefault="003E6A60" w:rsidP="007C3D89">
      <w:pPr>
        <w:tabs>
          <w:tab w:val="left" w:pos="-567"/>
          <w:tab w:val="left" w:pos="0"/>
        </w:tabs>
        <w:ind w:left="-284" w:right="-1135"/>
        <w:jc w:val="both"/>
        <w:rPr>
          <w:rFonts w:ascii="Calibri" w:hAnsi="Calibri" w:cs="Calibri"/>
          <w:sz w:val="24"/>
          <w:szCs w:val="24"/>
        </w:rPr>
      </w:pPr>
      <w:r w:rsidRPr="00140E22">
        <w:rPr>
          <w:rFonts w:ascii="Calibri" w:hAnsi="Calibri" w:cs="Calibri"/>
          <w:sz w:val="24"/>
          <w:szCs w:val="24"/>
        </w:rPr>
        <w:t>“IV - data efetiva: aquela na qual a EFPC deve finalizar 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(NR)</w:t>
      </w:r>
    </w:p>
    <w:p w14:paraId="6AB89ACB" w14:textId="03D82424" w:rsidR="008E6148" w:rsidRPr="00140E22" w:rsidRDefault="008E6148"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“V - período de opção: prazo de cento e vinte dias, concedido aos participantes e assistidos para o exercício das opções oferecidas em face da retirada de patrocínio ou da rescisão de convênio de adesão por iniciativa da EFPC, contados da data efetiva;” (NR)</w:t>
      </w:r>
    </w:p>
    <w:p w14:paraId="6C419AE1" w14:textId="4AA810DC" w:rsidR="006C5E5D" w:rsidRPr="00140E22" w:rsidRDefault="003E6A60" w:rsidP="007C3D89">
      <w:pPr>
        <w:tabs>
          <w:tab w:val="left" w:pos="0"/>
        </w:tabs>
        <w:ind w:left="-284" w:right="-1135"/>
        <w:jc w:val="both"/>
        <w:rPr>
          <w:rFonts w:ascii="Calibri" w:eastAsia="Times New Roman" w:hAnsi="Calibri" w:cs="Calibri"/>
          <w:sz w:val="24"/>
          <w:szCs w:val="24"/>
          <w:lang w:eastAsia="pt-BR"/>
        </w:rPr>
      </w:pPr>
      <w:r w:rsidRPr="00140E22">
        <w:rPr>
          <w:rFonts w:ascii="Calibri" w:hAnsi="Calibri" w:cs="Calibri"/>
          <w:sz w:val="24"/>
          <w:szCs w:val="24"/>
        </w:rPr>
        <w:t xml:space="preserve"> </w:t>
      </w:r>
      <w:r w:rsidR="009D0633" w:rsidRPr="00140E22">
        <w:rPr>
          <w:rFonts w:ascii="Calibri" w:hAnsi="Calibri" w:cs="Calibri"/>
          <w:sz w:val="24"/>
          <w:szCs w:val="24"/>
        </w:rPr>
        <w:t>“</w:t>
      </w:r>
      <w:r w:rsidR="00582EEA" w:rsidRPr="00140E22">
        <w:rPr>
          <w:rFonts w:ascii="Calibri" w:hAnsi="Calibri" w:cs="Calibri"/>
          <w:sz w:val="24"/>
          <w:szCs w:val="24"/>
        </w:rPr>
        <w:t>VI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r w:rsidR="009D0633" w:rsidRPr="00140E22">
        <w:rPr>
          <w:rFonts w:ascii="Calibri" w:hAnsi="Calibri" w:cs="Calibri"/>
          <w:sz w:val="24"/>
          <w:szCs w:val="24"/>
        </w:rPr>
        <w:t>” (NR)</w:t>
      </w:r>
      <w:r w:rsidRPr="00140E22">
        <w:rPr>
          <w:rFonts w:ascii="Calibri" w:hAnsi="Calibri" w:cs="Calibri"/>
          <w:sz w:val="24"/>
          <w:szCs w:val="24"/>
        </w:rPr>
        <w:t xml:space="preserve"> </w:t>
      </w:r>
    </w:p>
    <w:p w14:paraId="1BB1E252" w14:textId="5C894E40" w:rsidR="005F6A42" w:rsidRPr="00140E22" w:rsidRDefault="009D063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317CB4" w:rsidRPr="00140E22">
        <w:rPr>
          <w:rFonts w:ascii="Calibri" w:hAnsi="Calibri" w:cs="Calibri"/>
          <w:sz w:val="24"/>
          <w:szCs w:val="24"/>
        </w:rPr>
        <w:t>VII - data de autorização: aquela em que for publicado, no Diário Oficial da União, o ato da Superintendência Nacional de Previdência Complementar que autorizar a retirada de patrocínio ou a rescisão de convênio de adesão por iniciativa da EFPC;</w:t>
      </w:r>
      <w:r w:rsidRPr="00140E22">
        <w:rPr>
          <w:rFonts w:ascii="Calibri" w:hAnsi="Calibri" w:cs="Calibri"/>
          <w:sz w:val="24"/>
          <w:szCs w:val="24"/>
        </w:rPr>
        <w:t>” (NR)</w:t>
      </w:r>
    </w:p>
    <w:p w14:paraId="5969F463" w14:textId="69B590AB" w:rsidR="00317CB4" w:rsidRPr="00140E22" w:rsidRDefault="009D0633" w:rsidP="007C3D89">
      <w:pPr>
        <w:tabs>
          <w:tab w:val="left" w:pos="0"/>
        </w:tabs>
        <w:ind w:left="-284" w:right="-1135"/>
        <w:jc w:val="both"/>
        <w:rPr>
          <w:rFonts w:ascii="Calibri" w:eastAsia="Times New Roman" w:hAnsi="Calibri" w:cs="Calibri"/>
          <w:sz w:val="24"/>
          <w:szCs w:val="24"/>
          <w:lang w:eastAsia="pt-BR"/>
        </w:rPr>
      </w:pPr>
      <w:r w:rsidRPr="00140E22">
        <w:rPr>
          <w:rFonts w:ascii="Calibri" w:hAnsi="Calibri" w:cs="Calibri"/>
          <w:sz w:val="24"/>
          <w:szCs w:val="24"/>
        </w:rPr>
        <w:t>“</w:t>
      </w:r>
      <w:r w:rsidR="007600F0" w:rsidRPr="00140E22">
        <w:rPr>
          <w:rFonts w:ascii="Calibri" w:hAnsi="Calibri" w:cs="Calibri"/>
          <w:sz w:val="24"/>
          <w:szCs w:val="24"/>
        </w:rPr>
        <w:t>VIII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r w:rsidRPr="00140E22">
        <w:rPr>
          <w:rFonts w:ascii="Calibri" w:hAnsi="Calibri" w:cs="Calibri"/>
          <w:sz w:val="24"/>
          <w:szCs w:val="24"/>
        </w:rPr>
        <w:t>” (NR)</w:t>
      </w:r>
    </w:p>
    <w:p w14:paraId="5CAFD5AC" w14:textId="12371A5D" w:rsidR="005F6A42" w:rsidRPr="00140E22" w:rsidRDefault="009D063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“IX - data de conclusão da retirada: aquela na qual a EFPC finaliza a efetivação das opções realizadas pelos participantes e assistidos ou efetiva os créditos referentes aos recursos do Fundo Previdencial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 (NR)</w:t>
      </w:r>
    </w:p>
    <w:p w14:paraId="284252C9" w14:textId="707E954E" w:rsidR="00BD73E5" w:rsidRPr="00140E22" w:rsidRDefault="00BD73E5"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 1º </w:t>
      </w:r>
      <w:r w:rsidR="00D8592A" w:rsidRPr="00140E22">
        <w:rPr>
          <w:rFonts w:ascii="Calibri" w:hAnsi="Calibri" w:cs="Calibri"/>
          <w:sz w:val="24"/>
          <w:szCs w:val="24"/>
        </w:rPr>
        <w:t xml:space="preserve"> </w:t>
      </w:r>
      <w:r w:rsidRPr="00140E22">
        <w:rPr>
          <w:rFonts w:ascii="Calibri" w:hAnsi="Calibri" w:cs="Calibri"/>
          <w:sz w:val="24"/>
          <w:szCs w:val="24"/>
        </w:rPr>
        <w:t xml:space="preserve">Excetua-se do prazo previsto no inciso III do caput,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w:t>
      </w:r>
      <w:r w:rsidRPr="00140E22">
        <w:rPr>
          <w:rFonts w:ascii="Calibri" w:hAnsi="Calibri" w:cs="Calibri"/>
          <w:sz w:val="24"/>
          <w:szCs w:val="24"/>
        </w:rPr>
        <w:lastRenderedPageBreak/>
        <w:t xml:space="preserve">benefícios instituído, conforme o caso, e os eventuais compromissos com o exigível contingencial e o passivo contingente, cuja quitação deve ocorrer nas condições estabelecidas no termo de retirada.” (NR) </w:t>
      </w:r>
    </w:p>
    <w:p w14:paraId="353EFE2E" w14:textId="02A74B06" w:rsidR="005F6A42" w:rsidRPr="00140E22" w:rsidRDefault="00277365"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p>
    <w:p w14:paraId="7EC22B02" w14:textId="466C0C41" w:rsidR="00277365" w:rsidRPr="00140E22" w:rsidRDefault="00615E78" w:rsidP="007C3D89">
      <w:pPr>
        <w:tabs>
          <w:tab w:val="left" w:pos="0"/>
        </w:tabs>
        <w:ind w:left="-284" w:right="-1135"/>
        <w:jc w:val="both"/>
        <w:rPr>
          <w:rFonts w:ascii="Calibri" w:hAnsi="Calibri" w:cs="Calibri"/>
          <w:sz w:val="24"/>
          <w:szCs w:val="24"/>
        </w:rPr>
      </w:pPr>
      <w:r w:rsidRPr="00140E22">
        <w:rPr>
          <w:rFonts w:ascii="Calibri" w:hAnsi="Calibri" w:cs="Calibri"/>
          <w:b/>
          <w:bCs/>
          <w:sz w:val="24"/>
          <w:szCs w:val="24"/>
        </w:rPr>
        <w:t>“</w:t>
      </w:r>
      <w:r w:rsidR="00FC3F24" w:rsidRPr="00140E22">
        <w:rPr>
          <w:rFonts w:ascii="Calibri" w:hAnsi="Calibri" w:cs="Calibri"/>
          <w:b/>
          <w:bCs/>
          <w:sz w:val="24"/>
          <w:szCs w:val="24"/>
        </w:rPr>
        <w:t>Procedimentos Preliminares</w:t>
      </w:r>
      <w:r w:rsidRPr="00140E22">
        <w:rPr>
          <w:rFonts w:ascii="Calibri" w:hAnsi="Calibri" w:cs="Calibri"/>
          <w:b/>
          <w:bCs/>
          <w:sz w:val="24"/>
          <w:szCs w:val="24"/>
        </w:rPr>
        <w:t xml:space="preserve">” </w:t>
      </w:r>
      <w:r w:rsidRPr="00140E22">
        <w:rPr>
          <w:rFonts w:ascii="Calibri" w:hAnsi="Calibri" w:cs="Calibri"/>
          <w:sz w:val="24"/>
          <w:szCs w:val="24"/>
        </w:rPr>
        <w:t>(NR)</w:t>
      </w:r>
    </w:p>
    <w:p w14:paraId="7BD1CEBE" w14:textId="4E2B5C3E" w:rsidR="00FC3F24" w:rsidRPr="00140E22" w:rsidRDefault="00615E7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C3F24" w:rsidRPr="00140E22">
        <w:rPr>
          <w:rFonts w:ascii="Calibri" w:hAnsi="Calibri" w:cs="Calibri"/>
          <w:sz w:val="24"/>
          <w:szCs w:val="24"/>
        </w:rPr>
        <w:t xml:space="preserve">Art. </w:t>
      </w:r>
      <w:r w:rsidR="00B64931" w:rsidRPr="00140E22">
        <w:rPr>
          <w:rFonts w:ascii="Calibri" w:hAnsi="Calibri" w:cs="Calibri"/>
          <w:sz w:val="24"/>
          <w:szCs w:val="24"/>
        </w:rPr>
        <w:t xml:space="preserve">136. </w:t>
      </w:r>
      <w:r w:rsidR="00D8592A" w:rsidRPr="00140E22">
        <w:rPr>
          <w:rFonts w:ascii="Calibri" w:hAnsi="Calibri" w:cs="Calibri"/>
          <w:sz w:val="24"/>
          <w:szCs w:val="24"/>
        </w:rPr>
        <w:t xml:space="preserve"> </w:t>
      </w:r>
      <w:r w:rsidRPr="00140E22">
        <w:rPr>
          <w:rFonts w:ascii="Calibri" w:hAnsi="Calibri" w:cs="Calibri"/>
          <w:sz w:val="24"/>
          <w:szCs w:val="24"/>
        </w:rPr>
        <w:t>A EFPC deve, no prazo de até dez dias úteis, contados da data da notificação do patrocinador:” (NR)</w:t>
      </w:r>
    </w:p>
    <w:p w14:paraId="748B5F5F" w14:textId="07E90D3A" w:rsidR="00615E78" w:rsidRPr="00140E22" w:rsidRDefault="00FC4B4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152E22BA" w14:textId="156E6E35" w:rsidR="00FC4B42" w:rsidRPr="00140E22" w:rsidRDefault="005721E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 - divulgar o inteiro teor da notificação do(s) patrocinador(es) retirante(s) aos participantes e assistidos vinculados ao plano de benefícios, na forma da legislação vigente;” (NR)</w:t>
      </w:r>
    </w:p>
    <w:p w14:paraId="71A82A0C" w14:textId="2DD734CD" w:rsidR="005721EB" w:rsidRPr="00140E22" w:rsidRDefault="00CB0E3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III - divulgar o inteiro teor da notificação do(s) patrocinador(es) retirante(s) aos patrocinadores remanescentes do plano de benefícios, se houver;</w:t>
      </w:r>
      <w:r w:rsidR="002959AF" w:rsidRPr="00140E22">
        <w:rPr>
          <w:rFonts w:ascii="Calibri" w:hAnsi="Calibri" w:cs="Calibri"/>
          <w:sz w:val="24"/>
          <w:szCs w:val="24"/>
        </w:rPr>
        <w:t>”</w:t>
      </w:r>
      <w:r w:rsidRPr="00140E22">
        <w:rPr>
          <w:rFonts w:ascii="Calibri" w:hAnsi="Calibri" w:cs="Calibri"/>
          <w:sz w:val="24"/>
          <w:szCs w:val="24"/>
        </w:rPr>
        <w:t xml:space="preserve"> e (NR)</w:t>
      </w:r>
    </w:p>
    <w:p w14:paraId="18CA3CB8" w14:textId="0017F81E" w:rsidR="002959AF" w:rsidRPr="00140E22" w:rsidRDefault="002959A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A261CC1" w14:textId="768DE5CA" w:rsidR="002959AF" w:rsidRPr="00140E22" w:rsidRDefault="001E550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D8592A" w:rsidRPr="00140E22">
        <w:rPr>
          <w:rFonts w:ascii="Calibri" w:hAnsi="Calibri" w:cs="Calibri"/>
          <w:sz w:val="24"/>
          <w:szCs w:val="24"/>
        </w:rPr>
        <w:t>§ 3º  Sem prejuízo do disposto no § 2º, incumbe ao participante ou assistido manter atualizados junto à EFPC os seus dados cadastrais, especialmente seus endereços residencial e eletrônico e seu telefone, bem como incumbe à EFPC adotar as medidas necessárias para o controle dessas atualizações.</w:t>
      </w:r>
      <w:r w:rsidRPr="00140E22">
        <w:rPr>
          <w:rFonts w:ascii="Calibri" w:hAnsi="Calibri" w:cs="Calibri"/>
          <w:sz w:val="24"/>
          <w:szCs w:val="24"/>
        </w:rPr>
        <w:t>” (NR)</w:t>
      </w:r>
    </w:p>
    <w:p w14:paraId="21190963" w14:textId="28636320" w:rsidR="00615E78" w:rsidRPr="00140E22" w:rsidRDefault="00A5035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137. A avaliação atuarial da retirada de patrocínio, para fins de apuração do resultado do plano objeto da retirada na data-base e na data do cálculo, deve considerar:” (NR)</w:t>
      </w:r>
    </w:p>
    <w:p w14:paraId="01DD7624" w14:textId="2698407C" w:rsidR="00A5035F" w:rsidRPr="00140E22" w:rsidRDefault="00160B3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D1289B" w:rsidRPr="00140E22">
        <w:rPr>
          <w:rFonts w:ascii="Calibri" w:hAnsi="Calibri" w:cs="Calibri"/>
          <w:sz w:val="24"/>
          <w:szCs w:val="24"/>
        </w:rPr>
        <w:t>I - os ativos pelo seu valor contábil;</w:t>
      </w:r>
    </w:p>
    <w:p w14:paraId="42FCB712" w14:textId="72D3728A" w:rsidR="00160B38" w:rsidRPr="00140E22" w:rsidRDefault="00160B38"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II - as provisões matemáticas de benefícios concedidos e a conceder calculadas considerando os critérios previstos nos incisos I, II e III do art. 7º da Resolução CNPC nº 59, de 2023; e</w:t>
      </w:r>
    </w:p>
    <w:p w14:paraId="280F049C" w14:textId="6FF5E04B" w:rsidR="00160B38" w:rsidRPr="00140E22" w:rsidRDefault="00196ED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III - as provisões matemáticas a constituir.</w:t>
      </w:r>
      <w:r w:rsidR="00F3401D" w:rsidRPr="00140E22">
        <w:rPr>
          <w:rFonts w:ascii="Calibri" w:hAnsi="Calibri" w:cs="Calibri"/>
          <w:sz w:val="24"/>
          <w:szCs w:val="24"/>
        </w:rPr>
        <w:t>” (NR)</w:t>
      </w:r>
    </w:p>
    <w:p w14:paraId="433A13DC" w14:textId="31D27EC6" w:rsidR="000D15F3" w:rsidRPr="00140E22" w:rsidRDefault="00F3401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D15F3" w:rsidRPr="00140E22">
        <w:rPr>
          <w:rFonts w:ascii="Calibri" w:hAnsi="Calibri" w:cs="Calibri"/>
          <w:sz w:val="24"/>
          <w:szCs w:val="24"/>
        </w:rPr>
        <w:t>§ 1º  Após a apuração das reservas matemáticas individuais, a EFPC deve apurar as reservas matemáticas individuais finais, por meio dos acréscimos ou deduções previstas nos incisos IV, V e VI do art. 7º, no art. 12 e no inciso III do art. 16, todos da Resolução CNPC nº 59, de 2023.</w:t>
      </w:r>
    </w:p>
    <w:p w14:paraId="3B45A544" w14:textId="60FAC206" w:rsidR="00615E78" w:rsidRPr="00140E22" w:rsidRDefault="0097680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2º  Na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r w:rsidR="00F3401D" w:rsidRPr="00140E22">
        <w:rPr>
          <w:rFonts w:ascii="Calibri" w:hAnsi="Calibri" w:cs="Calibri"/>
          <w:sz w:val="24"/>
          <w:szCs w:val="24"/>
        </w:rPr>
        <w:t>” (NR)</w:t>
      </w:r>
    </w:p>
    <w:p w14:paraId="1E6879A0" w14:textId="36184482" w:rsidR="0027300E" w:rsidRPr="00140E22" w:rsidRDefault="00F3401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7300E" w:rsidRPr="00140E22">
        <w:rPr>
          <w:rFonts w:ascii="Calibri" w:hAnsi="Calibri" w:cs="Calibri"/>
          <w:sz w:val="24"/>
          <w:szCs w:val="24"/>
        </w:rPr>
        <w:t>Art. 137  A.  A EFPC deve avaliar a viabilidade técnica e operacional de implantação do Plano Instituído de Preservação da Proteção Previdenciária, destinado a recepcionar os participantes e assistidos alcançados pela retirada de patrocínio.</w:t>
      </w:r>
      <w:r w:rsidR="00B2727C" w:rsidRPr="00140E22">
        <w:rPr>
          <w:rFonts w:ascii="Calibri" w:hAnsi="Calibri" w:cs="Calibri"/>
          <w:sz w:val="24"/>
          <w:szCs w:val="24"/>
        </w:rPr>
        <w:t>” (NR)</w:t>
      </w:r>
    </w:p>
    <w:p w14:paraId="1DF3BA2B" w14:textId="356CAD93" w:rsidR="00E968B8"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E968B8" w:rsidRPr="00140E22">
        <w:rPr>
          <w:rFonts w:ascii="Calibri" w:hAnsi="Calibri" w:cs="Calibri"/>
          <w:sz w:val="24"/>
          <w:szCs w:val="24"/>
        </w:rPr>
        <w:t xml:space="preserve">§ 1º </w:t>
      </w:r>
      <w:r w:rsidRPr="00140E22">
        <w:rPr>
          <w:rFonts w:ascii="Calibri" w:hAnsi="Calibri" w:cs="Calibri"/>
          <w:sz w:val="24"/>
          <w:szCs w:val="24"/>
        </w:rPr>
        <w:t xml:space="preserve"> </w:t>
      </w:r>
      <w:r w:rsidR="00E968B8" w:rsidRPr="00140E22">
        <w:rPr>
          <w:rFonts w:ascii="Calibri" w:hAnsi="Calibri" w:cs="Calibri"/>
          <w:sz w:val="24"/>
          <w:szCs w:val="24"/>
        </w:rPr>
        <w:t>A avaliação de que trata o caput deve ser conclusiva, considerando, no mínimo, os seguintes aspectos relativos aos participantes e assistidos alcançados pela retirada de patrocínio e respectivo patrimônio na retirada:</w:t>
      </w:r>
    </w:p>
    <w:p w14:paraId="57840DA4" w14:textId="6711039C" w:rsidR="001A20B5"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 </w:t>
      </w:r>
      <w:r w:rsidR="001A20B5" w:rsidRPr="00140E22">
        <w:rPr>
          <w:rFonts w:ascii="Calibri" w:hAnsi="Calibri" w:cs="Calibri"/>
          <w:sz w:val="24"/>
          <w:szCs w:val="24"/>
        </w:rPr>
        <w:t>o número de participantes e assistidos;</w:t>
      </w:r>
    </w:p>
    <w:p w14:paraId="3CE4E83E" w14:textId="39020037" w:rsidR="00536B1D" w:rsidRPr="00140E22" w:rsidRDefault="00536B1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b) o volume total de recursos, destacando: o exigível contingencial, o patrimônio social, o patrimônio de cobertura, as provisões matemáticas, os fundos previdenciais e o fundo para garantia das operações com participantes;</w:t>
      </w:r>
    </w:p>
    <w:p w14:paraId="6A87D72E" w14:textId="092CB38C" w:rsidR="00615E78" w:rsidRPr="00140E22" w:rsidRDefault="002D77B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c) os valores que serão destinados ao fundo administrativo registrado no plano de benefícios e sua capacidade de arcar com as despesas administrativas atribuídas ao plano;</w:t>
      </w:r>
    </w:p>
    <w:p w14:paraId="4EB46897" w14:textId="7A1D4564" w:rsidR="00D66D78" w:rsidRPr="00140E22" w:rsidRDefault="00D66D7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d) as despesas administrativas estimadas atribuídas ao plano, segregadas entre despesas para manutenção do plano e as despesas para administração da entidade;</w:t>
      </w:r>
    </w:p>
    <w:p w14:paraId="12C97BA7" w14:textId="56996AF1" w:rsidR="0067539A" w:rsidRPr="00140E22" w:rsidRDefault="0067539A"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e) as receitas administrativas estimadas, segregadas entre as fontes de receita previstas na legislação;</w:t>
      </w:r>
    </w:p>
    <w:p w14:paraId="08FC8C5A" w14:textId="5BA12007" w:rsidR="00506EDE" w:rsidRPr="00140E22" w:rsidRDefault="00506ED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f) a taxa de carregamento e a taxa de administração previstas no plano de custeio do plano de benefícios; e</w:t>
      </w:r>
    </w:p>
    <w:p w14:paraId="33375CB2" w14:textId="12C2A7B4" w:rsidR="00697CE4" w:rsidRPr="00140E22" w:rsidRDefault="00697CE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g) a estimativa de permanência de participantes e assistidos após o período de opção, devidamente fundamentada.</w:t>
      </w:r>
      <w:r w:rsidR="00924497" w:rsidRPr="00140E22">
        <w:rPr>
          <w:rFonts w:ascii="Calibri" w:hAnsi="Calibri" w:cs="Calibri"/>
          <w:sz w:val="24"/>
          <w:szCs w:val="24"/>
        </w:rPr>
        <w:t>” (NR)</w:t>
      </w:r>
    </w:p>
    <w:p w14:paraId="37A7D7E5" w14:textId="01522F18" w:rsidR="003A4BA4"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3A4BA4" w:rsidRPr="00140E22">
        <w:rPr>
          <w:rFonts w:ascii="Calibri" w:hAnsi="Calibri" w:cs="Calibri"/>
          <w:sz w:val="24"/>
          <w:szCs w:val="24"/>
        </w:rPr>
        <w:t>§ 2º  As informações de que trata o §1º devem estar posicionadas na data-base e ser projetadas para o prazo de, no mínimo, cinco anos</w:t>
      </w:r>
      <w:r w:rsidR="00C40E12" w:rsidRPr="00140E22">
        <w:rPr>
          <w:rFonts w:ascii="Calibri" w:hAnsi="Calibri" w:cs="Calibri"/>
          <w:sz w:val="24"/>
          <w:szCs w:val="24"/>
        </w:rPr>
        <w:t>.</w:t>
      </w:r>
      <w:r w:rsidRPr="00140E22">
        <w:rPr>
          <w:rFonts w:ascii="Calibri" w:hAnsi="Calibri" w:cs="Calibri"/>
          <w:sz w:val="24"/>
          <w:szCs w:val="24"/>
        </w:rPr>
        <w:t>” (NR)</w:t>
      </w:r>
    </w:p>
    <w:p w14:paraId="3C21035A" w14:textId="294A0709" w:rsidR="00C40E12"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C40E12" w:rsidRPr="00140E22">
        <w:rPr>
          <w:rFonts w:ascii="Calibri" w:hAnsi="Calibri" w:cs="Calibri"/>
          <w:sz w:val="24"/>
          <w:szCs w:val="24"/>
        </w:rPr>
        <w:t>§ 3º  Caso a avaliação de que trata o caput conclua pela viabilidade do plano, a EFPC deve protocolar, juntamente com o requerimento de retirada de patrocínio, requerimento de implantação do Plano Instituído de Preservação da Proteção Previdenciária.</w:t>
      </w:r>
      <w:r w:rsidRPr="00140E22">
        <w:rPr>
          <w:rFonts w:ascii="Calibri" w:hAnsi="Calibri" w:cs="Calibri"/>
          <w:sz w:val="24"/>
          <w:szCs w:val="24"/>
        </w:rPr>
        <w:t>” (NR)</w:t>
      </w:r>
    </w:p>
    <w:p w14:paraId="4CC85CB9" w14:textId="752B59E6" w:rsidR="00BC5CB6"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BC5CB6" w:rsidRPr="00140E22">
        <w:rPr>
          <w:rFonts w:ascii="Calibri" w:hAnsi="Calibri" w:cs="Calibri"/>
          <w:sz w:val="24"/>
          <w:szCs w:val="24"/>
        </w:rPr>
        <w:t>§ 4º  Caso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r w:rsidRPr="00140E22">
        <w:rPr>
          <w:rFonts w:ascii="Calibri" w:hAnsi="Calibri" w:cs="Calibri"/>
          <w:sz w:val="24"/>
          <w:szCs w:val="24"/>
        </w:rPr>
        <w:t>” (NR)</w:t>
      </w:r>
    </w:p>
    <w:p w14:paraId="5D8BA296" w14:textId="717E1E47" w:rsidR="002D77BF"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57B11" w:rsidRPr="00140E22">
        <w:rPr>
          <w:rFonts w:ascii="Calibri" w:hAnsi="Calibri" w:cs="Calibri"/>
          <w:sz w:val="24"/>
          <w:szCs w:val="24"/>
        </w:rPr>
        <w:t>I - a EFPC administradora do plano objeto de retirada deve protocolar, juntamente com o requerimento de retirada de patrocínio, requerimento de alteração de regulamento de plano de benefícios instituído já existente sob sua administração;</w:t>
      </w:r>
    </w:p>
    <w:p w14:paraId="79D2D4A9" w14:textId="2835580C" w:rsidR="00604D92" w:rsidRPr="00140E22" w:rsidRDefault="00604D9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 - outra EFPC deve protocolar, na mesma data do protocolo da retirada de patrocínio, requerimento de implantação do Plano Instituído de Preservação da Proteção Previdenciária, desde que o plano seja considerado viável, nos termos do §1º; ou</w:t>
      </w:r>
    </w:p>
    <w:p w14:paraId="70D69F9C" w14:textId="31FB06A2" w:rsidR="00F94DD6" w:rsidRPr="00140E22" w:rsidRDefault="00F94DD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III - outra EFPC deve protocolar, na mesma data do protocolo da retirada de patrocínio, requerimento de alteração de regulamento de plano instituído já existente sob sua administração.</w:t>
      </w:r>
      <w:r w:rsidR="00924497" w:rsidRPr="00140E22">
        <w:rPr>
          <w:rFonts w:ascii="Calibri" w:hAnsi="Calibri" w:cs="Calibri"/>
          <w:sz w:val="24"/>
          <w:szCs w:val="24"/>
        </w:rPr>
        <w:t>” (NR)</w:t>
      </w:r>
    </w:p>
    <w:p w14:paraId="731A886E" w14:textId="18816BA0" w:rsidR="00F3401D"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3401D" w:rsidRPr="00140E22">
        <w:rPr>
          <w:rFonts w:ascii="Calibri" w:hAnsi="Calibri" w:cs="Calibri"/>
          <w:sz w:val="24"/>
          <w:szCs w:val="24"/>
        </w:rPr>
        <w:t>§ 5º  A viabilidade do Plano Instituído de Preservação da Proteção Previdenciária, caso implantado, deve ser avaliada novamente no prazo de noventa dias contados da data da conclusão da retirada, devendo a EFPC, no caso de constatada sua não viabilidade, adotar uma das opções de que trata o § 4º.”</w:t>
      </w:r>
      <w:r w:rsidR="00B2727C" w:rsidRPr="00140E22">
        <w:rPr>
          <w:rFonts w:ascii="Calibri" w:hAnsi="Calibri" w:cs="Calibri"/>
          <w:sz w:val="24"/>
          <w:szCs w:val="24"/>
        </w:rPr>
        <w:t xml:space="preserve"> (NR)</w:t>
      </w:r>
    </w:p>
    <w:p w14:paraId="65746BA6" w14:textId="613EFCE5" w:rsidR="000256DE" w:rsidRPr="00140E22" w:rsidRDefault="00B84093"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b/>
          <w:bCs/>
          <w:sz w:val="24"/>
          <w:szCs w:val="24"/>
        </w:rPr>
        <w:t>“</w:t>
      </w:r>
      <w:r w:rsidR="000256DE" w:rsidRPr="00140E22">
        <w:rPr>
          <w:rFonts w:ascii="Calibri" w:hAnsi="Calibri" w:cs="Calibri"/>
          <w:b/>
          <w:bCs/>
          <w:sz w:val="24"/>
          <w:szCs w:val="24"/>
        </w:rPr>
        <w:t>Procedimentos Posteriores à data de autorização e até a data efetiva</w:t>
      </w:r>
      <w:r w:rsidRPr="00140E22">
        <w:rPr>
          <w:rFonts w:ascii="Calibri" w:hAnsi="Calibri" w:cs="Calibri"/>
          <w:b/>
          <w:bCs/>
          <w:sz w:val="24"/>
          <w:szCs w:val="24"/>
        </w:rPr>
        <w:t>”</w:t>
      </w:r>
      <w:r w:rsidR="000256DE" w:rsidRPr="00140E22">
        <w:rPr>
          <w:rFonts w:ascii="Calibri" w:hAnsi="Calibri" w:cs="Calibri"/>
          <w:b/>
          <w:bCs/>
          <w:sz w:val="24"/>
          <w:szCs w:val="24"/>
        </w:rPr>
        <w:t xml:space="preserve"> </w:t>
      </w:r>
      <w:r w:rsidR="000256DE" w:rsidRPr="00140E22">
        <w:rPr>
          <w:rFonts w:ascii="Calibri" w:hAnsi="Calibri" w:cs="Calibri"/>
          <w:sz w:val="24"/>
          <w:szCs w:val="24"/>
        </w:rPr>
        <w:t>(NR)</w:t>
      </w:r>
    </w:p>
    <w:p w14:paraId="08B308FA" w14:textId="3E9DAD0A" w:rsidR="00D95BBD" w:rsidRPr="00140E22" w:rsidRDefault="00B84093"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137 - B.  Nos casos em que o plano de benefícios objeto da retirada oferecer benefícios programados ou não programados na forma de renda vitalícia, o Fundo Previdencial de Proteção à Longevidade para a cobertura de sobrevivência deve ser constituído, na data efetiva, no plano que recepcionar os participantes e assistidos alcançados pela retirada de patrocínio.” (NR)</w:t>
      </w:r>
    </w:p>
    <w:p w14:paraId="32F7C153" w14:textId="74F914DA" w:rsidR="00B84093" w:rsidRPr="00140E22" w:rsidRDefault="004D79B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“Parágrafo único. O fundo de que trata o caput deve ter caráter atuarial e mutualista, de responsabilidade exclusiva dos participantes e assistidos envolvidos na retirada, a partir de sua constituição, e a sua viabilidade atuarial deve ser apurada pelo responsável técnico pelo novo plano, em, no máximo, noventa dias contados da data de efetivação das opções dos participantes e assistidos.” (NR)</w:t>
      </w:r>
    </w:p>
    <w:p w14:paraId="43334664" w14:textId="77777777" w:rsidR="00087EC0" w:rsidRPr="00140E22" w:rsidRDefault="00B3319C"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“Art. 137 - C.  Os valores do fundo para garantia das operações com participantes, se houver, devem ser destinados exclusivamente aos participantes e assistidos que possuem operações de empréstimos ou financiamentos, considerando o critério estabelecido no termo de retirada de patrocínio.” (NR)</w:t>
      </w:r>
    </w:p>
    <w:p w14:paraId="17D99613" w14:textId="77777777" w:rsidR="00087EC0" w:rsidRPr="00140E22" w:rsidRDefault="00087EC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138. ...</w:t>
      </w:r>
    </w:p>
    <w:p w14:paraId="7CA2FF40" w14:textId="77777777" w:rsidR="00087EC0" w:rsidRPr="00140E22" w:rsidRDefault="00087EC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3CAA4BF7" w14:textId="00C0B9D9" w:rsidR="00087EC0" w:rsidRPr="00140E22" w:rsidRDefault="00900D73"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13214" w:rsidRPr="00140E22">
        <w:rPr>
          <w:rFonts w:ascii="Calibri" w:hAnsi="Calibri" w:cs="Calibri"/>
          <w:sz w:val="24"/>
          <w:szCs w:val="24"/>
        </w:rPr>
        <w:t>II - dos critérios de rateio do fundo administrativo, da reserva especial ou do déficit técnico, apurados na avaliação atuarial de retirada de patrocínio, entre patrocinador retirante, de um lado, e respectivos participantes e assistidos, de outro, nos termos da legislação aplicável;</w:t>
      </w:r>
      <w:r w:rsidRPr="00140E22">
        <w:rPr>
          <w:rFonts w:ascii="Calibri" w:hAnsi="Calibri" w:cs="Calibri"/>
          <w:sz w:val="24"/>
          <w:szCs w:val="24"/>
        </w:rPr>
        <w:t>” (NR)</w:t>
      </w:r>
    </w:p>
    <w:p w14:paraId="18A516E6" w14:textId="21FE25B6" w:rsidR="00900D73" w:rsidRPr="00140E22" w:rsidRDefault="00F76D9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“III- dos critérios de individualização dos fundos previdenciais, quando houver, apurados na avaliação atuarial de retirada de patrocínio, entre participantes e assistidos, no caso em que o plano de benefícios objeto de retirada de patrocínio oferecer somente benefícios estruturados em saldo de conta individual;” (NR)</w:t>
      </w:r>
    </w:p>
    <w:p w14:paraId="686834CA" w14:textId="39A1A8A1" w:rsidR="00F33D91" w:rsidRPr="00140E22" w:rsidRDefault="00F33D91"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“V - da responsabilidade do patrocinador retirante e da EFPC sobre demandas judiciais ou extrajudiciais relacionadas ao plano de benefícios ocorridas após a data do cálculo;” (NR)</w:t>
      </w:r>
    </w:p>
    <w:p w14:paraId="2CD6E69E" w14:textId="4ECA1BB0" w:rsidR="00F33D91" w:rsidRPr="00140E22" w:rsidRDefault="009D57C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“VI - o prazo para:</w:t>
      </w:r>
      <w:r w:rsidR="002011FB" w:rsidRPr="00140E22">
        <w:rPr>
          <w:rFonts w:ascii="Calibri" w:hAnsi="Calibri" w:cs="Calibri"/>
          <w:sz w:val="24"/>
          <w:szCs w:val="24"/>
        </w:rPr>
        <w:t>” (NR)</w:t>
      </w:r>
      <w:r w:rsidRPr="00140E22">
        <w:rPr>
          <w:rFonts w:ascii="Calibri" w:hAnsi="Calibri" w:cs="Calibri"/>
          <w:sz w:val="24"/>
          <w:szCs w:val="24"/>
        </w:rPr>
        <w:t xml:space="preserve"> </w:t>
      </w:r>
    </w:p>
    <w:p w14:paraId="43C7E082" w14:textId="57DEF77A" w:rsidR="009D57C2" w:rsidRPr="00140E22" w:rsidRDefault="002011F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A1A8A" w:rsidRPr="00140E22">
        <w:rPr>
          <w:rFonts w:ascii="Calibri" w:hAnsi="Calibri" w:cs="Calibri"/>
          <w:sz w:val="24"/>
          <w:szCs w:val="24"/>
        </w:rPr>
        <w:t xml:space="preserve">a) </w:t>
      </w:r>
      <w:r w:rsidR="001E6E47" w:rsidRPr="00140E22">
        <w:rPr>
          <w:rFonts w:ascii="Calibri" w:hAnsi="Calibri" w:cs="Calibri"/>
          <w:sz w:val="24"/>
          <w:szCs w:val="24"/>
        </w:rPr>
        <w:t>comunicação aos participantes, aos assistidos e aos patrocinadores do plano sobre a autorização da retirada de patrocínio pela Previc que deve ser de no máximo dez dias úteis, contados da data de autorização;</w:t>
      </w:r>
      <w:r w:rsidRPr="00140E22">
        <w:rPr>
          <w:rFonts w:ascii="Calibri" w:hAnsi="Calibri" w:cs="Calibri"/>
          <w:sz w:val="24"/>
          <w:szCs w:val="24"/>
        </w:rPr>
        <w:t>” (NR)</w:t>
      </w:r>
    </w:p>
    <w:p w14:paraId="48CA7766" w14:textId="4A30FCBD" w:rsidR="008A1A8A" w:rsidRPr="00140E22" w:rsidRDefault="002011F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A1A8A" w:rsidRPr="00140E22">
        <w:rPr>
          <w:rFonts w:ascii="Calibri" w:hAnsi="Calibri" w:cs="Calibri"/>
          <w:sz w:val="24"/>
          <w:szCs w:val="24"/>
        </w:rPr>
        <w:t>b) quitação dos valores correspondentes às seguintes responsabilidades do patrocinador em face da retirada de patrocínio, que deve ser de no máximo trinta dias antes da data efetiva:</w:t>
      </w:r>
    </w:p>
    <w:p w14:paraId="70EBDC5D" w14:textId="2371D745" w:rsidR="00C613DF" w:rsidRPr="00140E22" w:rsidRDefault="00C613D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1. diferença a menor entre o valor contabilizado dos ativos, na data do cálculo, e sua posterior realização;</w:t>
      </w:r>
    </w:p>
    <w:p w14:paraId="5607CBE0" w14:textId="04252C77" w:rsidR="000C5669" w:rsidRPr="00140E22" w:rsidRDefault="000C566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2. diferença de custos decorrente da reavaliação das reservas matemáticas individuais dos assistidos;</w:t>
      </w:r>
    </w:p>
    <w:p w14:paraId="56C58082" w14:textId="77FE7C4E" w:rsidR="00F76D9D" w:rsidRPr="00140E22" w:rsidRDefault="00C3788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3. parcela do valor presente das contribuições normais futuras dos assistidos, de responsabilidade do patrocinador retirante;</w:t>
      </w:r>
    </w:p>
    <w:p w14:paraId="4E0EFCC9" w14:textId="300489CE" w:rsidR="008E3D64" w:rsidRPr="00140E22" w:rsidRDefault="008E3D6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4. diferença entre as reservas matemáticas individualmente apuradas na avaliação atuarial de retirada e o montante do seu recálculo considerando a tábua biométrica de mortalidade geral vigente no plano de benefícios, com aplicação da escala geracional AA; e</w:t>
      </w:r>
    </w:p>
    <w:p w14:paraId="3EA626E6" w14:textId="05EDCFA5" w:rsidR="0086012B" w:rsidRPr="00140E22" w:rsidRDefault="0086012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5. dívidas contratadas, provisões a constituir, parcela do déficit apurado e outras dívidas e compromissos assumidos com o plano objeto da retirada ou com a entidade</w:t>
      </w:r>
      <w:r w:rsidR="002011FB" w:rsidRPr="00140E22">
        <w:rPr>
          <w:rFonts w:ascii="Calibri" w:hAnsi="Calibri" w:cs="Calibri"/>
          <w:sz w:val="24"/>
          <w:szCs w:val="24"/>
        </w:rPr>
        <w:t>.”</w:t>
      </w:r>
      <w:r w:rsidR="001A6022" w:rsidRPr="00140E22">
        <w:rPr>
          <w:rFonts w:ascii="Calibri" w:hAnsi="Calibri" w:cs="Calibri"/>
          <w:sz w:val="24"/>
          <w:szCs w:val="24"/>
        </w:rPr>
        <w:t xml:space="preserve"> (NR)</w:t>
      </w:r>
    </w:p>
    <w:p w14:paraId="3D7DB3F4" w14:textId="66B996E7" w:rsidR="002011FB" w:rsidRPr="00140E22" w:rsidRDefault="001A602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011FB" w:rsidRPr="00140E22">
        <w:rPr>
          <w:rFonts w:ascii="Calibri" w:hAnsi="Calibri" w:cs="Calibri"/>
          <w:sz w:val="24"/>
          <w:szCs w:val="24"/>
        </w:rPr>
        <w:t>c) disponibilização dos termos de opção, bem como do regulamento do plano instituído que recepcionará os participantes e assistidos alcançados pela retirada de patrocínio que deve ser de no mínimo trinta dias antes da data efetiva; e</w:t>
      </w:r>
      <w:r w:rsidRPr="00140E22">
        <w:rPr>
          <w:rFonts w:ascii="Calibri" w:hAnsi="Calibri" w:cs="Calibri"/>
          <w:sz w:val="24"/>
          <w:szCs w:val="24"/>
        </w:rPr>
        <w:t>” (NR)</w:t>
      </w:r>
    </w:p>
    <w:p w14:paraId="53AB907D" w14:textId="77D2EFA9" w:rsidR="003C3B34" w:rsidRPr="00140E22" w:rsidRDefault="003C3B3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d) definição da data efetiva que deve ser de no máximo cento e vinte dias contados da data do cálculo;</w:t>
      </w:r>
    </w:p>
    <w:p w14:paraId="10FC5573" w14:textId="3B66E78E" w:rsidR="00A264BF" w:rsidRPr="00140E22" w:rsidRDefault="00A264B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e) o período de opção que deve ser de cento e vinte dias contados da data efetiva;</w:t>
      </w:r>
    </w:p>
    <w:p w14:paraId="783C90EA" w14:textId="469060AF" w:rsidR="0019406A" w:rsidRPr="00140E22" w:rsidRDefault="0019406A"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f) efetivação das opções dos participantes e assistidos que deve ser de no máximo sessenta dias contados da data final do período de opção;</w:t>
      </w:r>
    </w:p>
    <w:p w14:paraId="18C60CB6" w14:textId="77777777" w:rsidR="00F929E5" w:rsidRPr="00140E22" w:rsidRDefault="00F929E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g) avaliação da viabilidade atuarial do Fundo Previdencial de Proteção à Longevidade que deve ser de no máximo noventa dias contados da data de efetivação das opções dos participantes e assistidos;</w:t>
      </w:r>
    </w:p>
    <w:p w14:paraId="2A555B2E" w14:textId="09384480" w:rsidR="002F1205" w:rsidRPr="00140E22" w:rsidRDefault="002F120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h) crédito dos recursos do Fundo Previdencial de Proteção à Longevidade na conta individual dos participantes e assistidos, na hipótese de conclusão da não viabilidade atuarial do referido fundo, quando for o caso, que deve ser  de no máximo  trinta dias contados da avaliação de viabilidade; e</w:t>
      </w:r>
    </w:p>
    <w:p w14:paraId="4B8BCF02" w14:textId="4D9163E8" w:rsidR="00F372E4" w:rsidRPr="00140E22" w:rsidRDefault="00F372E4"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i) quitação das despesas administrativas relativas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Previdencial de Proteção à Longevidade, quando couber, que deve ocorrer até a data da conclusão da retirada.</w:t>
      </w:r>
    </w:p>
    <w:p w14:paraId="64132A89" w14:textId="6516AFEB" w:rsidR="00F372E4"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1A29B0" w:rsidRPr="00140E22">
        <w:rPr>
          <w:rFonts w:ascii="Calibri" w:hAnsi="Calibri" w:cs="Calibri"/>
          <w:sz w:val="24"/>
          <w:szCs w:val="24"/>
        </w:rPr>
        <w:t>VII - das opções oferecidas aos participantes e assistidos vinculados ao (s) patrocinador(es) retirante(s);</w:t>
      </w:r>
      <w:r w:rsidRPr="00140E22">
        <w:rPr>
          <w:rFonts w:ascii="Calibri" w:hAnsi="Calibri" w:cs="Calibri"/>
          <w:sz w:val="24"/>
          <w:szCs w:val="24"/>
        </w:rPr>
        <w:t>” (NR)</w:t>
      </w:r>
    </w:p>
    <w:p w14:paraId="02078248" w14:textId="3FC85B0C" w:rsidR="00452A29"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452A29" w:rsidRPr="00140E22">
        <w:rPr>
          <w:rFonts w:ascii="Calibri" w:hAnsi="Calibri" w:cs="Calibri"/>
          <w:sz w:val="24"/>
          <w:szCs w:val="24"/>
        </w:rPr>
        <w:t>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r w:rsidR="00AA73F4" w:rsidRPr="00140E22">
        <w:rPr>
          <w:rFonts w:ascii="Calibri" w:hAnsi="Calibri" w:cs="Calibri"/>
          <w:sz w:val="24"/>
          <w:szCs w:val="24"/>
        </w:rPr>
        <w:t>;</w:t>
      </w:r>
      <w:r w:rsidRPr="00140E22">
        <w:rPr>
          <w:rFonts w:ascii="Calibri" w:hAnsi="Calibri" w:cs="Calibri"/>
          <w:sz w:val="24"/>
          <w:szCs w:val="24"/>
        </w:rPr>
        <w:t>” (NR)</w:t>
      </w:r>
    </w:p>
    <w:p w14:paraId="38E20A83" w14:textId="4FAED753" w:rsidR="00AA73F4"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AA73F4" w:rsidRPr="00140E22">
        <w:rPr>
          <w:rFonts w:ascii="Calibri" w:hAnsi="Calibri" w:cs="Calibri"/>
          <w:sz w:val="24"/>
          <w:szCs w:val="24"/>
        </w:rPr>
        <w:t>IX - da constituição do Fundo Previdencial de Proteção da Longevidade, quando for o caso;</w:t>
      </w:r>
      <w:r w:rsidRPr="00140E22">
        <w:rPr>
          <w:rFonts w:ascii="Calibri" w:hAnsi="Calibri" w:cs="Calibri"/>
          <w:sz w:val="24"/>
          <w:szCs w:val="24"/>
        </w:rPr>
        <w:t>” (NR)</w:t>
      </w:r>
    </w:p>
    <w:p w14:paraId="5E322349" w14:textId="0ECAF8FD" w:rsidR="004A0DA6"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4A0DA6" w:rsidRPr="00140E22">
        <w:rPr>
          <w:rFonts w:ascii="Calibri" w:hAnsi="Calibri" w:cs="Calibri"/>
          <w:sz w:val="24"/>
          <w:szCs w:val="24"/>
        </w:rPr>
        <w:t>X - da constituição do fundo administrativo no plano que recepcionar os participantes e assistidos alcançados pela retirada de patrocínio, quando for o caso;</w:t>
      </w:r>
      <w:r w:rsidR="00CF713F" w:rsidRPr="00140E22">
        <w:rPr>
          <w:rFonts w:ascii="Calibri" w:hAnsi="Calibri" w:cs="Calibri"/>
          <w:sz w:val="24"/>
          <w:szCs w:val="24"/>
        </w:rPr>
        <w:t>” (NR)</w:t>
      </w:r>
    </w:p>
    <w:p w14:paraId="2FB568C6" w14:textId="14F828D9" w:rsidR="000D53B0" w:rsidRPr="00140E22" w:rsidRDefault="00CF713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D53B0" w:rsidRPr="00140E22">
        <w:rPr>
          <w:rFonts w:ascii="Calibri" w:hAnsi="Calibri" w:cs="Calibri"/>
          <w:sz w:val="24"/>
          <w:szCs w:val="24"/>
        </w:rPr>
        <w:t>XI - do critério de individualização do déficit técnico, apurado na avaliação atuarial de retirada de patrocínio, entre participantes e assistidos, nos termos da legislação aplicável;</w:t>
      </w:r>
      <w:r w:rsidRPr="00140E22">
        <w:rPr>
          <w:rFonts w:ascii="Calibri" w:hAnsi="Calibri" w:cs="Calibri"/>
          <w:sz w:val="24"/>
          <w:szCs w:val="24"/>
        </w:rPr>
        <w:t>” (NR)</w:t>
      </w:r>
    </w:p>
    <w:p w14:paraId="6A5DBE22" w14:textId="77960028" w:rsidR="000330E5" w:rsidRPr="00140E22" w:rsidRDefault="005604E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330E5" w:rsidRPr="00140E22">
        <w:rPr>
          <w:rFonts w:ascii="Calibri" w:hAnsi="Calibri" w:cs="Calibri"/>
          <w:sz w:val="24"/>
          <w:szCs w:val="24"/>
        </w:rPr>
        <w:t>XIII - do critério de destinação e rateio, quando for o caso, dos valores do fundo para garantia das operações com participantes, quando existente;</w:t>
      </w:r>
      <w:r w:rsidRPr="00140E22">
        <w:rPr>
          <w:rFonts w:ascii="Calibri" w:hAnsi="Calibri" w:cs="Calibri"/>
          <w:sz w:val="24"/>
          <w:szCs w:val="24"/>
        </w:rPr>
        <w:t>” (NR)</w:t>
      </w:r>
    </w:p>
    <w:p w14:paraId="36D52EF1" w14:textId="16A49B50" w:rsidR="002526E0"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“Parágrafo único.  Na hipótese de o plano instituído receptor dos participantes e assistidos alcançados pela retirada de patrocínio ser administrado por outra EFPC, esta entidade também deverá constar como parte do termo de retirada.” (NR)</w:t>
      </w:r>
    </w:p>
    <w:p w14:paraId="4CE4305E" w14:textId="7823DCD1" w:rsidR="00217258" w:rsidRPr="00140E22" w:rsidRDefault="00217258"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139. A EFPC deve comunicar aos participantes, aos assistidos e aos patrocinadores do plano a autorização da retirada de patrocínio pela Previc e os prazos para os procedimentos subsequentes, no prazo de dez dias úteis contados da data de autorização.” (NR)</w:t>
      </w:r>
    </w:p>
    <w:p w14:paraId="311A76F1" w14:textId="32F6B424" w:rsidR="00E2789A" w:rsidRPr="00140E22" w:rsidRDefault="00E2789A"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140. ...</w:t>
      </w:r>
    </w:p>
    <w:p w14:paraId="17657103" w14:textId="0C8AF8F8" w:rsidR="00E2789A" w:rsidRPr="00140E22" w:rsidRDefault="008E095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5D9EAF92" w14:textId="4D6D3C13" w:rsidR="008E095E" w:rsidRPr="00140E22" w:rsidRDefault="005E509A"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“VI - os esclarecimentos necessários sobre a possibilidade de recebimento, no futuro, de valor decorrente de patrimônio retido para cobertura de exigível contingencial do plano de benefícios, caso permaneça no plano;” (NR)</w:t>
      </w:r>
    </w:p>
    <w:p w14:paraId="790B48AD" w14:textId="2FFE7CFB" w:rsidR="005E509A" w:rsidRPr="00140E22" w:rsidRDefault="00D01A13"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 (NR)</w:t>
      </w:r>
    </w:p>
    <w:p w14:paraId="0F0C32FC" w14:textId="467654B1" w:rsidR="00D01A13" w:rsidRPr="00140E22" w:rsidRDefault="004B7996" w:rsidP="007C3D89">
      <w:pPr>
        <w:tabs>
          <w:tab w:val="left" w:pos="0"/>
        </w:tabs>
        <w:spacing w:after="120" w:line="240" w:lineRule="auto"/>
        <w:ind w:left="-284" w:right="-1135"/>
        <w:jc w:val="both"/>
        <w:rPr>
          <w:rFonts w:ascii="Calibri" w:hAnsi="Calibri" w:cs="Calibri"/>
          <w:sz w:val="24"/>
          <w:szCs w:val="24"/>
          <w:shd w:val="clear" w:color="auto" w:fill="FFFFFF"/>
        </w:rPr>
      </w:pPr>
      <w:r w:rsidRPr="00140E22">
        <w:rPr>
          <w:rFonts w:ascii="Calibri" w:hAnsi="Calibri" w:cs="Calibri"/>
          <w:sz w:val="24"/>
          <w:szCs w:val="24"/>
          <w:shd w:val="clear" w:color="auto" w:fill="FFFFFF"/>
        </w:rPr>
        <w:t>“VIII - informação sobre a constituição do Fundo Previdencial de Proteção à Longevidade para a cobertura de sobrevivência, quando for o caso, e os procedimentos previstos nos §§ 4º ao 6º do art. 11 da Resolução CNPC nº 59, de 13 de dezembro de 2023;” (NR)</w:t>
      </w:r>
    </w:p>
    <w:p w14:paraId="241FD9DE" w14:textId="391ADEC1" w:rsidR="002A7FA9" w:rsidRPr="00140E22" w:rsidRDefault="00C163B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A7FA9" w:rsidRPr="00140E22">
        <w:rPr>
          <w:rFonts w:ascii="Calibri" w:hAnsi="Calibri" w:cs="Calibri"/>
          <w:sz w:val="24"/>
          <w:szCs w:val="24"/>
        </w:rPr>
        <w:t>§ 1º  O termo de que trata o caput deve ser disponibilizado ao participante ou assistido, no mínimo, trinta dias antes da data efetiva.</w:t>
      </w:r>
      <w:r w:rsidRPr="00140E22">
        <w:rPr>
          <w:rFonts w:ascii="Calibri" w:hAnsi="Calibri" w:cs="Calibri"/>
          <w:sz w:val="24"/>
          <w:szCs w:val="24"/>
        </w:rPr>
        <w:t>” (NR)</w:t>
      </w:r>
    </w:p>
    <w:p w14:paraId="71687114" w14:textId="50278C83" w:rsidR="00573E8F" w:rsidRPr="00140E22" w:rsidRDefault="00347698"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w:t>
      </w:r>
      <w:r w:rsidR="00573E8F" w:rsidRPr="00140E22">
        <w:rPr>
          <w:rFonts w:ascii="Calibri" w:hAnsi="Calibri" w:cs="Calibri"/>
          <w:sz w:val="24"/>
          <w:szCs w:val="24"/>
        </w:rPr>
        <w:t xml:space="preserve">Art. 140 - A.  A EFPC deve disponibilizar o regulamento do plano de benefícios instituído, </w:t>
      </w:r>
      <w:r w:rsidR="00573E8F" w:rsidRPr="00140E22">
        <w:rPr>
          <w:rFonts w:ascii="Calibri" w:hAnsi="Calibri" w:cs="Calibri"/>
          <w:sz w:val="24"/>
          <w:szCs w:val="24"/>
          <w:shd w:val="clear" w:color="auto" w:fill="FFFFFF"/>
        </w:rPr>
        <w:t>destinado a recepcionar os participantes e assistidos alcançados pela retirada de patrocínio,</w:t>
      </w:r>
      <w:r w:rsidR="00573E8F" w:rsidRPr="00140E22">
        <w:rPr>
          <w:rFonts w:ascii="Calibri" w:hAnsi="Calibri" w:cs="Calibri"/>
          <w:sz w:val="24"/>
          <w:szCs w:val="24"/>
        </w:rPr>
        <w:t xml:space="preserve"> acompanhado de materiais explicativos que descrevam as características gerais do plano de benefícios e o perfil de investimento, quando for o caso, no mínimo, trinta dias antes da data efetiva.</w:t>
      </w:r>
      <w:r w:rsidRPr="00140E22">
        <w:rPr>
          <w:rFonts w:ascii="Calibri" w:hAnsi="Calibri" w:cs="Calibri"/>
          <w:sz w:val="24"/>
          <w:szCs w:val="24"/>
        </w:rPr>
        <w:t>” (NR)</w:t>
      </w:r>
    </w:p>
    <w:p w14:paraId="5CB1D2D9" w14:textId="788612EA" w:rsidR="00347698" w:rsidRPr="00140E22" w:rsidRDefault="004B04C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b/>
          <w:bCs/>
          <w:sz w:val="24"/>
          <w:szCs w:val="24"/>
        </w:rPr>
        <w:t xml:space="preserve">“Procedimentos Posteriores à Data Efetiva” </w:t>
      </w:r>
      <w:r w:rsidRPr="00140E22">
        <w:rPr>
          <w:rFonts w:ascii="Calibri" w:hAnsi="Calibri" w:cs="Calibri"/>
          <w:sz w:val="24"/>
          <w:szCs w:val="24"/>
        </w:rPr>
        <w:t>(NR)</w:t>
      </w:r>
    </w:p>
    <w:p w14:paraId="36B24E1F" w14:textId="5F7A1B47" w:rsidR="002E7B16" w:rsidRPr="00140E22" w:rsidRDefault="003531A3"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141. </w:t>
      </w:r>
      <w:r w:rsidR="008361D9" w:rsidRPr="00140E22">
        <w:rPr>
          <w:rFonts w:ascii="Calibri" w:hAnsi="Calibri" w:cs="Calibri"/>
          <w:sz w:val="24"/>
          <w:szCs w:val="24"/>
        </w:rPr>
        <w:t xml:space="preserve"> </w:t>
      </w:r>
      <w:r w:rsidRPr="00140E22">
        <w:rPr>
          <w:rFonts w:ascii="Calibri" w:hAnsi="Calibri" w:cs="Calibri"/>
          <w:sz w:val="24"/>
          <w:szCs w:val="24"/>
        </w:rPr>
        <w:t>A EFPC deve adotar os procedimentos necessários à conclusão da retirada de patrocínio, providenciando:</w:t>
      </w:r>
    </w:p>
    <w:p w14:paraId="10C4C03E" w14:textId="0F7FD8F1" w:rsidR="003531A3" w:rsidRPr="00140E22" w:rsidRDefault="002E7B1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I - a liquidação do direito dos participantes e assistidos, pela efetivação das suas opções; e</w:t>
      </w:r>
    </w:p>
    <w:p w14:paraId="47CE0D06" w14:textId="79BDA38A" w:rsidR="00ED4532" w:rsidRPr="00140E22" w:rsidRDefault="00ED4532" w:rsidP="007C3D89">
      <w:pPr>
        <w:tabs>
          <w:tab w:val="left" w:pos="0"/>
        </w:tabs>
        <w:spacing w:after="120" w:line="240" w:lineRule="auto"/>
        <w:ind w:left="-284" w:right="-1135"/>
        <w:jc w:val="both"/>
        <w:rPr>
          <w:rStyle w:val="cf01"/>
          <w:rFonts w:ascii="Calibri" w:eastAsiaTheme="majorEastAsia" w:hAnsi="Calibri" w:cs="Calibri"/>
          <w:sz w:val="24"/>
          <w:szCs w:val="24"/>
        </w:rPr>
      </w:pPr>
      <w:r w:rsidRPr="00140E22">
        <w:rPr>
          <w:rFonts w:ascii="Calibri" w:hAnsi="Calibri" w:cs="Calibri"/>
          <w:sz w:val="24"/>
          <w:szCs w:val="24"/>
        </w:rPr>
        <w:t xml:space="preserve">II - </w:t>
      </w:r>
      <w:r w:rsidRPr="00140E22">
        <w:rPr>
          <w:rStyle w:val="cf01"/>
          <w:rFonts w:ascii="Calibri" w:eastAsiaTheme="majorEastAsia" w:hAnsi="Calibri" w:cs="Calibri"/>
          <w:sz w:val="24"/>
          <w:szCs w:val="24"/>
        </w:rPr>
        <w:t xml:space="preserve">a avaliação de viabilidade atuarial do </w:t>
      </w:r>
      <w:r w:rsidRPr="00140E22">
        <w:rPr>
          <w:rFonts w:ascii="Calibri" w:hAnsi="Calibri" w:cs="Calibri"/>
          <w:sz w:val="24"/>
          <w:szCs w:val="24"/>
          <w:shd w:val="clear" w:color="auto" w:fill="FFFFFF"/>
        </w:rPr>
        <w:t xml:space="preserve">Fundo Previdencial de Proteção à Longevidade </w:t>
      </w:r>
      <w:r w:rsidRPr="00140E22">
        <w:rPr>
          <w:rStyle w:val="cf01"/>
          <w:rFonts w:ascii="Calibri" w:eastAsiaTheme="majorEastAsia" w:hAnsi="Calibri" w:cs="Calibri"/>
          <w:sz w:val="24"/>
          <w:szCs w:val="24"/>
        </w:rPr>
        <w:t>e os procedimentos dispostos nos § 5º do art. 11 da Resolução CNPC nº 59, de 2023.</w:t>
      </w:r>
      <w:r w:rsidR="00953EBE" w:rsidRPr="00140E22">
        <w:rPr>
          <w:rStyle w:val="cf01"/>
          <w:rFonts w:ascii="Calibri" w:eastAsiaTheme="majorEastAsia" w:hAnsi="Calibri" w:cs="Calibri"/>
          <w:sz w:val="24"/>
          <w:szCs w:val="24"/>
        </w:rPr>
        <w:t>” (NR)</w:t>
      </w:r>
    </w:p>
    <w:p w14:paraId="536CD979" w14:textId="5EC5FD00" w:rsidR="002A52CF" w:rsidRPr="00140E22" w:rsidRDefault="002A52C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 2º </w:t>
      </w:r>
      <w:r w:rsidR="00011C9F" w:rsidRPr="00140E22">
        <w:rPr>
          <w:rFonts w:ascii="Calibri" w:hAnsi="Calibri" w:cs="Calibri"/>
          <w:sz w:val="24"/>
          <w:szCs w:val="24"/>
        </w:rPr>
        <w:t xml:space="preserve"> </w:t>
      </w:r>
      <w:r w:rsidRPr="00140E22">
        <w:rPr>
          <w:rFonts w:ascii="Calibri" w:hAnsi="Calibri" w:cs="Calibri"/>
          <w:sz w:val="24"/>
          <w:szCs w:val="24"/>
        </w:rPr>
        <w:t>Para a efetivação das opções de que trata o inciso I do caput, os valores apurados na avaliação atuarial da retirada de patrocínio, na data do cálculo, devem ser atualizados até a data efetiva, observando:</w:t>
      </w:r>
    </w:p>
    <w:p w14:paraId="03BE02C5" w14:textId="4BFA828C" w:rsidR="000C2E75" w:rsidRPr="00140E22" w:rsidRDefault="00B86B94" w:rsidP="007C3D89">
      <w:pPr>
        <w:tabs>
          <w:tab w:val="left" w:pos="0"/>
        </w:tabs>
        <w:spacing w:after="120" w:line="240" w:lineRule="auto"/>
        <w:ind w:left="-284" w:right="-1135"/>
        <w:jc w:val="both"/>
        <w:rPr>
          <w:rFonts w:ascii="Calibri" w:hAnsi="Calibri" w:cs="Calibri"/>
          <w:sz w:val="24"/>
          <w:szCs w:val="24"/>
          <w:shd w:val="clear" w:color="auto" w:fill="FFFFFF"/>
        </w:rPr>
      </w:pPr>
      <w:r w:rsidRPr="00140E22">
        <w:rPr>
          <w:rFonts w:ascii="Calibri" w:hAnsi="Calibri" w:cs="Calibri"/>
          <w:sz w:val="24"/>
          <w:szCs w:val="24"/>
        </w:rPr>
        <w:t xml:space="preserve">I - o </w:t>
      </w:r>
      <w:r w:rsidRPr="00140E22">
        <w:rPr>
          <w:rFonts w:ascii="Calibri" w:hAnsi="Calibri" w:cs="Calibri"/>
          <w:sz w:val="24"/>
          <w:szCs w:val="24"/>
          <w:shd w:val="clear" w:color="auto" w:fill="FFFFFF"/>
        </w:rPr>
        <w:t>índice de rentabilidade líquida do patrimônio do plano de benefícios objeto da retirada de patrocínio, considerando a última cota disponível na data da efetiva transferência dos recursos ao plano de benefícios instituído na retirada de patrocínio; e</w:t>
      </w:r>
    </w:p>
    <w:p w14:paraId="15DFBC11" w14:textId="5B9ACFE9" w:rsidR="00953EBE" w:rsidRPr="00140E22" w:rsidRDefault="00953EB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 - a rentabilidade líquida da parcela patrimonial vinculada ao grupo que se retira do plano de benefícios objeto da retirada de patrocínio, observada </w:t>
      </w:r>
      <w:r w:rsidRPr="00140E22">
        <w:rPr>
          <w:rFonts w:ascii="Calibri" w:hAnsi="Calibri" w:cs="Calibri"/>
          <w:sz w:val="24"/>
          <w:szCs w:val="24"/>
          <w:shd w:val="clear" w:color="auto" w:fill="FFFFFF"/>
        </w:rPr>
        <w:t xml:space="preserve">na data efetiva da transferência dos recursos ao novo plano de benefícios instituído, </w:t>
      </w:r>
      <w:r w:rsidRPr="00140E22">
        <w:rPr>
          <w:rFonts w:ascii="Calibri" w:hAnsi="Calibri" w:cs="Calibri"/>
          <w:sz w:val="24"/>
          <w:szCs w:val="24"/>
        </w:rPr>
        <w:t>no caso de retirada parcial.” (NR)</w:t>
      </w:r>
    </w:p>
    <w:p w14:paraId="56967C2F" w14:textId="6C87D9EA" w:rsidR="0086211B" w:rsidRPr="00140E22" w:rsidRDefault="008B07F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 3º </w:t>
      </w:r>
      <w:r w:rsidR="00011C9F" w:rsidRPr="00140E22">
        <w:rPr>
          <w:rFonts w:ascii="Calibri" w:hAnsi="Calibri" w:cs="Calibri"/>
          <w:sz w:val="24"/>
          <w:szCs w:val="24"/>
        </w:rPr>
        <w:t xml:space="preserve"> </w:t>
      </w:r>
      <w:r w:rsidRPr="00140E22">
        <w:rPr>
          <w:rFonts w:ascii="Calibri" w:hAnsi="Calibri" w:cs="Calibri"/>
          <w:sz w:val="24"/>
          <w:szCs w:val="24"/>
        </w:rPr>
        <w:t>A EFPC deve concluir os procedimentos da retirada de patrocínio ou de rescisão do convênio de adesão por iniciativa da EFPC em até duzentos e setenta dias após a data efetiva” (NR)</w:t>
      </w:r>
    </w:p>
    <w:p w14:paraId="342541C6" w14:textId="1DC21EF9" w:rsidR="00E35F53" w:rsidRPr="00140E22" w:rsidRDefault="00164954"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E35F53" w:rsidRPr="00140E22">
        <w:rPr>
          <w:rFonts w:ascii="Calibri" w:hAnsi="Calibri" w:cs="Calibri"/>
          <w:sz w:val="24"/>
          <w:szCs w:val="24"/>
        </w:rPr>
        <w:t>Art. 14</w:t>
      </w:r>
      <w:r w:rsidR="00B43EDB" w:rsidRPr="00140E22">
        <w:rPr>
          <w:rFonts w:ascii="Calibri" w:hAnsi="Calibri" w:cs="Calibri"/>
          <w:sz w:val="24"/>
          <w:szCs w:val="24"/>
        </w:rPr>
        <w:t>2</w:t>
      </w:r>
      <w:r w:rsidR="00E35F53" w:rsidRPr="00140E22">
        <w:rPr>
          <w:rFonts w:ascii="Calibri" w:hAnsi="Calibri" w:cs="Calibri"/>
          <w:sz w:val="24"/>
          <w:szCs w:val="24"/>
        </w:rPr>
        <w:t>.</w:t>
      </w:r>
      <w:r w:rsidRPr="00140E22">
        <w:rPr>
          <w:rFonts w:ascii="Calibri" w:hAnsi="Calibri" w:cs="Calibri"/>
          <w:sz w:val="24"/>
          <w:szCs w:val="24"/>
        </w:rPr>
        <w:t xml:space="preserve">  A EFPC deve encaminhar a documentação comprobatória da finalização da retirada de patrocínio em até sessenta dias contados da data de conclusão da retirada.”</w:t>
      </w:r>
      <w:r w:rsidR="00E35F53" w:rsidRPr="00140E22">
        <w:rPr>
          <w:rFonts w:ascii="Calibri" w:hAnsi="Calibri" w:cs="Calibri"/>
          <w:sz w:val="24"/>
          <w:szCs w:val="24"/>
        </w:rPr>
        <w:t xml:space="preserve">  </w:t>
      </w:r>
      <w:r w:rsidRPr="00140E22">
        <w:rPr>
          <w:rFonts w:ascii="Calibri" w:hAnsi="Calibri" w:cs="Calibri"/>
          <w:sz w:val="24"/>
          <w:szCs w:val="24"/>
        </w:rPr>
        <w:t>(NR)</w:t>
      </w:r>
    </w:p>
    <w:p w14:paraId="2CF82F1C" w14:textId="547FF84A" w:rsidR="00ED34C5" w:rsidRPr="00140E22" w:rsidRDefault="00ED34C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143.  O participante ou assistido que não for localizado ou permanecer inerte em relação às opções de que trata o inciso I do art. 147, deve permanecer inscrito no novo plano de benefícios instituído para a retirada de patrocínio, com o cumprimento de todas as obrigações previstas e no regulamento do plano.” (NR)</w:t>
      </w:r>
    </w:p>
    <w:p w14:paraId="7CD936A1" w14:textId="4A9BC0C6" w:rsidR="00F15602" w:rsidRPr="00140E22" w:rsidRDefault="00F15602"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970BEB" w:rsidRPr="00140E22">
        <w:rPr>
          <w:rFonts w:ascii="Calibri" w:hAnsi="Calibri" w:cs="Calibri"/>
          <w:sz w:val="24"/>
          <w:szCs w:val="24"/>
        </w:rPr>
        <w:t xml:space="preserve">Art. 144.  </w:t>
      </w:r>
      <w:r w:rsidR="00EB4867" w:rsidRPr="00140E22">
        <w:rPr>
          <w:rFonts w:ascii="Calibri" w:hAnsi="Calibri" w:cs="Calibri"/>
          <w:sz w:val="24"/>
          <w:szCs w:val="24"/>
        </w:rPr>
        <w:t>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 (NR)</w:t>
      </w:r>
    </w:p>
    <w:p w14:paraId="1A4D6947" w14:textId="15AF1B6F" w:rsidR="00EB4867" w:rsidRPr="00140E22" w:rsidRDefault="00257A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736681" w:rsidRPr="00140E22">
        <w:rPr>
          <w:rFonts w:ascii="Calibri" w:hAnsi="Calibri" w:cs="Calibri"/>
          <w:sz w:val="24"/>
          <w:szCs w:val="24"/>
        </w:rPr>
        <w:t>I - acrescidos às respectivas reservas matemáticas individuais finais, quando a reversão ocorrer antes da data efetiva; ou</w:t>
      </w:r>
    </w:p>
    <w:p w14:paraId="0305E9E0" w14:textId="54D9BFE1" w:rsidR="00011C9F" w:rsidRPr="00140E22" w:rsidRDefault="00011C9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II - creditadas nas respectivas contas individuais no plano de benefícios que recepcionar os participantes e assistidos alcançados pela retirada de patrocínio quando a reversão ocorrer após a data efetiva.</w:t>
      </w:r>
      <w:r w:rsidR="00257AE0" w:rsidRPr="00140E22">
        <w:rPr>
          <w:rFonts w:ascii="Calibri" w:hAnsi="Calibri" w:cs="Calibri"/>
          <w:sz w:val="24"/>
          <w:szCs w:val="24"/>
        </w:rPr>
        <w:t>” (NR)</w:t>
      </w:r>
    </w:p>
    <w:p w14:paraId="6A2CF5E7" w14:textId="679DEC0C" w:rsidR="00526833" w:rsidRPr="00140E22" w:rsidRDefault="00257A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1º</w:t>
      </w:r>
      <w:r w:rsidR="008405FA" w:rsidRPr="00140E22">
        <w:rPr>
          <w:rFonts w:ascii="Calibri" w:hAnsi="Calibri" w:cs="Calibri"/>
          <w:sz w:val="24"/>
          <w:szCs w:val="24"/>
        </w:rPr>
        <w:t xml:space="preserve"> </w:t>
      </w:r>
      <w:r w:rsidRPr="00140E22">
        <w:rPr>
          <w:rFonts w:ascii="Calibri" w:hAnsi="Calibri" w:cs="Calibri"/>
          <w:sz w:val="24"/>
          <w:szCs w:val="24"/>
        </w:rPr>
        <w:t xml:space="preserve"> Alternativamente ao previsto no caput, e de forma a não haver retenção patrimonial para lastrear exigível contingencial, o patrocinador pode assumir integralmente a responsabilidade sobre condenações em processo judicial ou administrativo após a data do cálculo, relacionadas ao plano objeto da retirada.” (NR)</w:t>
      </w:r>
    </w:p>
    <w:p w14:paraId="3EB51A2C" w14:textId="49A928E3" w:rsidR="008673D2" w:rsidRPr="00140E22" w:rsidRDefault="008673D2"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29C16CB" w14:textId="18F537B8" w:rsidR="008673D2" w:rsidRPr="00140E22" w:rsidRDefault="008577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w:t>
      </w:r>
      <w:r w:rsidR="008405FA" w:rsidRPr="00140E22">
        <w:rPr>
          <w:rFonts w:ascii="Calibri" w:hAnsi="Calibri" w:cs="Calibri"/>
          <w:sz w:val="24"/>
          <w:szCs w:val="24"/>
        </w:rPr>
        <w:t>§ 6º  A individualização dos valores de que trata o caput, entre participantes e assistidos deve observar a proporção das respectivas reservas matemáticas individuais finais, posicionadas na data do cálculo.</w:t>
      </w:r>
      <w:r w:rsidRPr="00140E22">
        <w:rPr>
          <w:rFonts w:ascii="Calibri" w:hAnsi="Calibri" w:cs="Calibri"/>
          <w:sz w:val="24"/>
          <w:szCs w:val="24"/>
        </w:rPr>
        <w:t>”</w:t>
      </w:r>
      <w:r w:rsidR="008416BC" w:rsidRPr="00140E22">
        <w:rPr>
          <w:rFonts w:ascii="Calibri" w:hAnsi="Calibri" w:cs="Calibri"/>
          <w:sz w:val="24"/>
          <w:szCs w:val="24"/>
        </w:rPr>
        <w:t xml:space="preserve"> (NR)</w:t>
      </w:r>
    </w:p>
    <w:p w14:paraId="351C5C10" w14:textId="57B40C83" w:rsidR="00D83746" w:rsidRPr="00140E22" w:rsidRDefault="00D8374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91F247D" w14:textId="0992B887" w:rsidR="00D473B0" w:rsidRPr="00140E22" w:rsidRDefault="00D136C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D473B0" w:rsidRPr="00140E22">
        <w:rPr>
          <w:rFonts w:ascii="Calibri" w:hAnsi="Calibri" w:cs="Calibri"/>
          <w:sz w:val="24"/>
          <w:szCs w:val="24"/>
        </w:rPr>
        <w:t xml:space="preserve">§ </w:t>
      </w:r>
      <w:r w:rsidR="00D83746" w:rsidRPr="00140E22">
        <w:rPr>
          <w:rFonts w:ascii="Calibri" w:hAnsi="Calibri" w:cs="Calibri"/>
          <w:sz w:val="24"/>
          <w:szCs w:val="24"/>
        </w:rPr>
        <w:t>8</w:t>
      </w:r>
      <w:r w:rsidR="00D473B0" w:rsidRPr="00140E22">
        <w:rPr>
          <w:rFonts w:ascii="Calibri" w:hAnsi="Calibri" w:cs="Calibri"/>
          <w:sz w:val="24"/>
          <w:szCs w:val="24"/>
        </w:rPr>
        <w:t>º  Caso os valores de que trata o caput sejam revertidos após a data de efetivação das opções dos participantes e assistidos, os valores devem ser destinados exclusivamente aos participantes e assistidos que se mantiveram inscritos no plano instituído na retirada de patrocínio.</w:t>
      </w:r>
      <w:r w:rsidRPr="00140E22">
        <w:rPr>
          <w:rFonts w:ascii="Calibri" w:hAnsi="Calibri" w:cs="Calibri"/>
          <w:sz w:val="24"/>
          <w:szCs w:val="24"/>
        </w:rPr>
        <w:t>” (NR)</w:t>
      </w:r>
    </w:p>
    <w:p w14:paraId="039B2AFD" w14:textId="72C5671C" w:rsidR="00D473B0" w:rsidRPr="00140E22" w:rsidRDefault="00D136C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 </w:t>
      </w:r>
      <w:r w:rsidR="00D83746" w:rsidRPr="00140E22">
        <w:rPr>
          <w:rFonts w:ascii="Calibri" w:hAnsi="Calibri" w:cs="Calibri"/>
          <w:sz w:val="24"/>
          <w:szCs w:val="24"/>
        </w:rPr>
        <w:t>9</w:t>
      </w:r>
      <w:r w:rsidRPr="00140E22">
        <w:rPr>
          <w:rFonts w:ascii="Calibri" w:hAnsi="Calibri" w:cs="Calibri"/>
          <w:sz w:val="24"/>
          <w:szCs w:val="24"/>
        </w:rPr>
        <w:t xml:space="preserve">º  A individualização dos valores de que trata o § </w:t>
      </w:r>
      <w:r w:rsidR="00D83746" w:rsidRPr="00140E22">
        <w:rPr>
          <w:rFonts w:ascii="Calibri" w:hAnsi="Calibri" w:cs="Calibri"/>
          <w:sz w:val="24"/>
          <w:szCs w:val="24"/>
        </w:rPr>
        <w:t>8</w:t>
      </w:r>
      <w:r w:rsidRPr="00140E22">
        <w:rPr>
          <w:rFonts w:ascii="Calibri" w:hAnsi="Calibri" w:cs="Calibri"/>
          <w:sz w:val="24"/>
          <w:szCs w:val="24"/>
        </w:rPr>
        <w:t>º, entre participantes e assistidos que se mantiveram inscritos no plano instituído na retirada de patrocínio, após as opções, deve observar a proporção dos respectivos saldos de contas individuais, posicionados na data da reversão dos valores.” (NR)</w:t>
      </w:r>
    </w:p>
    <w:p w14:paraId="6B9A5BB1" w14:textId="2B145D31" w:rsidR="008F0176" w:rsidRPr="00140E22" w:rsidRDefault="005D009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145.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140E22">
        <w:rPr>
          <w:rFonts w:ascii="Calibri" w:hAnsi="Calibri" w:cs="Calibri"/>
          <w:sz w:val="24"/>
          <w:szCs w:val="24"/>
          <w:highlight w:val="yellow"/>
        </w:rPr>
        <w:t>§ 1º e 8º do art. 144.</w:t>
      </w:r>
      <w:r w:rsidRPr="00140E22">
        <w:rPr>
          <w:rFonts w:ascii="Calibri" w:hAnsi="Calibri" w:cs="Calibri"/>
          <w:sz w:val="24"/>
          <w:szCs w:val="24"/>
        </w:rPr>
        <w:t>” (</w:t>
      </w:r>
      <w:r w:rsidR="0093063D" w:rsidRPr="00140E22">
        <w:rPr>
          <w:rFonts w:ascii="Calibri" w:hAnsi="Calibri" w:cs="Calibri"/>
          <w:sz w:val="24"/>
          <w:szCs w:val="24"/>
        </w:rPr>
        <w:t>NR</w:t>
      </w:r>
      <w:r w:rsidRPr="00140E22">
        <w:rPr>
          <w:rFonts w:ascii="Calibri" w:hAnsi="Calibri" w:cs="Calibri"/>
          <w:sz w:val="24"/>
          <w:szCs w:val="24"/>
        </w:rPr>
        <w:t>)</w:t>
      </w:r>
    </w:p>
    <w:p w14:paraId="03A09A1B" w14:textId="65AA2497" w:rsidR="000F1315" w:rsidRPr="00140E22" w:rsidRDefault="00554FB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81B6C2A" w14:textId="3BA07C1C" w:rsidR="008407E5" w:rsidRPr="00140E22" w:rsidRDefault="009246FC" w:rsidP="007C3D89">
      <w:pPr>
        <w:pStyle w:val="Ttulo1"/>
        <w:spacing w:before="0" w:after="120" w:line="240" w:lineRule="auto"/>
        <w:ind w:right="-1135" w:firstLine="22"/>
        <w:jc w:val="center"/>
        <w:rPr>
          <w:rFonts w:ascii="Calibri" w:hAnsi="Calibri" w:cs="Calibri"/>
          <w:b/>
          <w:bCs/>
          <w:color w:val="auto"/>
          <w:sz w:val="24"/>
          <w:szCs w:val="24"/>
        </w:rPr>
      </w:pPr>
      <w:r w:rsidRPr="00140E22">
        <w:rPr>
          <w:rFonts w:ascii="Calibri" w:hAnsi="Calibri" w:cs="Calibri"/>
          <w:b/>
          <w:bCs/>
          <w:color w:val="auto"/>
          <w:sz w:val="24"/>
          <w:szCs w:val="24"/>
        </w:rPr>
        <w:t>“</w:t>
      </w:r>
      <w:r w:rsidR="008407E5" w:rsidRPr="00140E22">
        <w:rPr>
          <w:rFonts w:ascii="Calibri" w:hAnsi="Calibri" w:cs="Calibri"/>
          <w:b/>
          <w:bCs/>
          <w:color w:val="auto"/>
          <w:sz w:val="24"/>
          <w:szCs w:val="24"/>
        </w:rPr>
        <w:t>Subseção VIII</w:t>
      </w:r>
    </w:p>
    <w:p w14:paraId="076AC7AA" w14:textId="56717CB7" w:rsidR="00554FBF" w:rsidRPr="00140E22" w:rsidRDefault="008407E5" w:rsidP="007C3D89">
      <w:pPr>
        <w:tabs>
          <w:tab w:val="left" w:pos="0"/>
        </w:tabs>
        <w:spacing w:after="120" w:line="240" w:lineRule="auto"/>
        <w:ind w:left="-284" w:right="-1135"/>
        <w:jc w:val="center"/>
        <w:rPr>
          <w:rFonts w:ascii="Calibri" w:hAnsi="Calibri" w:cs="Calibri"/>
          <w:b/>
          <w:bCs/>
          <w:sz w:val="24"/>
          <w:szCs w:val="24"/>
        </w:rPr>
      </w:pPr>
      <w:r w:rsidRPr="00140E22">
        <w:rPr>
          <w:rFonts w:ascii="Calibri" w:hAnsi="Calibri" w:cs="Calibri"/>
          <w:b/>
          <w:bCs/>
          <w:sz w:val="24"/>
          <w:szCs w:val="24"/>
        </w:rPr>
        <w:t>Rescisão de Convênio de Adesão por iniciativa da EFPC</w:t>
      </w:r>
      <w:r w:rsidR="009246FC" w:rsidRPr="00140E22">
        <w:rPr>
          <w:rFonts w:ascii="Calibri" w:hAnsi="Calibri" w:cs="Calibri"/>
          <w:b/>
          <w:bCs/>
          <w:sz w:val="24"/>
          <w:szCs w:val="24"/>
        </w:rPr>
        <w:t>” N</w:t>
      </w:r>
      <w:r w:rsidR="0041631C" w:rsidRPr="00140E22">
        <w:rPr>
          <w:rFonts w:ascii="Calibri" w:hAnsi="Calibri" w:cs="Calibri"/>
          <w:b/>
          <w:bCs/>
          <w:sz w:val="24"/>
          <w:szCs w:val="24"/>
        </w:rPr>
        <w:t>R)</w:t>
      </w:r>
    </w:p>
    <w:p w14:paraId="53A71F04" w14:textId="0EE48B30" w:rsidR="00D473B0" w:rsidRPr="00140E22" w:rsidRDefault="00DB2EBC"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147. A rescisão de convênio de adesão por iniciativa da EFPC somente pode ser adotada mediante aprovação pelo órgão estatutário competente da EFPC.</w:t>
      </w:r>
    </w:p>
    <w:p w14:paraId="5AEED624" w14:textId="33B48B05" w:rsidR="00FD3F27" w:rsidRPr="00140E22" w:rsidRDefault="004B481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921B9C1" w14:textId="3DA89197" w:rsidR="004B481E" w:rsidRPr="00140E22" w:rsidRDefault="008C5BF4"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4B481E" w:rsidRPr="00140E22">
        <w:rPr>
          <w:rFonts w:ascii="Calibri" w:hAnsi="Calibri" w:cs="Calibri"/>
          <w:sz w:val="24"/>
          <w:szCs w:val="24"/>
        </w:rPr>
        <w:t xml:space="preserve">Art. 148 - A. </w:t>
      </w:r>
      <w:r w:rsidRPr="00140E22">
        <w:rPr>
          <w:rFonts w:ascii="Calibri" w:hAnsi="Calibri" w:cs="Calibri"/>
          <w:sz w:val="24"/>
          <w:szCs w:val="24"/>
        </w:rPr>
        <w:t xml:space="preserve"> </w:t>
      </w:r>
      <w:r w:rsidR="00656738" w:rsidRPr="00140E22">
        <w:rPr>
          <w:rFonts w:ascii="Calibri" w:hAnsi="Calibri" w:cs="Calibri"/>
          <w:sz w:val="24"/>
          <w:szCs w:val="24"/>
        </w:rPr>
        <w:t>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w:t>
      </w:r>
      <w:r w:rsidRPr="00140E22">
        <w:rPr>
          <w:rFonts w:ascii="Calibri" w:hAnsi="Calibri" w:cs="Calibri"/>
          <w:sz w:val="24"/>
          <w:szCs w:val="24"/>
        </w:rPr>
        <w:t>” (NR)</w:t>
      </w:r>
    </w:p>
    <w:p w14:paraId="44F29BD4" w14:textId="307A0411" w:rsidR="008C5BF4" w:rsidRPr="00140E22" w:rsidRDefault="009C0BE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149. O termo de rescisão de convênio de adesão por iniciativa da EFPC deve tratar, no mínimo:”</w:t>
      </w:r>
      <w:r w:rsidR="00192567" w:rsidRPr="00140E22">
        <w:rPr>
          <w:rFonts w:ascii="Calibri" w:hAnsi="Calibri" w:cs="Calibri"/>
          <w:sz w:val="24"/>
          <w:szCs w:val="24"/>
        </w:rPr>
        <w:t xml:space="preserve"> (NR)</w:t>
      </w:r>
    </w:p>
    <w:p w14:paraId="0FCB177F" w14:textId="58A8182B" w:rsidR="00C907EB" w:rsidRPr="00140E22" w:rsidRDefault="00C907E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5C5CB2" w:rsidRPr="00140E22">
        <w:rPr>
          <w:rFonts w:ascii="Calibri" w:hAnsi="Calibri" w:cs="Calibri"/>
          <w:sz w:val="24"/>
          <w:szCs w:val="24"/>
        </w:rPr>
        <w:t xml:space="preserve">I - dos critérios e dos procedimentos relativos à segregação patrimonial do plano de benefícios, no caso de retirada parcial; </w:t>
      </w:r>
    </w:p>
    <w:p w14:paraId="5CB71E18" w14:textId="7D51120A" w:rsidR="00192567" w:rsidRPr="00140E22" w:rsidRDefault="00BD1392"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II - dos critérios de rateio do fundo administrativo, da reserva especial ou do déficit técnico, apurado na avaliação atuarial de retirada de patrocínio, entre patrocinador retirante, de um lado, e respectivos participantes e assistidos, de outro, nos termos da legislação aplicável;</w:t>
      </w:r>
    </w:p>
    <w:p w14:paraId="04CC85AB" w14:textId="35309683" w:rsidR="008641C8" w:rsidRPr="00140E22" w:rsidRDefault="008641C8"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III - dos critérios de individualização dos fundos previdenciais, quando houver, apurados na avaliação atuarial de retirada de patrocínio, entre participantes e assistidos, no caso em que o plano de benefícios objeto de retirada de patrocínio oferecer somente benefícios estruturados em saldo de conta individual;</w:t>
      </w:r>
    </w:p>
    <w:p w14:paraId="4B9C690F" w14:textId="6FCB32E3" w:rsidR="00286D89" w:rsidRPr="00140E22" w:rsidRDefault="00286D89"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IV - das obrigações da EFPC, em face da rescisão de convênio de adesão, nos termos da legislação aplicável;” (NR)</w:t>
      </w:r>
    </w:p>
    <w:p w14:paraId="5E535881" w14:textId="722F5C50" w:rsidR="00EB777F" w:rsidRPr="00140E22" w:rsidRDefault="00EB777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8D7798B" w14:textId="3A42A292" w:rsidR="00726DB3" w:rsidRPr="00140E22" w:rsidRDefault="0061350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w:t>
      </w:r>
      <w:r w:rsidR="008B4A1A" w:rsidRPr="00140E22">
        <w:rPr>
          <w:rFonts w:ascii="Calibri" w:hAnsi="Calibri" w:cs="Calibri"/>
          <w:sz w:val="24"/>
          <w:szCs w:val="24"/>
        </w:rPr>
        <w:t>VI - dos prazos para:</w:t>
      </w:r>
      <w:r w:rsidRPr="00140E22">
        <w:rPr>
          <w:rFonts w:ascii="Calibri" w:hAnsi="Calibri" w:cs="Calibri"/>
          <w:sz w:val="24"/>
          <w:szCs w:val="24"/>
        </w:rPr>
        <w:t>” (NR)</w:t>
      </w:r>
    </w:p>
    <w:p w14:paraId="37BC92C7" w14:textId="02041C00" w:rsidR="008B4A1A" w:rsidRPr="00140E22" w:rsidRDefault="008B4A1A"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541CF285" w14:textId="13F00BD7" w:rsidR="008B4A1A" w:rsidRPr="00140E22" w:rsidRDefault="0061350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A91E20" w:rsidRPr="00140E22">
        <w:rPr>
          <w:rFonts w:ascii="Calibri" w:hAnsi="Calibri" w:cs="Calibri"/>
          <w:sz w:val="24"/>
          <w:szCs w:val="24"/>
        </w:rPr>
        <w:t>c) definição da data efetiva;</w:t>
      </w:r>
      <w:r w:rsidRPr="00140E22">
        <w:rPr>
          <w:rFonts w:ascii="Calibri" w:hAnsi="Calibri" w:cs="Calibri"/>
          <w:sz w:val="24"/>
          <w:szCs w:val="24"/>
        </w:rPr>
        <w:t>” (NR)</w:t>
      </w:r>
    </w:p>
    <w:p w14:paraId="6A782B96" w14:textId="1B61F7B4" w:rsidR="00EB777F" w:rsidRPr="00140E22" w:rsidRDefault="007E0D8C"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“VII - das opções oferecidas aos participantes e assistidos vinculados ao patrocinador ou instituidor do plano de benefícios objeto da rescisão de convênio de adesão por iniciativa da EFPC;” (NR)</w:t>
      </w:r>
    </w:p>
    <w:p w14:paraId="78D87C25" w14:textId="493B7A7A" w:rsidR="007E0D8C" w:rsidRPr="00140E22" w:rsidRDefault="00BB63D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43B8EAC" w14:textId="3470D449" w:rsidR="00BB63DD" w:rsidRPr="00140E22" w:rsidRDefault="008978E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1146EC" w:rsidRPr="00140E22">
        <w:rPr>
          <w:rFonts w:ascii="Calibri" w:hAnsi="Calibri" w:cs="Calibri"/>
          <w:sz w:val="24"/>
          <w:szCs w:val="24"/>
        </w:rPr>
        <w:t>XI - da constituição do Fundo Previdencial de Proteção da Longevidade, quando for o caso;</w:t>
      </w:r>
      <w:r w:rsidRPr="00140E22">
        <w:rPr>
          <w:rFonts w:ascii="Calibri" w:hAnsi="Calibri" w:cs="Calibri"/>
          <w:sz w:val="24"/>
          <w:szCs w:val="24"/>
        </w:rPr>
        <w:t>” (NR)</w:t>
      </w:r>
    </w:p>
    <w:p w14:paraId="1FF6A2CC" w14:textId="2F246C25" w:rsidR="00E76201" w:rsidRPr="00140E22" w:rsidRDefault="008978E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E76201" w:rsidRPr="00140E22">
        <w:rPr>
          <w:rFonts w:ascii="Calibri" w:hAnsi="Calibri" w:cs="Calibri"/>
          <w:sz w:val="24"/>
          <w:szCs w:val="24"/>
        </w:rPr>
        <w:t>XII - da constituição do fundo administrativo do Plano Instituído de Preservação da Proteção Previdenciária, quando for o caso;</w:t>
      </w:r>
      <w:r w:rsidRPr="00140E22">
        <w:rPr>
          <w:rFonts w:ascii="Calibri" w:hAnsi="Calibri" w:cs="Calibri"/>
          <w:sz w:val="24"/>
          <w:szCs w:val="24"/>
        </w:rPr>
        <w:t>” (NR)</w:t>
      </w:r>
    </w:p>
    <w:p w14:paraId="3F60F42B" w14:textId="17B35FBB" w:rsidR="00220F09" w:rsidRPr="00140E22" w:rsidRDefault="008978E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20F09" w:rsidRPr="00140E22">
        <w:rPr>
          <w:rFonts w:ascii="Calibri" w:hAnsi="Calibri" w:cs="Calibri"/>
          <w:sz w:val="24"/>
          <w:szCs w:val="24"/>
        </w:rPr>
        <w:t>XIII -  do critério de individualização do déficit técnico, apurado na avaliação atuarial de retirada de patrocínio, entre participantes e assistidos, nos termos da legislação aplicável;</w:t>
      </w:r>
      <w:r w:rsidRPr="00140E22">
        <w:rPr>
          <w:rFonts w:ascii="Calibri" w:hAnsi="Calibri" w:cs="Calibri"/>
          <w:sz w:val="24"/>
          <w:szCs w:val="24"/>
        </w:rPr>
        <w:t>” (NR</w:t>
      </w:r>
      <w:r w:rsidR="00721033" w:rsidRPr="00140E22">
        <w:rPr>
          <w:rFonts w:ascii="Calibri" w:hAnsi="Calibri" w:cs="Calibri"/>
          <w:sz w:val="24"/>
          <w:szCs w:val="24"/>
        </w:rPr>
        <w:t>)</w:t>
      </w:r>
    </w:p>
    <w:p w14:paraId="60AF8CFA" w14:textId="1C340416" w:rsidR="008978ED" w:rsidRPr="00140E22" w:rsidRDefault="00721033"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978ED" w:rsidRPr="00140E22">
        <w:rPr>
          <w:rFonts w:ascii="Calibri" w:hAnsi="Calibri" w:cs="Calibri"/>
          <w:sz w:val="24"/>
          <w:szCs w:val="24"/>
        </w:rPr>
        <w:t>XIV – do critério de destinação e rateio, quando for o caso, dos valores do fundo para garantia das operações com participantes, quando existente;</w:t>
      </w:r>
      <w:r w:rsidRPr="00140E22">
        <w:rPr>
          <w:rFonts w:ascii="Calibri" w:hAnsi="Calibri" w:cs="Calibri"/>
          <w:sz w:val="24"/>
          <w:szCs w:val="24"/>
        </w:rPr>
        <w:t>” (NR)</w:t>
      </w:r>
    </w:p>
    <w:p w14:paraId="5A737328" w14:textId="42898A9C" w:rsidR="00721033" w:rsidRPr="00140E22" w:rsidRDefault="006651F7"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150. O disposto nos arts. </w:t>
      </w:r>
      <w:r w:rsidRPr="00140E22">
        <w:rPr>
          <w:rFonts w:ascii="Calibri" w:hAnsi="Calibri" w:cs="Calibri"/>
          <w:sz w:val="24"/>
          <w:szCs w:val="24"/>
          <w:highlight w:val="yellow"/>
        </w:rPr>
        <w:t>135, 137 ao 140, e 142 ao 149</w:t>
      </w:r>
      <w:r w:rsidRPr="00140E22">
        <w:rPr>
          <w:rFonts w:ascii="Calibri" w:hAnsi="Calibri" w:cs="Calibri"/>
          <w:sz w:val="24"/>
          <w:szCs w:val="24"/>
        </w:rPr>
        <w:t xml:space="preserve"> aplica-se à rescisão de convênio de adesão por iniciativa da EFPC, no que couber.” (NR)</w:t>
      </w:r>
    </w:p>
    <w:p w14:paraId="0E093C3E" w14:textId="136406D5" w:rsidR="00615E78" w:rsidRPr="00140E22" w:rsidRDefault="008558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150-A. A EFPC deve encaminhar a documentação comprobatória da finalização das operações previstas nos incisos VII a X do art. 151 em até noventa dias contados da data efetiva.” (NR)</w:t>
      </w:r>
    </w:p>
    <w:p w14:paraId="19C3DC09" w14:textId="3DA19B5B" w:rsidR="00F05C87" w:rsidRPr="00140E22" w:rsidRDefault="00F033A8" w:rsidP="007C3D89">
      <w:pPr>
        <w:tabs>
          <w:tab w:val="left" w:pos="0"/>
          <w:tab w:val="center" w:pos="4820"/>
        </w:tabs>
        <w:spacing w:after="120" w:line="240" w:lineRule="auto"/>
        <w:ind w:left="-284" w:right="-1135"/>
        <w:jc w:val="center"/>
        <w:rPr>
          <w:rFonts w:ascii="Calibri" w:hAnsi="Calibri" w:cs="Calibri"/>
          <w:b/>
          <w:bCs/>
          <w:sz w:val="24"/>
          <w:szCs w:val="24"/>
        </w:rPr>
      </w:pPr>
      <w:r w:rsidRPr="00140E22">
        <w:rPr>
          <w:rFonts w:ascii="Calibri" w:hAnsi="Calibri" w:cs="Calibri"/>
          <w:b/>
          <w:bCs/>
          <w:sz w:val="24"/>
          <w:szCs w:val="24"/>
        </w:rPr>
        <w:t>“</w:t>
      </w:r>
      <w:r w:rsidR="00F05C87" w:rsidRPr="00140E22">
        <w:rPr>
          <w:rFonts w:ascii="Calibri" w:hAnsi="Calibri" w:cs="Calibri"/>
          <w:b/>
          <w:bCs/>
          <w:sz w:val="24"/>
          <w:szCs w:val="24"/>
        </w:rPr>
        <w:t xml:space="preserve">Subseção </w:t>
      </w:r>
      <w:r w:rsidR="006C3DA6" w:rsidRPr="00140E22">
        <w:rPr>
          <w:rFonts w:ascii="Calibri" w:hAnsi="Calibri" w:cs="Calibri"/>
          <w:b/>
          <w:bCs/>
          <w:sz w:val="24"/>
          <w:szCs w:val="24"/>
        </w:rPr>
        <w:t>IX</w:t>
      </w:r>
    </w:p>
    <w:p w14:paraId="09DD011F" w14:textId="7066A26F" w:rsidR="00F05C87" w:rsidRPr="00140E22" w:rsidRDefault="00F05C87" w:rsidP="007C3D89">
      <w:pPr>
        <w:tabs>
          <w:tab w:val="left" w:pos="0"/>
          <w:tab w:val="center" w:pos="4820"/>
        </w:tabs>
        <w:spacing w:after="120" w:line="240" w:lineRule="auto"/>
        <w:ind w:left="-284" w:right="-1135"/>
        <w:jc w:val="center"/>
        <w:rPr>
          <w:rFonts w:ascii="Calibri" w:hAnsi="Calibri" w:cs="Calibri"/>
          <w:b/>
          <w:bCs/>
          <w:sz w:val="24"/>
          <w:szCs w:val="24"/>
        </w:rPr>
      </w:pPr>
      <w:r w:rsidRPr="00140E22">
        <w:rPr>
          <w:rFonts w:ascii="Calibri" w:hAnsi="Calibri" w:cs="Calibri"/>
          <w:b/>
          <w:bCs/>
          <w:sz w:val="24"/>
          <w:szCs w:val="24"/>
        </w:rPr>
        <w:t>Inscrição de Participante em Plano de Benefícios</w:t>
      </w:r>
      <w:r w:rsidR="00E059A6" w:rsidRPr="00140E22">
        <w:rPr>
          <w:rFonts w:ascii="Calibri" w:hAnsi="Calibri" w:cs="Calibri"/>
          <w:b/>
          <w:bCs/>
          <w:sz w:val="24"/>
          <w:szCs w:val="24"/>
        </w:rPr>
        <w:t>”</w:t>
      </w:r>
      <w:r w:rsidR="003445E1" w:rsidRPr="00140E22">
        <w:rPr>
          <w:rFonts w:ascii="Calibri" w:hAnsi="Calibri" w:cs="Calibri"/>
          <w:b/>
          <w:bCs/>
          <w:sz w:val="24"/>
          <w:szCs w:val="24"/>
        </w:rPr>
        <w:t xml:space="preserve"> </w:t>
      </w:r>
      <w:r w:rsidR="003445E1" w:rsidRPr="00140E22">
        <w:rPr>
          <w:rFonts w:ascii="Calibri" w:hAnsi="Calibri" w:cs="Calibri"/>
          <w:sz w:val="24"/>
          <w:szCs w:val="24"/>
        </w:rPr>
        <w:t>(NR)</w:t>
      </w:r>
    </w:p>
    <w:p w14:paraId="7E80C29A" w14:textId="340F5934" w:rsidR="00F05C87"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 xml:space="preserve">Art. </w:t>
      </w:r>
      <w:r w:rsidR="006C3DA6" w:rsidRPr="00140E22">
        <w:rPr>
          <w:rFonts w:ascii="Calibri" w:hAnsi="Calibri" w:cs="Calibri"/>
          <w:sz w:val="24"/>
          <w:szCs w:val="24"/>
        </w:rPr>
        <w:t>150</w:t>
      </w:r>
      <w:r w:rsidR="00F05C87" w:rsidRPr="00140E22">
        <w:rPr>
          <w:rFonts w:ascii="Calibri" w:hAnsi="Calibri" w:cs="Calibri"/>
          <w:sz w:val="24"/>
          <w:szCs w:val="24"/>
        </w:rPr>
        <w:t>-</w:t>
      </w:r>
      <w:r w:rsidR="0003694B" w:rsidRPr="00140E22">
        <w:rPr>
          <w:rFonts w:ascii="Calibri" w:hAnsi="Calibri" w:cs="Calibri"/>
          <w:sz w:val="24"/>
          <w:szCs w:val="24"/>
        </w:rPr>
        <w:t>B</w:t>
      </w:r>
      <w:r w:rsidR="00F05C87" w:rsidRPr="00140E22">
        <w:rPr>
          <w:rFonts w:ascii="Calibri" w:hAnsi="Calibri" w:cs="Calibri"/>
          <w:sz w:val="24"/>
          <w:szCs w:val="24"/>
        </w:rPr>
        <w:t>.  A inscrição de participante em plano de benefícios, pela entidade fechada de previdência complementar, pode ocorrer nas modalidades convencional ou automática.</w:t>
      </w:r>
      <w:r w:rsidRPr="00140E22">
        <w:rPr>
          <w:rFonts w:ascii="Calibri" w:hAnsi="Calibri" w:cs="Calibri"/>
          <w:sz w:val="24"/>
          <w:szCs w:val="24"/>
        </w:rPr>
        <w:t>”</w:t>
      </w:r>
      <w:r w:rsidR="003445E1" w:rsidRPr="00140E22">
        <w:rPr>
          <w:rFonts w:ascii="Calibri" w:hAnsi="Calibri" w:cs="Calibri"/>
          <w:sz w:val="24"/>
          <w:szCs w:val="24"/>
        </w:rPr>
        <w:t xml:space="preserve"> (NR)</w:t>
      </w:r>
    </w:p>
    <w:p w14:paraId="2CB6971F" w14:textId="1C359E74" w:rsidR="00F05C87"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 xml:space="preserve">Art. </w:t>
      </w:r>
      <w:r w:rsidR="006C3DA6" w:rsidRPr="00140E22">
        <w:rPr>
          <w:rFonts w:ascii="Calibri" w:hAnsi="Calibri" w:cs="Calibri"/>
          <w:sz w:val="24"/>
          <w:szCs w:val="24"/>
        </w:rPr>
        <w:t>150</w:t>
      </w:r>
      <w:r w:rsidR="00F05C87" w:rsidRPr="00140E22">
        <w:rPr>
          <w:rFonts w:ascii="Calibri" w:hAnsi="Calibri" w:cs="Calibri"/>
          <w:sz w:val="24"/>
          <w:szCs w:val="24"/>
        </w:rPr>
        <w:t>-</w:t>
      </w:r>
      <w:r w:rsidR="0003694B" w:rsidRPr="00140E22">
        <w:rPr>
          <w:rFonts w:ascii="Calibri" w:hAnsi="Calibri" w:cs="Calibri"/>
          <w:sz w:val="24"/>
          <w:szCs w:val="24"/>
        </w:rPr>
        <w:t>C</w:t>
      </w:r>
      <w:r w:rsidR="00F05C87" w:rsidRPr="00140E22">
        <w:rPr>
          <w:rFonts w:ascii="Calibri" w:hAnsi="Calibri" w:cs="Calibri"/>
          <w:sz w:val="24"/>
          <w:szCs w:val="24"/>
        </w:rPr>
        <w:t>.  Nos requerimentos de implantação de plano de benefícios ou de alteração de regulamento, a proposta de regulamento deve dispor sobre a inscrição de participantes no plano de benefícios.</w:t>
      </w:r>
      <w:r w:rsidRPr="00140E22">
        <w:rPr>
          <w:rFonts w:ascii="Calibri" w:hAnsi="Calibri" w:cs="Calibri"/>
          <w:sz w:val="24"/>
          <w:szCs w:val="24"/>
        </w:rPr>
        <w:t>”</w:t>
      </w:r>
      <w:r w:rsidR="003445E1" w:rsidRPr="00140E22">
        <w:rPr>
          <w:rFonts w:ascii="Calibri" w:hAnsi="Calibri" w:cs="Calibri"/>
          <w:sz w:val="24"/>
          <w:szCs w:val="24"/>
        </w:rPr>
        <w:t xml:space="preserve"> (NR)</w:t>
      </w:r>
    </w:p>
    <w:p w14:paraId="73D05201" w14:textId="64E6D885" w:rsidR="00F05C87"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w:t>
      </w:r>
      <w:r w:rsidR="006C3DA6" w:rsidRPr="00140E22">
        <w:rPr>
          <w:rFonts w:ascii="Calibri" w:hAnsi="Calibri" w:cs="Calibri"/>
          <w:sz w:val="24"/>
          <w:szCs w:val="24"/>
        </w:rPr>
        <w:t xml:space="preserve"> </w:t>
      </w:r>
      <w:r w:rsidR="00F05C87" w:rsidRPr="00140E22">
        <w:rPr>
          <w:rFonts w:ascii="Calibri" w:hAnsi="Calibri" w:cs="Calibri"/>
          <w:sz w:val="24"/>
          <w:szCs w:val="24"/>
        </w:rPr>
        <w:t>1º  No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w:t>
      </w:r>
      <w:r w:rsidRPr="00140E22">
        <w:rPr>
          <w:rFonts w:ascii="Calibri" w:hAnsi="Calibri" w:cs="Calibri"/>
          <w:sz w:val="24"/>
          <w:szCs w:val="24"/>
        </w:rPr>
        <w:t>”</w:t>
      </w:r>
      <w:r w:rsidR="003445E1" w:rsidRPr="00140E22">
        <w:rPr>
          <w:rFonts w:ascii="Calibri" w:hAnsi="Calibri" w:cs="Calibri"/>
          <w:sz w:val="24"/>
          <w:szCs w:val="24"/>
        </w:rPr>
        <w:t xml:space="preserve"> (NR)</w:t>
      </w:r>
    </w:p>
    <w:p w14:paraId="19E6F716" w14:textId="11D5571F" w:rsidR="00F05C87"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w:t>
      </w:r>
      <w:r w:rsidR="006C3DA6" w:rsidRPr="00140E22">
        <w:rPr>
          <w:rFonts w:ascii="Calibri" w:hAnsi="Calibri" w:cs="Calibri"/>
          <w:sz w:val="24"/>
          <w:szCs w:val="24"/>
        </w:rPr>
        <w:t xml:space="preserve"> </w:t>
      </w:r>
      <w:r w:rsidR="00F05C87" w:rsidRPr="00140E22">
        <w:rPr>
          <w:rFonts w:ascii="Calibri" w:hAnsi="Calibri" w:cs="Calibri"/>
          <w:sz w:val="24"/>
          <w:szCs w:val="24"/>
        </w:rPr>
        <w:t>2º  Observado o §</w:t>
      </w:r>
      <w:r w:rsidR="00B24356" w:rsidRPr="00140E22">
        <w:rPr>
          <w:rFonts w:ascii="Calibri" w:hAnsi="Calibri" w:cs="Calibri"/>
          <w:sz w:val="24"/>
          <w:szCs w:val="24"/>
        </w:rPr>
        <w:t xml:space="preserve"> </w:t>
      </w:r>
      <w:r w:rsidR="00F05C87" w:rsidRPr="00140E22">
        <w:rPr>
          <w:rFonts w:ascii="Calibri" w:hAnsi="Calibri" w:cs="Calibri"/>
          <w:sz w:val="24"/>
          <w:szCs w:val="24"/>
        </w:rPr>
        <w:t>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r w:rsidR="00F033A8" w:rsidRPr="00140E22">
        <w:rPr>
          <w:rFonts w:ascii="Calibri" w:hAnsi="Calibri" w:cs="Calibri"/>
          <w:sz w:val="24"/>
          <w:szCs w:val="24"/>
        </w:rPr>
        <w:t>”</w:t>
      </w:r>
      <w:r w:rsidR="003445E1" w:rsidRPr="00140E22">
        <w:rPr>
          <w:rFonts w:ascii="Calibri" w:hAnsi="Calibri" w:cs="Calibri"/>
          <w:sz w:val="24"/>
          <w:szCs w:val="24"/>
        </w:rPr>
        <w:t xml:space="preserve"> (NR)</w:t>
      </w:r>
    </w:p>
    <w:p w14:paraId="30609AA8" w14:textId="73E1EC60" w:rsidR="00105A70" w:rsidRPr="00140E22" w:rsidRDefault="00105A7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7F42F78D" w14:textId="202F02C4" w:rsidR="00C128AC" w:rsidRPr="00140E22" w:rsidRDefault="00C128AC"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161-A. A autorização de novas entidades fechadas de previdência complementar e de novos planos de benefícios está sujeita à avaliação de viabilidade, baseada nas informações disponibilizadas pelo requerente e nos critérios e parâmetros a serem definidos em Portaria da Diretoria de Licenciamento. (NR)</w:t>
      </w:r>
    </w:p>
    <w:p w14:paraId="3235A196" w14:textId="28FA020D" w:rsidR="00C128AC" w:rsidRPr="00140E22" w:rsidRDefault="00C128AC"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12A17E8B" w14:textId="0F16898A" w:rsidR="00DC6C86" w:rsidRPr="00140E22" w:rsidRDefault="00DC6C8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Art. 164. Em se tratando de requerimento de alteração de estatuto ou regulamento, a análise da Previc deve se ater às alterações solicitadas pela entidade. (NR)</w:t>
      </w:r>
    </w:p>
    <w:p w14:paraId="171844DB" w14:textId="36835253" w:rsidR="00DC6C86" w:rsidRPr="00140E22" w:rsidRDefault="00DC6C8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EC61219" w14:textId="19557A56" w:rsidR="00105A70" w:rsidRPr="00140E22" w:rsidRDefault="00105A7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171. ...</w:t>
      </w:r>
    </w:p>
    <w:p w14:paraId="1A6D0A0E" w14:textId="03A0E096" w:rsidR="00105A70" w:rsidRPr="00140E22" w:rsidRDefault="00105A70" w:rsidP="007C3D89">
      <w:pPr>
        <w:tabs>
          <w:tab w:val="left" w:pos="0"/>
          <w:tab w:val="center" w:pos="4820"/>
        </w:tabs>
        <w:spacing w:after="120" w:line="240" w:lineRule="auto"/>
        <w:ind w:left="-284" w:right="-1135"/>
        <w:jc w:val="both"/>
        <w:rPr>
          <w:rFonts w:ascii="Calibri" w:hAnsi="Calibri" w:cs="Calibri"/>
          <w:b/>
          <w:bCs/>
          <w:sz w:val="24"/>
          <w:szCs w:val="24"/>
        </w:rPr>
      </w:pPr>
      <w:r w:rsidRPr="00140E22">
        <w:rPr>
          <w:rFonts w:ascii="Calibri" w:hAnsi="Calibri" w:cs="Calibri"/>
          <w:b/>
          <w:bCs/>
          <w:sz w:val="24"/>
          <w:szCs w:val="24"/>
        </w:rPr>
        <w:t>...</w:t>
      </w:r>
    </w:p>
    <w:p w14:paraId="2C9E30CC" w14:textId="7A4A3777" w:rsidR="00105A70" w:rsidRPr="00140E22" w:rsidRDefault="00D6067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105A70" w:rsidRPr="00140E22">
        <w:rPr>
          <w:rFonts w:ascii="Calibri" w:hAnsi="Calibri" w:cs="Calibri"/>
          <w:sz w:val="24"/>
          <w:szCs w:val="24"/>
        </w:rPr>
        <w:t>§ 2º  As operações de que tratam os incisos VI a XIV do art. 151 serão submetidas à ciência prévia da Diretoria Colegiada da Previc em situações de maior impacto, risco ou relevância.</w:t>
      </w:r>
      <w:r w:rsidRPr="00140E22">
        <w:rPr>
          <w:rFonts w:ascii="Calibri" w:hAnsi="Calibri" w:cs="Calibri"/>
          <w:sz w:val="24"/>
          <w:szCs w:val="24"/>
        </w:rPr>
        <w:t>” (NR)</w:t>
      </w:r>
    </w:p>
    <w:p w14:paraId="627E30AC" w14:textId="7863A3DE" w:rsidR="00D60679" w:rsidRPr="00140E22" w:rsidRDefault="00D6067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5999AAD8" w14:textId="7E7ED447" w:rsidR="00F033A8" w:rsidRPr="00140E22" w:rsidRDefault="00F033A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197.</w:t>
      </w:r>
      <w:r w:rsidR="0033172B" w:rsidRPr="00140E22">
        <w:rPr>
          <w:rFonts w:ascii="Calibri" w:hAnsi="Calibri" w:cs="Calibri"/>
          <w:sz w:val="24"/>
          <w:szCs w:val="24"/>
        </w:rPr>
        <w:t xml:space="preserve"> .</w:t>
      </w:r>
      <w:r w:rsidR="003A768D" w:rsidRPr="00140E22">
        <w:rPr>
          <w:rFonts w:ascii="Calibri" w:hAnsi="Calibri" w:cs="Calibri"/>
          <w:sz w:val="24"/>
          <w:szCs w:val="24"/>
        </w:rPr>
        <w:t>..</w:t>
      </w:r>
    </w:p>
    <w:p w14:paraId="2F21F086" w14:textId="2226B98E" w:rsidR="00F033A8" w:rsidRPr="00140E22" w:rsidRDefault="00F033A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742EF33C" w14:textId="6E1B11DA" w:rsidR="00F033A8" w:rsidRPr="00140E22" w:rsidRDefault="003D4DA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33A8" w:rsidRPr="00140E22">
        <w:rPr>
          <w:rFonts w:ascii="Calibri" w:hAnsi="Calibri" w:cs="Calibri"/>
          <w:sz w:val="24"/>
          <w:szCs w:val="24"/>
        </w:rPr>
        <w:t>§ 1º  Uma das três avaliações referidas no inciso VII do caput pode ser dispensada caso a última avaliação do imóvel a ser alienado tenha sido realizada em prazo inferior a trezentos e sessenta dias, desde que tal procedimento seja devidamente atestado pelo administrador estatutário tecnicamente qualificado, em função das condições de mercado.”</w:t>
      </w:r>
      <w:r w:rsidR="0033172B" w:rsidRPr="00140E22">
        <w:rPr>
          <w:rFonts w:ascii="Calibri" w:hAnsi="Calibri" w:cs="Calibri"/>
          <w:sz w:val="24"/>
          <w:szCs w:val="24"/>
        </w:rPr>
        <w:t xml:space="preserve"> (NR)</w:t>
      </w:r>
    </w:p>
    <w:p w14:paraId="4CCBA471" w14:textId="52F9DA51" w:rsidR="006A4FC5" w:rsidRPr="00140E22" w:rsidRDefault="006A4FC5"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734C8EE6" w14:textId="192B5B10" w:rsidR="00F033A8" w:rsidRPr="00140E22" w:rsidRDefault="0009094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203.</w:t>
      </w:r>
      <w:r w:rsidR="006A4FC5" w:rsidRPr="00140E22">
        <w:rPr>
          <w:rFonts w:ascii="Calibri" w:hAnsi="Calibri" w:cs="Calibri"/>
          <w:sz w:val="24"/>
          <w:szCs w:val="24"/>
        </w:rPr>
        <w:t xml:space="preserve"> ...</w:t>
      </w:r>
    </w:p>
    <w:p w14:paraId="6B57C613" w14:textId="55AC0225" w:rsidR="00090942" w:rsidRPr="00140E22" w:rsidRDefault="0009094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6CCD0D7F" w14:textId="111BD654" w:rsidR="00090942" w:rsidRPr="00140E22" w:rsidRDefault="003D4DA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90942" w:rsidRPr="00140E22">
        <w:rPr>
          <w:rFonts w:ascii="Calibri" w:hAnsi="Calibri" w:cs="Calibri"/>
          <w:sz w:val="24"/>
          <w:szCs w:val="24"/>
        </w:rPr>
        <w:t xml:space="preserve">II - quando o ativo estiver provisionado 100% </w:t>
      </w:r>
      <w:r w:rsidR="00B40392" w:rsidRPr="00140E22">
        <w:rPr>
          <w:rFonts w:ascii="Calibri" w:hAnsi="Calibri" w:cs="Calibri"/>
          <w:sz w:val="24"/>
          <w:szCs w:val="24"/>
        </w:rPr>
        <w:t xml:space="preserve">(cem </w:t>
      </w:r>
      <w:r w:rsidR="005E0304" w:rsidRPr="00140E22">
        <w:rPr>
          <w:rFonts w:ascii="Calibri" w:hAnsi="Calibri" w:cs="Calibri"/>
          <w:sz w:val="24"/>
          <w:szCs w:val="24"/>
        </w:rPr>
        <w:t xml:space="preserve">por cento) </w:t>
      </w:r>
      <w:r w:rsidR="00090942" w:rsidRPr="00140E22">
        <w:rPr>
          <w:rFonts w:ascii="Calibri" w:hAnsi="Calibri" w:cs="Calibri"/>
          <w:sz w:val="24"/>
          <w:szCs w:val="24"/>
        </w:rPr>
        <w:t>conforme estabelecido no inciso VII do art. 199.”</w:t>
      </w:r>
      <w:r w:rsidR="0033172B" w:rsidRPr="00140E22">
        <w:rPr>
          <w:rFonts w:ascii="Calibri" w:hAnsi="Calibri" w:cs="Calibri"/>
          <w:sz w:val="24"/>
          <w:szCs w:val="24"/>
        </w:rPr>
        <w:t xml:space="preserve"> (NR)</w:t>
      </w:r>
    </w:p>
    <w:p w14:paraId="7DD788C8" w14:textId="47C0A5E7" w:rsidR="00E3052E" w:rsidRPr="00140E22" w:rsidRDefault="00E3052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2443B26F" w14:textId="378AAF31" w:rsidR="002D03EC" w:rsidRPr="00140E22" w:rsidRDefault="002D03EC"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Art.2</w:t>
      </w:r>
      <w:r w:rsidR="00E84947" w:rsidRPr="00140E22">
        <w:rPr>
          <w:rFonts w:ascii="Calibri" w:hAnsi="Calibri" w:cs="Calibri"/>
          <w:sz w:val="24"/>
          <w:szCs w:val="24"/>
        </w:rPr>
        <w:t>28.</w:t>
      </w:r>
      <w:r w:rsidR="0033172B" w:rsidRPr="00140E22">
        <w:rPr>
          <w:rFonts w:ascii="Calibri" w:hAnsi="Calibri" w:cs="Calibri"/>
          <w:sz w:val="24"/>
          <w:szCs w:val="24"/>
        </w:rPr>
        <w:t xml:space="preserve"> .</w:t>
      </w:r>
      <w:r w:rsidR="00E84947" w:rsidRPr="00140E22">
        <w:rPr>
          <w:rFonts w:ascii="Calibri" w:hAnsi="Calibri" w:cs="Calibri"/>
          <w:sz w:val="24"/>
          <w:szCs w:val="24"/>
        </w:rPr>
        <w:t>..</w:t>
      </w:r>
    </w:p>
    <w:p w14:paraId="66F4B801" w14:textId="790F4750" w:rsidR="003D4DAE" w:rsidRPr="00140E22" w:rsidRDefault="003D4DA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6F824F96" w14:textId="11C59BFC" w:rsidR="00A9216D" w:rsidRPr="00140E22" w:rsidRDefault="003D4DA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A9216D" w:rsidRPr="00140E22">
        <w:rPr>
          <w:rFonts w:ascii="Calibri" w:hAnsi="Calibri" w:cs="Calibri"/>
          <w:sz w:val="24"/>
          <w:szCs w:val="24"/>
        </w:rPr>
        <w:t>§</w:t>
      </w:r>
      <w:r w:rsidRPr="00140E22">
        <w:rPr>
          <w:rFonts w:ascii="Calibri" w:hAnsi="Calibri" w:cs="Calibri"/>
          <w:sz w:val="24"/>
          <w:szCs w:val="24"/>
        </w:rPr>
        <w:t xml:space="preserve"> </w:t>
      </w:r>
      <w:r w:rsidR="00A9216D" w:rsidRPr="00140E22">
        <w:rPr>
          <w:rFonts w:ascii="Calibri" w:hAnsi="Calibri" w:cs="Calibri"/>
          <w:sz w:val="24"/>
          <w:szCs w:val="24"/>
        </w:rPr>
        <w:t>2º Na elaboração do programa anual de fiscalização e monitoramento serão ponderados de forma positiva, podendo implicar fiscalização a partir de outros dispositivos da ação fiscal da Previc, as entidades que:</w:t>
      </w:r>
      <w:r w:rsidRPr="00140E22">
        <w:rPr>
          <w:rFonts w:ascii="Calibri" w:hAnsi="Calibri" w:cs="Calibri"/>
          <w:sz w:val="24"/>
          <w:szCs w:val="24"/>
        </w:rPr>
        <w:t>”</w:t>
      </w:r>
      <w:r w:rsidR="0033172B" w:rsidRPr="00140E22">
        <w:rPr>
          <w:rFonts w:ascii="Calibri" w:hAnsi="Calibri" w:cs="Calibri"/>
          <w:sz w:val="24"/>
          <w:szCs w:val="24"/>
        </w:rPr>
        <w:t xml:space="preserve"> (NR)</w:t>
      </w:r>
    </w:p>
    <w:p w14:paraId="72C8C88C" w14:textId="4569D559" w:rsidR="002D03EC" w:rsidRPr="00140E22" w:rsidRDefault="003D4DA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119AF528" w14:textId="3617679E" w:rsidR="002D03EC"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2D03EC" w:rsidRPr="00140E22">
        <w:rPr>
          <w:rFonts w:ascii="Calibri" w:hAnsi="Calibri" w:cs="Calibri"/>
          <w:kern w:val="0"/>
          <w:sz w:val="24"/>
          <w:szCs w:val="24"/>
          <w14:ligatures w14:val="none"/>
        </w:rPr>
        <w:t>Art. 233. O acompanhamento especial compreende os procedimentos de fiscalização destinados ao acompanhamento contínuo de situações específicas devidamente justificadas, que não possam ser atendidas por meio de AFDE ou AFI</w:t>
      </w:r>
      <w:r w:rsidR="007A4971"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w:t>
      </w:r>
      <w:r w:rsidR="0033172B" w:rsidRPr="00140E22">
        <w:rPr>
          <w:rFonts w:ascii="Calibri" w:hAnsi="Calibri" w:cs="Calibri"/>
          <w:kern w:val="0"/>
          <w:sz w:val="24"/>
          <w:szCs w:val="24"/>
          <w14:ligatures w14:val="none"/>
        </w:rPr>
        <w:t xml:space="preserve"> (NR)</w:t>
      </w:r>
    </w:p>
    <w:p w14:paraId="25F36104" w14:textId="5A421C8C"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495E3604" w14:textId="62BAF249" w:rsidR="00A36D87"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36D87" w:rsidRPr="00140E22">
        <w:rPr>
          <w:rFonts w:ascii="Calibri" w:hAnsi="Calibri" w:cs="Calibri"/>
          <w:kern w:val="0"/>
          <w:sz w:val="24"/>
          <w:szCs w:val="24"/>
          <w14:ligatures w14:val="none"/>
        </w:rPr>
        <w:t>Art. 237. A AFI compreende o procedimento de fiscalização decorrente de outras ações fiscais.</w:t>
      </w:r>
      <w:r w:rsidRPr="00140E22">
        <w:rPr>
          <w:rFonts w:ascii="Calibri" w:hAnsi="Calibri" w:cs="Calibri"/>
          <w:kern w:val="0"/>
          <w:sz w:val="24"/>
          <w:szCs w:val="24"/>
          <w14:ligatures w14:val="none"/>
        </w:rPr>
        <w:t>”</w:t>
      </w:r>
      <w:r w:rsidR="0033172B" w:rsidRPr="00140E22">
        <w:rPr>
          <w:rFonts w:ascii="Calibri" w:hAnsi="Calibri" w:cs="Calibri"/>
          <w:kern w:val="0"/>
          <w:sz w:val="24"/>
          <w:szCs w:val="24"/>
          <w14:ligatures w14:val="none"/>
        </w:rPr>
        <w:t xml:space="preserve"> (NR)</w:t>
      </w:r>
    </w:p>
    <w:p w14:paraId="4F4EDB98" w14:textId="406E1620"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799FD167" w14:textId="2F2E1564" w:rsidR="00AA3AF0"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A3AF0" w:rsidRPr="00140E22">
        <w:rPr>
          <w:rFonts w:ascii="Calibri" w:hAnsi="Calibri" w:cs="Calibri"/>
          <w:kern w:val="0"/>
          <w:sz w:val="24"/>
          <w:szCs w:val="24"/>
          <w14:ligatures w14:val="none"/>
        </w:rPr>
        <w:t>Art. 239. Os procedimentos de Supervisão Permanente, Supervisão Periódica, Diligência e Acompanhamento Especial poderão se estender por mais de um exercício.</w:t>
      </w:r>
      <w:r w:rsidR="0033172B" w:rsidRPr="00140E22">
        <w:rPr>
          <w:rFonts w:ascii="Calibri" w:hAnsi="Calibri" w:cs="Calibri"/>
          <w:kern w:val="0"/>
          <w:sz w:val="24"/>
          <w:szCs w:val="24"/>
          <w14:ligatures w14:val="none"/>
        </w:rPr>
        <w:t>” (NR)</w:t>
      </w:r>
    </w:p>
    <w:p w14:paraId="033155F5" w14:textId="5F7607D2" w:rsidR="00AA3AF0"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A3AF0" w:rsidRPr="00140E22">
        <w:rPr>
          <w:rFonts w:ascii="Calibri" w:hAnsi="Calibri" w:cs="Calibri"/>
          <w:kern w:val="0"/>
          <w:sz w:val="24"/>
          <w:szCs w:val="24"/>
          <w14:ligatures w14:val="none"/>
        </w:rPr>
        <w:t xml:space="preserve">§ 1º </w:t>
      </w:r>
      <w:r w:rsidR="002A0B5B" w:rsidRPr="00140E22">
        <w:rPr>
          <w:rFonts w:ascii="Calibri" w:hAnsi="Calibri" w:cs="Calibri"/>
          <w:kern w:val="0"/>
          <w:sz w:val="24"/>
          <w:szCs w:val="24"/>
          <w14:ligatures w14:val="none"/>
        </w:rPr>
        <w:t xml:space="preserve"> </w:t>
      </w:r>
      <w:r w:rsidR="00AA3AF0" w:rsidRPr="00140E22">
        <w:rPr>
          <w:rFonts w:ascii="Calibri" w:hAnsi="Calibri" w:cs="Calibri"/>
          <w:kern w:val="0"/>
          <w:sz w:val="24"/>
          <w:szCs w:val="24"/>
          <w14:ligatures w14:val="none"/>
        </w:rPr>
        <w:t>No final de cada ciclo dos trabalhos a equipe deverá se reunir com os órgãos estatutários da EFPC para apresentar os resultados obtidos por meio de relatório de fiscalização.</w:t>
      </w:r>
      <w:r w:rsidRPr="00140E22">
        <w:rPr>
          <w:rFonts w:ascii="Calibri" w:hAnsi="Calibri" w:cs="Calibri"/>
          <w:kern w:val="0"/>
          <w:sz w:val="24"/>
          <w:szCs w:val="24"/>
          <w14:ligatures w14:val="none"/>
        </w:rPr>
        <w:t>” (NR)</w:t>
      </w:r>
    </w:p>
    <w:p w14:paraId="16BB3D19" w14:textId="26FC046F" w:rsidR="00AA3AF0"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lastRenderedPageBreak/>
        <w:t>“</w:t>
      </w:r>
      <w:r w:rsidR="00AA3AF0" w:rsidRPr="00140E22">
        <w:rPr>
          <w:rFonts w:ascii="Calibri" w:hAnsi="Calibri" w:cs="Calibri"/>
          <w:kern w:val="0"/>
          <w:sz w:val="24"/>
          <w:szCs w:val="24"/>
          <w14:ligatures w14:val="none"/>
        </w:rPr>
        <w:t xml:space="preserve">§ 2º </w:t>
      </w:r>
      <w:r w:rsidR="002A0B5B" w:rsidRPr="00140E22">
        <w:rPr>
          <w:rFonts w:ascii="Calibri" w:hAnsi="Calibri" w:cs="Calibri"/>
          <w:kern w:val="0"/>
          <w:sz w:val="24"/>
          <w:szCs w:val="24"/>
          <w14:ligatures w14:val="none"/>
        </w:rPr>
        <w:t xml:space="preserve"> </w:t>
      </w:r>
      <w:r w:rsidR="00AA3AF0" w:rsidRPr="00140E22">
        <w:rPr>
          <w:rFonts w:ascii="Calibri" w:hAnsi="Calibri" w:cs="Calibri"/>
          <w:kern w:val="0"/>
          <w:sz w:val="24"/>
          <w:szCs w:val="24"/>
          <w14:ligatures w14:val="none"/>
        </w:rPr>
        <w:t>As equipes de Supervisão Permanente, Supervisão Periódica, Diligência e Acompanhamento Especial, durante suas atividades, poderão executar os procedimentos de AFI ou outros procedimentos de fiscalização ou monitoramento referentes à EFPC objeto da ação fiscal.</w:t>
      </w:r>
      <w:r w:rsidR="003D4DAE"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 xml:space="preserve"> (NR)</w:t>
      </w:r>
    </w:p>
    <w:p w14:paraId="65F07918" w14:textId="7ACCC090"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7EDE15A4" w14:textId="1975AB1D" w:rsidR="00750D2C"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750D2C" w:rsidRPr="00140E22">
        <w:rPr>
          <w:rFonts w:ascii="Calibri" w:hAnsi="Calibri" w:cs="Calibri"/>
          <w:kern w:val="0"/>
          <w:sz w:val="24"/>
          <w:szCs w:val="24"/>
          <w14:ligatures w14:val="none"/>
        </w:rPr>
        <w:t xml:space="preserve">Art. 240. </w:t>
      </w:r>
      <w:r w:rsidR="002A0B5B" w:rsidRPr="00140E22">
        <w:rPr>
          <w:rFonts w:ascii="Calibri" w:hAnsi="Calibri" w:cs="Calibri"/>
          <w:kern w:val="0"/>
          <w:sz w:val="24"/>
          <w:szCs w:val="24"/>
          <w14:ligatures w14:val="none"/>
        </w:rPr>
        <w:t xml:space="preserve"> </w:t>
      </w:r>
      <w:r w:rsidR="00750D2C" w:rsidRPr="00140E22">
        <w:rPr>
          <w:rFonts w:ascii="Calibri" w:hAnsi="Calibri" w:cs="Calibri"/>
          <w:kern w:val="0"/>
          <w:sz w:val="24"/>
          <w:szCs w:val="24"/>
          <w14:ligatures w14:val="none"/>
        </w:rPr>
        <w:t>Os procedimentos de fiscalização elencados no art. 231,</w:t>
      </w:r>
      <w:r w:rsidR="0033172B" w:rsidRPr="00140E22">
        <w:rPr>
          <w:rFonts w:ascii="Calibri" w:hAnsi="Calibri" w:cs="Calibri"/>
          <w:kern w:val="0"/>
          <w:sz w:val="24"/>
          <w:szCs w:val="24"/>
          <w14:ligatures w14:val="none"/>
        </w:rPr>
        <w:t xml:space="preserve"> inciso I,</w:t>
      </w:r>
      <w:r w:rsidR="00750D2C" w:rsidRPr="00140E22">
        <w:rPr>
          <w:rFonts w:ascii="Calibri" w:hAnsi="Calibri" w:cs="Calibri"/>
          <w:kern w:val="0"/>
          <w:sz w:val="24"/>
          <w:szCs w:val="24"/>
          <w14:ligatures w14:val="none"/>
        </w:rPr>
        <w:t xml:space="preserve"> com exceção das alíneas “f” e “g”, serão iniciados com ofício emitido pela Chefia do Escritório de Representação dirigido ao dirigente máximo da EFPC contendo, no mínimo, o seguinte:</w:t>
      </w:r>
      <w:r w:rsidR="0033172B" w:rsidRPr="00140E22">
        <w:rPr>
          <w:rFonts w:ascii="Calibri" w:hAnsi="Calibri" w:cs="Calibri"/>
          <w:kern w:val="0"/>
          <w:sz w:val="24"/>
          <w:szCs w:val="24"/>
          <w14:ligatures w14:val="none"/>
        </w:rPr>
        <w:t>” (NR)</w:t>
      </w:r>
    </w:p>
    <w:p w14:paraId="69FF1FE1" w14:textId="5B50DE5E" w:rsidR="0033172B"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28F11EFA" w14:textId="67488624" w:rsidR="00750D2C"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750D2C" w:rsidRPr="00140E22">
        <w:rPr>
          <w:rFonts w:ascii="Calibri" w:hAnsi="Calibri" w:cs="Calibri"/>
          <w:kern w:val="0"/>
          <w:sz w:val="24"/>
          <w:szCs w:val="24"/>
          <w14:ligatures w14:val="none"/>
        </w:rPr>
        <w:t xml:space="preserve">§ 1º </w:t>
      </w:r>
      <w:r w:rsidR="002A0B5B" w:rsidRPr="00140E22">
        <w:rPr>
          <w:rFonts w:ascii="Calibri" w:hAnsi="Calibri" w:cs="Calibri"/>
          <w:kern w:val="0"/>
          <w:sz w:val="24"/>
          <w:szCs w:val="24"/>
          <w14:ligatures w14:val="none"/>
        </w:rPr>
        <w:t xml:space="preserve"> </w:t>
      </w:r>
      <w:r w:rsidR="00750D2C" w:rsidRPr="00140E22">
        <w:rPr>
          <w:rFonts w:ascii="Calibri" w:hAnsi="Calibri" w:cs="Calibri"/>
          <w:kern w:val="0"/>
          <w:sz w:val="24"/>
          <w:szCs w:val="24"/>
          <w14:ligatures w14:val="none"/>
        </w:rPr>
        <w:t>A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w:t>
      </w:r>
      <w:r w:rsidR="00B2356D" w:rsidRPr="00140E22">
        <w:rPr>
          <w:rFonts w:ascii="Calibri" w:hAnsi="Calibri" w:cs="Calibri"/>
          <w:kern w:val="0"/>
          <w:sz w:val="24"/>
          <w:szCs w:val="24"/>
          <w14:ligatures w14:val="none"/>
        </w:rPr>
        <w:t>” (NR)</w:t>
      </w:r>
    </w:p>
    <w:p w14:paraId="453E33F6" w14:textId="51829A90" w:rsidR="00750D2C" w:rsidRPr="00140E22" w:rsidRDefault="00750D2C"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 2º</w:t>
      </w:r>
      <w:r w:rsidR="002A0B5B" w:rsidRPr="00140E22">
        <w:rPr>
          <w:rFonts w:ascii="Calibri" w:hAnsi="Calibri" w:cs="Calibri"/>
          <w:kern w:val="0"/>
          <w:sz w:val="24"/>
          <w:szCs w:val="24"/>
          <w14:ligatures w14:val="none"/>
        </w:rPr>
        <w:t xml:space="preserve"> </w:t>
      </w:r>
      <w:r w:rsidRPr="00140E22">
        <w:rPr>
          <w:rFonts w:ascii="Calibri" w:hAnsi="Calibri" w:cs="Calibri"/>
          <w:kern w:val="0"/>
          <w:sz w:val="24"/>
          <w:szCs w:val="24"/>
          <w14:ligatures w14:val="none"/>
        </w:rPr>
        <w:t xml:space="preserve"> O acompanhamento da ação fiscal será exercido pelo Escritório de Representação responsável pela equipe de supervisão, reportando ao Diretor de Fiscalização e Monitoramento quaisquer dificuldades ou embaraços opostos à ação fiscal.</w:t>
      </w:r>
      <w:r w:rsidR="003D4DAE" w:rsidRPr="00140E22">
        <w:rPr>
          <w:rFonts w:ascii="Calibri" w:hAnsi="Calibri" w:cs="Calibri"/>
          <w:kern w:val="0"/>
          <w:sz w:val="24"/>
          <w:szCs w:val="24"/>
          <w14:ligatures w14:val="none"/>
        </w:rPr>
        <w:t>”</w:t>
      </w:r>
      <w:r w:rsidR="00E21E49" w:rsidRPr="00140E22">
        <w:rPr>
          <w:rFonts w:ascii="Calibri" w:hAnsi="Calibri" w:cs="Calibri"/>
          <w:kern w:val="0"/>
          <w:sz w:val="24"/>
          <w:szCs w:val="24"/>
          <w14:ligatures w14:val="none"/>
        </w:rPr>
        <w:t xml:space="preserve"> (NR)</w:t>
      </w:r>
    </w:p>
    <w:p w14:paraId="43C4BA58" w14:textId="55047086"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1A2472C6" w14:textId="5FCA03A7" w:rsidR="00BC312D"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 xml:space="preserve">Art. 242. Os procedimentos de fiscalização elencados no art. 231, </w:t>
      </w:r>
      <w:r w:rsidR="00666A51" w:rsidRPr="00140E22">
        <w:rPr>
          <w:rFonts w:ascii="Calibri" w:hAnsi="Calibri" w:cs="Calibri"/>
          <w:kern w:val="0"/>
          <w:sz w:val="24"/>
          <w:szCs w:val="24"/>
          <w14:ligatures w14:val="none"/>
        </w:rPr>
        <w:t xml:space="preserve">inciso I, </w:t>
      </w:r>
      <w:r w:rsidR="00BC312D" w:rsidRPr="00140E22">
        <w:rPr>
          <w:rFonts w:ascii="Calibri" w:hAnsi="Calibri" w:cs="Calibri"/>
          <w:kern w:val="0"/>
          <w:sz w:val="24"/>
          <w:szCs w:val="24"/>
          <w14:ligatures w14:val="none"/>
        </w:rPr>
        <w:t>com exceção das alíneas “f” e “g”, serão encerrados com a entrega de Relatório de Fiscalização, que deverão apresentar pelo menos uma das conclusões abaixo indicadas:</w:t>
      </w:r>
      <w:r w:rsidR="00666A51" w:rsidRPr="00140E22">
        <w:rPr>
          <w:rFonts w:ascii="Calibri" w:hAnsi="Calibri" w:cs="Calibri"/>
          <w:kern w:val="0"/>
          <w:sz w:val="24"/>
          <w:szCs w:val="24"/>
          <w14:ligatures w14:val="none"/>
        </w:rPr>
        <w:t>” (NR)</w:t>
      </w:r>
      <w:r w:rsidR="00BC312D" w:rsidRPr="00140E22">
        <w:rPr>
          <w:rFonts w:ascii="Calibri" w:hAnsi="Calibri" w:cs="Calibri"/>
          <w:kern w:val="0"/>
          <w:sz w:val="24"/>
          <w:szCs w:val="24"/>
          <w14:ligatures w14:val="none"/>
        </w:rPr>
        <w:t xml:space="preserve"> </w:t>
      </w:r>
    </w:p>
    <w:p w14:paraId="0353D686" w14:textId="464243C3" w:rsidR="00BC312D"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09F17056" w14:textId="4AC1F9C5"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 xml:space="preserve">VII </w:t>
      </w:r>
      <w:r w:rsidR="00105A70"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 xml:space="preserve"> Pontos de atenção;</w:t>
      </w:r>
      <w:r w:rsidRPr="00140E22">
        <w:rPr>
          <w:rFonts w:ascii="Calibri" w:hAnsi="Calibri" w:cs="Calibri"/>
          <w:kern w:val="0"/>
          <w:sz w:val="24"/>
          <w:szCs w:val="24"/>
          <w14:ligatures w14:val="none"/>
        </w:rPr>
        <w:t>” (NR)</w:t>
      </w:r>
    </w:p>
    <w:p w14:paraId="0E6F5110" w14:textId="0A5018D0"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VII</w:t>
      </w:r>
      <w:r w:rsidR="00C1746A" w:rsidRPr="00140E22">
        <w:rPr>
          <w:rFonts w:ascii="Calibri" w:hAnsi="Calibri" w:cs="Calibri"/>
          <w:kern w:val="0"/>
          <w:sz w:val="24"/>
          <w:szCs w:val="24"/>
          <w14:ligatures w14:val="none"/>
        </w:rPr>
        <w:t>I</w:t>
      </w:r>
      <w:r w:rsidR="00BC312D" w:rsidRPr="00140E22">
        <w:rPr>
          <w:rFonts w:ascii="Calibri" w:hAnsi="Calibri" w:cs="Calibri"/>
          <w:kern w:val="0"/>
          <w:sz w:val="24"/>
          <w:szCs w:val="24"/>
          <w14:ligatures w14:val="none"/>
        </w:rPr>
        <w:t xml:space="preserve"> - proposta de celebração de Termo de Ajustamento de Conduta; e</w:t>
      </w:r>
      <w:r w:rsidRPr="00140E22">
        <w:rPr>
          <w:rFonts w:ascii="Calibri" w:hAnsi="Calibri" w:cs="Calibri"/>
          <w:kern w:val="0"/>
          <w:sz w:val="24"/>
          <w:szCs w:val="24"/>
          <w14:ligatures w14:val="none"/>
        </w:rPr>
        <w:t>” (NR)</w:t>
      </w:r>
      <w:r w:rsidR="00BC312D" w:rsidRPr="00140E22">
        <w:rPr>
          <w:rFonts w:ascii="Calibri" w:hAnsi="Calibri" w:cs="Calibri"/>
          <w:kern w:val="0"/>
          <w:sz w:val="24"/>
          <w:szCs w:val="24"/>
          <w14:ligatures w14:val="none"/>
        </w:rPr>
        <w:t xml:space="preserve"> </w:t>
      </w:r>
    </w:p>
    <w:p w14:paraId="5F8597A9" w14:textId="5844054B"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C1746A" w:rsidRPr="00140E22">
        <w:rPr>
          <w:rFonts w:ascii="Calibri" w:hAnsi="Calibri" w:cs="Calibri"/>
          <w:kern w:val="0"/>
          <w:sz w:val="24"/>
          <w:szCs w:val="24"/>
          <w14:ligatures w14:val="none"/>
        </w:rPr>
        <w:t>IX</w:t>
      </w:r>
      <w:r w:rsidR="00BC312D" w:rsidRPr="00140E22">
        <w:rPr>
          <w:rFonts w:ascii="Calibri" w:hAnsi="Calibri" w:cs="Calibri"/>
          <w:kern w:val="0"/>
          <w:sz w:val="24"/>
          <w:szCs w:val="24"/>
          <w14:ligatures w14:val="none"/>
        </w:rPr>
        <w:t xml:space="preserve"> - emissão de auto de infração</w:t>
      </w:r>
      <w:r w:rsidRPr="00140E22">
        <w:rPr>
          <w:rFonts w:ascii="Calibri" w:hAnsi="Calibri" w:cs="Calibri"/>
          <w:kern w:val="0"/>
          <w:sz w:val="24"/>
          <w:szCs w:val="24"/>
          <w14:ligatures w14:val="none"/>
        </w:rPr>
        <w:t>.” (NR)</w:t>
      </w:r>
    </w:p>
    <w:p w14:paraId="23181C94" w14:textId="28C0AAF8"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w:t>
      </w:r>
      <w:r w:rsidR="00F170D3" w:rsidRPr="00140E22">
        <w:rPr>
          <w:rFonts w:ascii="Calibri" w:hAnsi="Calibri" w:cs="Calibri"/>
          <w:kern w:val="0"/>
          <w:sz w:val="24"/>
          <w:szCs w:val="24"/>
          <w14:ligatures w14:val="none"/>
        </w:rPr>
        <w:t xml:space="preserve"> </w:t>
      </w:r>
      <w:r w:rsidR="00BC312D" w:rsidRPr="00140E22">
        <w:rPr>
          <w:rFonts w:ascii="Calibri" w:hAnsi="Calibri" w:cs="Calibri"/>
          <w:kern w:val="0"/>
          <w:sz w:val="24"/>
          <w:szCs w:val="24"/>
          <w14:ligatures w14:val="none"/>
        </w:rPr>
        <w:t>1º</w:t>
      </w:r>
      <w:r w:rsidR="00F170D3" w:rsidRPr="00140E22">
        <w:rPr>
          <w:rFonts w:ascii="Calibri" w:hAnsi="Calibri" w:cs="Calibri"/>
          <w:kern w:val="0"/>
          <w:sz w:val="24"/>
          <w:szCs w:val="24"/>
          <w14:ligatures w14:val="none"/>
        </w:rPr>
        <w:t xml:space="preserve"> </w:t>
      </w:r>
      <w:r w:rsidR="00BC312D" w:rsidRPr="00140E22">
        <w:rPr>
          <w:rFonts w:ascii="Calibri" w:hAnsi="Calibri" w:cs="Calibri"/>
          <w:kern w:val="0"/>
          <w:sz w:val="24"/>
          <w:szCs w:val="24"/>
          <w14:ligatures w14:val="none"/>
        </w:rPr>
        <w:t xml:space="preserve"> A Coordenação-Geral de Fiscalização Direta e o Diretor de Fiscalização e Monitoramento deverão ter conhecimento do teor do Relatório de Fiscalização.</w:t>
      </w:r>
      <w:r w:rsidR="00F170D3"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 xml:space="preserve"> (NR)</w:t>
      </w:r>
    </w:p>
    <w:p w14:paraId="2E685F55" w14:textId="5DD30E7E" w:rsidR="00F170D3" w:rsidRPr="00140E22" w:rsidRDefault="00F170D3"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2468C572" w14:textId="772B8651" w:rsidR="00A77291" w:rsidRPr="00140E22" w:rsidRDefault="00A7729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Art. 244.</w:t>
      </w:r>
      <w:r w:rsidR="00666A51" w:rsidRPr="00140E22">
        <w:rPr>
          <w:rFonts w:ascii="Calibri" w:hAnsi="Calibri" w:cs="Calibri"/>
          <w:kern w:val="0"/>
          <w:sz w:val="24"/>
          <w:szCs w:val="24"/>
          <w14:ligatures w14:val="none"/>
        </w:rPr>
        <w:t xml:space="preserve"> .</w:t>
      </w:r>
      <w:r w:rsidRPr="00140E22">
        <w:rPr>
          <w:rFonts w:ascii="Calibri" w:hAnsi="Calibri" w:cs="Calibri"/>
          <w:kern w:val="0"/>
          <w:sz w:val="24"/>
          <w:szCs w:val="24"/>
          <w14:ligatures w14:val="none"/>
        </w:rPr>
        <w:t>..</w:t>
      </w:r>
    </w:p>
    <w:p w14:paraId="32A81340" w14:textId="1F6DE180" w:rsidR="00F170D3" w:rsidRPr="00140E22" w:rsidRDefault="00F170D3"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626B74DD" w14:textId="05955D90" w:rsidR="00A77291"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77291" w:rsidRPr="00140E22">
        <w:rPr>
          <w:rFonts w:ascii="Calibri" w:hAnsi="Calibri" w:cs="Calibri"/>
          <w:kern w:val="0"/>
          <w:sz w:val="24"/>
          <w:szCs w:val="24"/>
          <w14:ligatures w14:val="none"/>
        </w:rPr>
        <w:t xml:space="preserve">III </w:t>
      </w:r>
      <w:r w:rsidRPr="00140E22">
        <w:rPr>
          <w:rFonts w:ascii="Calibri" w:hAnsi="Calibri" w:cs="Calibri"/>
          <w:kern w:val="0"/>
          <w:sz w:val="24"/>
          <w:szCs w:val="24"/>
          <w14:ligatures w14:val="none"/>
        </w:rPr>
        <w:t>-</w:t>
      </w:r>
      <w:r w:rsidR="00A77291" w:rsidRPr="00140E22">
        <w:rPr>
          <w:rFonts w:ascii="Calibri" w:hAnsi="Calibri" w:cs="Calibri"/>
          <w:kern w:val="0"/>
          <w:sz w:val="24"/>
          <w:szCs w:val="24"/>
          <w14:ligatures w14:val="none"/>
        </w:rPr>
        <w:t xml:space="preserve"> considerar o princípio da razoabilidade, em especial quanto ao segmento em que a entidade está enquadrada; e</w:t>
      </w:r>
      <w:r w:rsidRPr="00140E22">
        <w:rPr>
          <w:rFonts w:ascii="Calibri" w:hAnsi="Calibri" w:cs="Calibri"/>
          <w:kern w:val="0"/>
          <w:sz w:val="24"/>
          <w:szCs w:val="24"/>
          <w14:ligatures w14:val="none"/>
        </w:rPr>
        <w:t>” (NR)</w:t>
      </w:r>
    </w:p>
    <w:p w14:paraId="4F6F22F1" w14:textId="0EADA335" w:rsidR="00A77291"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77291" w:rsidRPr="00140E22">
        <w:rPr>
          <w:rFonts w:ascii="Calibri" w:hAnsi="Calibri" w:cs="Calibri"/>
          <w:kern w:val="0"/>
          <w:sz w:val="24"/>
          <w:szCs w:val="24"/>
          <w14:ligatures w14:val="none"/>
        </w:rPr>
        <w:t>IV - apresentar oportunidades de melhoria.</w:t>
      </w:r>
      <w:r w:rsidRPr="00140E22">
        <w:rPr>
          <w:rFonts w:ascii="Calibri" w:hAnsi="Calibri" w:cs="Calibri"/>
          <w:kern w:val="0"/>
          <w:sz w:val="24"/>
          <w:szCs w:val="24"/>
          <w14:ligatures w14:val="none"/>
        </w:rPr>
        <w:t>” (NR)</w:t>
      </w:r>
    </w:p>
    <w:p w14:paraId="6B2C9AE3" w14:textId="3C263F48" w:rsidR="002A0B5B" w:rsidRPr="00140E22" w:rsidRDefault="002A0B5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38BE8539" w14:textId="5E6A55A0" w:rsidR="00BC312D" w:rsidRPr="00140E22" w:rsidRDefault="00F63F99"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Art. 255. ...</w:t>
      </w:r>
    </w:p>
    <w:p w14:paraId="1A8592B7" w14:textId="61B516BA" w:rsidR="00F63F99" w:rsidRPr="00140E22" w:rsidRDefault="00666A51"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1º  A proposta de Termo de Ajustamento de Conduta deve ser apresentada pelo interessado, protocolada eletronicamente na Previc e dirigida à Diretoria de Fiscalização e Monitoramento que decidirá ou não pelo seu cabimento, conveniência e oportunidade.</w:t>
      </w:r>
      <w:r w:rsidRPr="00140E22">
        <w:rPr>
          <w:rFonts w:ascii="Calibri" w:hAnsi="Calibri" w:cs="Calibri"/>
          <w:sz w:val="24"/>
          <w:szCs w:val="24"/>
        </w:rPr>
        <w:t>”</w:t>
      </w:r>
      <w:r w:rsidR="009F34E5" w:rsidRPr="00140E22">
        <w:rPr>
          <w:rFonts w:ascii="Calibri" w:hAnsi="Calibri" w:cs="Calibri"/>
          <w:sz w:val="24"/>
          <w:szCs w:val="24"/>
        </w:rPr>
        <w:t xml:space="preserve"> (NR)</w:t>
      </w:r>
    </w:p>
    <w:p w14:paraId="115A2863" w14:textId="317D391C" w:rsidR="00F63F99" w:rsidRPr="00140E22" w:rsidRDefault="009F34E5" w:rsidP="007C3D89">
      <w:pPr>
        <w:tabs>
          <w:tab w:val="left" w:pos="0"/>
        </w:tabs>
        <w:autoSpaceDE w:val="0"/>
        <w:autoSpaceDN w:val="0"/>
        <w:adjustRightInd w:val="0"/>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2º  Em caso positivo a proposta será submetida a comitê composto por três servidores indicados pela Diretoria de Fiscalização e Monitoramento, pela Diretoria de Licenciamento e pela Diretoria de Normas.</w:t>
      </w:r>
      <w:r w:rsidRPr="00140E22">
        <w:rPr>
          <w:rFonts w:ascii="Calibri" w:hAnsi="Calibri" w:cs="Calibri"/>
          <w:sz w:val="24"/>
          <w:szCs w:val="24"/>
        </w:rPr>
        <w:t>” (NR)</w:t>
      </w:r>
    </w:p>
    <w:p w14:paraId="4ACC1064" w14:textId="3FA09B86" w:rsidR="00F63F99" w:rsidRPr="00140E22" w:rsidRDefault="009F34E5" w:rsidP="007C3D89">
      <w:pPr>
        <w:tabs>
          <w:tab w:val="left" w:pos="0"/>
        </w:tabs>
        <w:autoSpaceDE w:val="0"/>
        <w:autoSpaceDN w:val="0"/>
        <w:adjustRightInd w:val="0"/>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w:t>
      </w:r>
      <w:r w:rsidR="00F63F99" w:rsidRPr="00140E22">
        <w:rPr>
          <w:rFonts w:ascii="Calibri" w:hAnsi="Calibri" w:cs="Calibri"/>
          <w:sz w:val="24"/>
          <w:szCs w:val="24"/>
        </w:rPr>
        <w:t>§ 3º  Em caso negativo a Diretoria de Fiscalização e Monitoramento comunicará ao interessado o indeferimento da proposta de Termo de Ajustamento de Conduta.</w:t>
      </w:r>
      <w:r w:rsidRPr="00140E22">
        <w:rPr>
          <w:rFonts w:ascii="Calibri" w:hAnsi="Calibri" w:cs="Calibri"/>
          <w:sz w:val="24"/>
          <w:szCs w:val="24"/>
        </w:rPr>
        <w:t>” (NR)</w:t>
      </w:r>
    </w:p>
    <w:p w14:paraId="119DAF89" w14:textId="24F6D578" w:rsidR="00F63F99" w:rsidRPr="00140E22" w:rsidRDefault="009F34E5" w:rsidP="007C3D89">
      <w:pPr>
        <w:tabs>
          <w:tab w:val="left" w:pos="0"/>
        </w:tabs>
        <w:autoSpaceDE w:val="0"/>
        <w:autoSpaceDN w:val="0"/>
        <w:adjustRightInd w:val="0"/>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4º  Poderá integrar ainda o comitê, sem direito a voto, representante da Procuradoria Federal junto à Previc.</w:t>
      </w:r>
      <w:r w:rsidRPr="00140E22">
        <w:rPr>
          <w:rFonts w:ascii="Calibri" w:hAnsi="Calibri" w:cs="Calibri"/>
          <w:sz w:val="24"/>
          <w:szCs w:val="24"/>
        </w:rPr>
        <w:t>” (NR)</w:t>
      </w:r>
    </w:p>
    <w:p w14:paraId="6963E120" w14:textId="552020C7" w:rsidR="00F63F99" w:rsidRPr="00140E22" w:rsidRDefault="009F34E5" w:rsidP="007C3D89">
      <w:pPr>
        <w:tabs>
          <w:tab w:val="left" w:pos="0"/>
        </w:tabs>
        <w:autoSpaceDE w:val="0"/>
        <w:autoSpaceDN w:val="0"/>
        <w:adjustRightInd w:val="0"/>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5º  Os membros do comitê e seus substitutos serão designados por Portaria do Diretor Superintendente.</w:t>
      </w:r>
      <w:r w:rsidRPr="00140E22">
        <w:rPr>
          <w:rFonts w:ascii="Calibri" w:hAnsi="Calibri" w:cs="Calibri"/>
          <w:sz w:val="24"/>
          <w:szCs w:val="24"/>
        </w:rPr>
        <w:t>” (NR)</w:t>
      </w:r>
    </w:p>
    <w:p w14:paraId="37C077F8" w14:textId="762490F7" w:rsidR="00F63F99" w:rsidRPr="00140E22" w:rsidRDefault="009F34E5" w:rsidP="007C3D89">
      <w:pPr>
        <w:tabs>
          <w:tab w:val="left" w:pos="0"/>
        </w:tabs>
        <w:autoSpaceDE w:val="0"/>
        <w:autoSpaceDN w:val="0"/>
        <w:adjustRightInd w:val="0"/>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xml:space="preserve">§ 6º  A Coordenação-Geral de </w:t>
      </w:r>
      <w:r w:rsidR="00CF29A4" w:rsidRPr="00140E22">
        <w:rPr>
          <w:rFonts w:ascii="Calibri" w:hAnsi="Calibri" w:cs="Calibri"/>
          <w:sz w:val="24"/>
          <w:szCs w:val="24"/>
        </w:rPr>
        <w:t>S</w:t>
      </w:r>
      <w:r w:rsidR="00F63F99" w:rsidRPr="00140E22">
        <w:rPr>
          <w:rFonts w:ascii="Calibri" w:hAnsi="Calibri" w:cs="Calibri"/>
          <w:sz w:val="24"/>
          <w:szCs w:val="24"/>
        </w:rPr>
        <w:t>uporte à Diretoria Colegiada prestará apoio para as atividades do comitê de que trata este artigo.</w:t>
      </w:r>
      <w:r w:rsidRPr="00140E22">
        <w:rPr>
          <w:rFonts w:ascii="Calibri" w:hAnsi="Calibri" w:cs="Calibri"/>
          <w:sz w:val="24"/>
          <w:szCs w:val="24"/>
        </w:rPr>
        <w:t>” (NR)</w:t>
      </w:r>
    </w:p>
    <w:p w14:paraId="5267E97C" w14:textId="35066852" w:rsidR="00987D89" w:rsidRPr="00140E22" w:rsidRDefault="00987D89" w:rsidP="007C3D89">
      <w:pPr>
        <w:tabs>
          <w:tab w:val="left" w:pos="0"/>
        </w:tabs>
        <w:autoSpaceDE w:val="0"/>
        <w:autoSpaceDN w:val="0"/>
        <w:adjustRightInd w:val="0"/>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20F4600D" w14:textId="22842CC7" w:rsidR="00F033A8" w:rsidRPr="00140E22" w:rsidRDefault="00FD2F6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364. ...</w:t>
      </w:r>
    </w:p>
    <w:p w14:paraId="741039E5" w14:textId="2AD18706" w:rsidR="00FD2F60" w:rsidRPr="00140E22" w:rsidRDefault="00FD2F6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7D4243F5" w14:textId="4E1E495D" w:rsidR="00FD2F60" w:rsidRPr="00140E22" w:rsidRDefault="0032651F" w:rsidP="007C3D89">
      <w:pPr>
        <w:tabs>
          <w:tab w:val="left" w:pos="0"/>
          <w:tab w:val="center" w:pos="4820"/>
        </w:tabs>
        <w:spacing w:after="120" w:line="240" w:lineRule="auto"/>
        <w:ind w:left="-284" w:right="-1135"/>
        <w:jc w:val="both"/>
        <w:rPr>
          <w:rFonts w:ascii="Calibri" w:hAnsi="Calibri" w:cs="Calibri"/>
          <w:sz w:val="24"/>
          <w:szCs w:val="24"/>
          <w:shd w:val="clear" w:color="auto" w:fill="FFFFFF"/>
        </w:rPr>
      </w:pPr>
      <w:r w:rsidRPr="00140E22">
        <w:rPr>
          <w:rFonts w:ascii="Calibri" w:hAnsi="Calibri" w:cs="Calibri"/>
          <w:sz w:val="24"/>
          <w:szCs w:val="24"/>
          <w:shd w:val="clear" w:color="auto" w:fill="FFFFFF"/>
        </w:rPr>
        <w:t>“§ 3º  A forma de envio das informações deve ser realizada conforme Portaria da Diretoria de Normas (Dinor).” (NR)</w:t>
      </w:r>
    </w:p>
    <w:p w14:paraId="1AFD0FA0" w14:textId="60C8E985" w:rsidR="0032651F" w:rsidRPr="00140E22" w:rsidRDefault="0032651F" w:rsidP="007C3D89">
      <w:pPr>
        <w:tabs>
          <w:tab w:val="left" w:pos="0"/>
          <w:tab w:val="center" w:pos="4820"/>
        </w:tabs>
        <w:spacing w:after="120" w:line="240" w:lineRule="auto"/>
        <w:ind w:left="-284" w:right="-1135"/>
        <w:jc w:val="both"/>
        <w:rPr>
          <w:rFonts w:ascii="Calibri" w:hAnsi="Calibri" w:cs="Calibri"/>
          <w:sz w:val="24"/>
          <w:szCs w:val="24"/>
          <w:shd w:val="clear" w:color="auto" w:fill="FFFFFF"/>
        </w:rPr>
      </w:pPr>
      <w:r w:rsidRPr="00140E22">
        <w:rPr>
          <w:rFonts w:ascii="Calibri" w:hAnsi="Calibri" w:cs="Calibri"/>
          <w:sz w:val="24"/>
          <w:szCs w:val="24"/>
          <w:shd w:val="clear" w:color="auto" w:fill="FFFFFF"/>
        </w:rPr>
        <w:t>...</w:t>
      </w:r>
    </w:p>
    <w:p w14:paraId="175C368C" w14:textId="2334D77E" w:rsidR="0032651F" w:rsidRPr="00140E22" w:rsidRDefault="009F34E5"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shd w:val="clear" w:color="auto" w:fill="FFFFFF"/>
        </w:rPr>
        <w:t>“</w:t>
      </w:r>
      <w:r w:rsidR="0032651F" w:rsidRPr="00140E22">
        <w:rPr>
          <w:rFonts w:ascii="Calibri" w:hAnsi="Calibri" w:cs="Calibri"/>
          <w:sz w:val="24"/>
          <w:szCs w:val="24"/>
          <w:shd w:val="clear" w:color="auto" w:fill="FFFFFF"/>
        </w:rPr>
        <w:t>Art. 368.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 3º do art. 364 desta Resolução.” (NR)</w:t>
      </w:r>
    </w:p>
    <w:p w14:paraId="2915DC8F" w14:textId="77777777" w:rsidR="006249FC" w:rsidRPr="00140E22" w:rsidRDefault="006249FC" w:rsidP="007C3D89">
      <w:pPr>
        <w:tabs>
          <w:tab w:val="left" w:pos="0"/>
          <w:tab w:val="center" w:pos="4820"/>
        </w:tabs>
        <w:spacing w:after="120" w:line="240" w:lineRule="auto"/>
        <w:ind w:left="-567" w:right="-1135"/>
        <w:jc w:val="center"/>
        <w:rPr>
          <w:rFonts w:ascii="Calibri" w:hAnsi="Calibri" w:cs="Calibri"/>
          <w:sz w:val="24"/>
          <w:szCs w:val="24"/>
        </w:rPr>
      </w:pPr>
    </w:p>
    <w:p w14:paraId="17560168" w14:textId="203EECF9" w:rsidR="00090942" w:rsidRPr="00140E22" w:rsidRDefault="00BF1523" w:rsidP="007C3D89">
      <w:pPr>
        <w:tabs>
          <w:tab w:val="left" w:pos="0"/>
          <w:tab w:val="center" w:pos="4820"/>
        </w:tabs>
        <w:spacing w:after="120" w:line="240" w:lineRule="auto"/>
        <w:ind w:left="-284" w:right="-1135"/>
        <w:jc w:val="center"/>
        <w:rPr>
          <w:rFonts w:ascii="Calibri" w:hAnsi="Calibri" w:cs="Calibri"/>
          <w:sz w:val="24"/>
          <w:szCs w:val="24"/>
        </w:rPr>
      </w:pPr>
      <w:r w:rsidRPr="00140E22">
        <w:rPr>
          <w:rFonts w:ascii="Calibri" w:hAnsi="Calibri" w:cs="Calibri"/>
          <w:sz w:val="24"/>
          <w:szCs w:val="24"/>
        </w:rPr>
        <w:t>“</w:t>
      </w:r>
      <w:r w:rsidR="00090942" w:rsidRPr="00140E22">
        <w:rPr>
          <w:rFonts w:ascii="Calibri" w:hAnsi="Calibri" w:cs="Calibri"/>
          <w:sz w:val="24"/>
          <w:szCs w:val="24"/>
        </w:rPr>
        <w:t>CAPÍTULO XIII</w:t>
      </w:r>
    </w:p>
    <w:p w14:paraId="751E2501" w14:textId="036C5B3D" w:rsidR="00BF1523" w:rsidRPr="00140E22" w:rsidRDefault="00BF1523" w:rsidP="007C3D89">
      <w:pPr>
        <w:tabs>
          <w:tab w:val="left" w:pos="0"/>
        </w:tabs>
        <w:ind w:left="-284" w:right="-1135"/>
        <w:jc w:val="center"/>
        <w:rPr>
          <w:rFonts w:ascii="Calibri" w:hAnsi="Calibri" w:cs="Calibri"/>
          <w:b/>
          <w:bCs/>
          <w:sz w:val="24"/>
          <w:szCs w:val="24"/>
        </w:rPr>
      </w:pPr>
      <w:r w:rsidRPr="00140E22">
        <w:rPr>
          <w:rFonts w:ascii="Calibri" w:hAnsi="Calibri" w:cs="Calibri"/>
          <w:sz w:val="24"/>
          <w:szCs w:val="24"/>
        </w:rPr>
        <w:t>DOS PROCEDIMENTOS VISANDO À PREVENÇÃO DOS CRIMES DE LAVAGEM OU OCULTAÇÃO DE BENS, DIREITOS E VALORES, E DE COMBATE AO FINANCIAMENTO DO TERRORISMO”</w:t>
      </w:r>
      <w:r w:rsidR="007D6ACE" w:rsidRPr="00140E22">
        <w:rPr>
          <w:rFonts w:ascii="Calibri" w:hAnsi="Calibri" w:cs="Calibri"/>
          <w:sz w:val="24"/>
          <w:szCs w:val="24"/>
        </w:rPr>
        <w:t xml:space="preserve"> </w:t>
      </w:r>
      <w:r w:rsidR="002A0B5B" w:rsidRPr="00140E22">
        <w:rPr>
          <w:rFonts w:ascii="Calibri" w:hAnsi="Calibri" w:cs="Calibri"/>
          <w:sz w:val="24"/>
          <w:szCs w:val="24"/>
        </w:rPr>
        <w:t>(NR)</w:t>
      </w:r>
    </w:p>
    <w:p w14:paraId="1D4940A6" w14:textId="69B68173"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“Art. 375.  As EFPC devem observar o disposto nesta Resolução para prevenir a utilização do regime de previdência complementar fechad</w:t>
      </w:r>
      <w:r w:rsidR="002A0B5B" w:rsidRPr="00140E22">
        <w:rPr>
          <w:rFonts w:ascii="Calibri" w:hAnsi="Calibri" w:cs="Calibri"/>
          <w:sz w:val="24"/>
          <w:szCs w:val="24"/>
        </w:rPr>
        <w:t>o</w:t>
      </w:r>
      <w:r w:rsidRPr="00140E22">
        <w:rPr>
          <w:rFonts w:ascii="Calibri" w:hAnsi="Calibri" w:cs="Calibri"/>
          <w:sz w:val="24"/>
          <w:szCs w:val="24"/>
        </w:rPr>
        <w:t xml:space="preserve"> para a prática dos crimes de "lavagem" ou de ocultação de bens, direitos e valores, de que trata a Lei nº 9.613, de 3 de março de 1998, e de financiamento do terrorismo, previsto na Lei nº 13.260, de 16 de março de 2016.”</w:t>
      </w:r>
      <w:r w:rsidR="00460B0C" w:rsidRPr="00140E22">
        <w:rPr>
          <w:rFonts w:ascii="Calibri" w:hAnsi="Calibri" w:cs="Calibri"/>
          <w:sz w:val="24"/>
          <w:szCs w:val="24"/>
        </w:rPr>
        <w:t xml:space="preserve"> </w:t>
      </w:r>
      <w:r w:rsidR="002A0B5B" w:rsidRPr="00140E22">
        <w:rPr>
          <w:rFonts w:ascii="Calibri" w:hAnsi="Calibri" w:cs="Calibri"/>
          <w:sz w:val="24"/>
          <w:szCs w:val="24"/>
        </w:rPr>
        <w:t>(NR)</w:t>
      </w:r>
    </w:p>
    <w:p w14:paraId="5EFECA79" w14:textId="4BC478D8" w:rsidR="00BF1523" w:rsidRPr="00140E22" w:rsidRDefault="00B46400"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Art. 376.  As EFPC, considerando seu perfil de risco, porte e complexidade, devem implementar e manter política, procedimentos e controles internos formulados com base em princípios e diretrizes que busquem prevenir a sua utilização para as práticas de lavagem de dinheiro e de financiamento do terrorismo.”</w:t>
      </w:r>
      <w:r w:rsidRPr="00140E22">
        <w:rPr>
          <w:rFonts w:ascii="Calibri" w:hAnsi="Calibri" w:cs="Calibri"/>
          <w:sz w:val="24"/>
          <w:szCs w:val="24"/>
        </w:rPr>
        <w:t xml:space="preserve"> </w:t>
      </w:r>
      <w:r w:rsidR="002A0B5B" w:rsidRPr="00140E22">
        <w:rPr>
          <w:rFonts w:ascii="Calibri" w:hAnsi="Calibri" w:cs="Calibri"/>
          <w:sz w:val="24"/>
          <w:szCs w:val="24"/>
        </w:rPr>
        <w:t>(NR)</w:t>
      </w:r>
    </w:p>
    <w:p w14:paraId="096C4E57" w14:textId="6C9FD05F" w:rsidR="00BF1523" w:rsidRPr="00140E22" w:rsidRDefault="00BF1523"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p>
    <w:p w14:paraId="4C94439C" w14:textId="590EC005" w:rsidR="00BF1523" w:rsidRPr="00140E22" w:rsidRDefault="00B46400"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 3º  As EFPC devem avaliar a efetividade da política, dos procedimentos e dos controles internos de que trata esta Instrução.</w:t>
      </w:r>
      <w:r w:rsidRPr="00140E22">
        <w:rPr>
          <w:rFonts w:ascii="Calibri" w:hAnsi="Calibri" w:cs="Calibri"/>
          <w:sz w:val="24"/>
          <w:szCs w:val="24"/>
        </w:rPr>
        <w:t>”</w:t>
      </w:r>
      <w:r w:rsidR="00BF1523" w:rsidRPr="00140E22">
        <w:rPr>
          <w:rFonts w:ascii="Calibri" w:hAnsi="Calibri" w:cs="Calibri"/>
          <w:sz w:val="24"/>
          <w:szCs w:val="24"/>
        </w:rPr>
        <w:t xml:space="preserve"> (NR)</w:t>
      </w:r>
    </w:p>
    <w:p w14:paraId="6758B9B4" w14:textId="3A33454F" w:rsidR="00BF1523" w:rsidRPr="00140E22" w:rsidRDefault="00BF1523" w:rsidP="007C3D89">
      <w:pPr>
        <w:tabs>
          <w:tab w:val="left" w:pos="0"/>
        </w:tabs>
        <w:ind w:left="-284" w:right="-1135"/>
        <w:rPr>
          <w:rFonts w:ascii="Calibri" w:hAnsi="Calibri" w:cs="Calibri"/>
          <w:sz w:val="24"/>
          <w:szCs w:val="24"/>
        </w:rPr>
      </w:pPr>
      <w:r w:rsidRPr="00140E22">
        <w:rPr>
          <w:rFonts w:ascii="Calibri" w:hAnsi="Calibri" w:cs="Calibri"/>
          <w:sz w:val="24"/>
          <w:szCs w:val="24"/>
        </w:rPr>
        <w:t>...</w:t>
      </w:r>
    </w:p>
    <w:p w14:paraId="0D82CBD5" w14:textId="37A393D8" w:rsidR="00BF1523" w:rsidRPr="00140E22" w:rsidRDefault="00BF1523" w:rsidP="007C3D89">
      <w:pPr>
        <w:tabs>
          <w:tab w:val="left" w:pos="0"/>
        </w:tabs>
        <w:ind w:left="-284" w:right="-1135"/>
        <w:rPr>
          <w:rFonts w:ascii="Calibri" w:hAnsi="Calibri" w:cs="Calibri"/>
          <w:sz w:val="24"/>
          <w:szCs w:val="24"/>
        </w:rPr>
      </w:pPr>
      <w:r w:rsidRPr="00140E22">
        <w:rPr>
          <w:rFonts w:ascii="Calibri" w:hAnsi="Calibri" w:cs="Calibri"/>
          <w:sz w:val="24"/>
          <w:szCs w:val="24"/>
        </w:rPr>
        <w:t>Art. 378. ...</w:t>
      </w:r>
    </w:p>
    <w:p w14:paraId="6DD27022" w14:textId="54461C9D"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 1º  As EFPC devem comunicar ao COAF:</w:t>
      </w:r>
    </w:p>
    <w:p w14:paraId="3D24CCAD" w14:textId="78549C8F"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lastRenderedPageBreak/>
        <w:t>I - as operações que possam constituir sérios indícios dos crimes previstos na Lei nº 9.613 de 1998, ou a eles se relacionar; e</w:t>
      </w:r>
      <w:r w:rsidR="002A0B5B" w:rsidRPr="00140E22">
        <w:rPr>
          <w:rFonts w:ascii="Calibri" w:hAnsi="Calibri" w:cs="Calibri"/>
          <w:sz w:val="24"/>
          <w:szCs w:val="24"/>
        </w:rPr>
        <w:t xml:space="preserve"> (NR)</w:t>
      </w:r>
    </w:p>
    <w:p w14:paraId="47CCDA4B" w14:textId="28D2157E"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II - as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r w:rsidR="00B46400" w:rsidRPr="00140E22">
        <w:rPr>
          <w:rFonts w:ascii="Calibri" w:hAnsi="Calibri" w:cs="Calibri"/>
          <w:sz w:val="24"/>
          <w:szCs w:val="24"/>
        </w:rPr>
        <w:t>”</w:t>
      </w:r>
      <w:r w:rsidR="002A0B5B" w:rsidRPr="00140E22">
        <w:rPr>
          <w:rFonts w:ascii="Calibri" w:hAnsi="Calibri" w:cs="Calibri"/>
          <w:sz w:val="24"/>
          <w:szCs w:val="24"/>
        </w:rPr>
        <w:t xml:space="preserve"> (NR)</w:t>
      </w:r>
    </w:p>
    <w:p w14:paraId="18DF5A19" w14:textId="412709CE"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2º  As EFPC devem se habilitar para realizar as comunicações no Sistema de Controle de Atividades Financeiras (Siscoaf), do COAF.</w:t>
      </w:r>
      <w:r w:rsidR="002A0B5B" w:rsidRPr="00140E22">
        <w:rPr>
          <w:rFonts w:ascii="Calibri" w:hAnsi="Calibri" w:cs="Calibri"/>
          <w:sz w:val="24"/>
          <w:szCs w:val="24"/>
        </w:rPr>
        <w:t xml:space="preserve"> (NR)</w:t>
      </w:r>
    </w:p>
    <w:p w14:paraId="4B90254F" w14:textId="6481025B"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Art. 378-A.  As EFPC devem comunicar à Previc a não ocorrência de propostas, situações ou operações passíveis de comunicação ao COAF até último dia do mês de fevereiro do ano subsequente ao exercício</w:t>
      </w:r>
      <w:r w:rsidR="00FD2F60" w:rsidRPr="00140E22">
        <w:rPr>
          <w:rFonts w:ascii="Calibri" w:hAnsi="Calibri" w:cs="Calibri"/>
          <w:sz w:val="24"/>
          <w:szCs w:val="24"/>
        </w:rPr>
        <w:t>.</w:t>
      </w:r>
      <w:r w:rsidRPr="00140E22">
        <w:rPr>
          <w:rFonts w:ascii="Calibri" w:hAnsi="Calibri" w:cs="Calibri"/>
          <w:sz w:val="24"/>
          <w:szCs w:val="24"/>
        </w:rPr>
        <w:t>”</w:t>
      </w:r>
      <w:r w:rsidR="002A0B5B" w:rsidRPr="00140E22">
        <w:rPr>
          <w:rFonts w:ascii="Calibri" w:hAnsi="Calibri" w:cs="Calibri"/>
          <w:sz w:val="24"/>
          <w:szCs w:val="24"/>
        </w:rPr>
        <w:t xml:space="preserve"> (NR)</w:t>
      </w:r>
    </w:p>
    <w:p w14:paraId="73F41253" w14:textId="3A1A0026"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Art. 378-B.  A infração às disposições deste Capítulo, sujeitam as EFPC e seus administradores às sanções do art. 12 da Lei nº 9.613, de 1998 e da regulamentação em vigor, sem prejuízo das sanções aplicáveis por eventual descumprimento da legislação no âmbito da previdência complementar fechada.</w:t>
      </w:r>
      <w:r w:rsidRPr="00140E22">
        <w:rPr>
          <w:rFonts w:ascii="Calibri" w:hAnsi="Calibri" w:cs="Calibri"/>
          <w:sz w:val="24"/>
          <w:szCs w:val="24"/>
        </w:rPr>
        <w:t>”</w:t>
      </w:r>
      <w:r w:rsidR="002A0B5B" w:rsidRPr="00140E22">
        <w:rPr>
          <w:rFonts w:ascii="Calibri" w:hAnsi="Calibri" w:cs="Calibri"/>
          <w:sz w:val="24"/>
          <w:szCs w:val="24"/>
        </w:rPr>
        <w:t xml:space="preserve"> (NR)</w:t>
      </w:r>
    </w:p>
    <w:p w14:paraId="756FF70E" w14:textId="4267955F"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Parágrafo único.</w:t>
      </w:r>
      <w:r w:rsidR="005E3E36" w:rsidRPr="00140E22">
        <w:rPr>
          <w:rFonts w:ascii="Calibri" w:hAnsi="Calibri" w:cs="Calibri"/>
          <w:sz w:val="24"/>
          <w:szCs w:val="24"/>
        </w:rPr>
        <w:t xml:space="preserve"> </w:t>
      </w:r>
      <w:r w:rsidR="00BF1523" w:rsidRPr="00140E22">
        <w:rPr>
          <w:rFonts w:ascii="Calibri" w:hAnsi="Calibri" w:cs="Calibri"/>
          <w:sz w:val="24"/>
          <w:szCs w:val="24"/>
        </w:rPr>
        <w:t xml:space="preserve"> Para os fins do disposto neste artigo, serão adotados os procedimentos administrativos próprios da Previc.</w:t>
      </w:r>
      <w:r w:rsidRPr="00140E22">
        <w:rPr>
          <w:rFonts w:ascii="Calibri" w:hAnsi="Calibri" w:cs="Calibri"/>
          <w:sz w:val="24"/>
          <w:szCs w:val="24"/>
        </w:rPr>
        <w:t>”</w:t>
      </w:r>
      <w:r w:rsidR="002A0B5B" w:rsidRPr="00140E22">
        <w:rPr>
          <w:rFonts w:ascii="Calibri" w:hAnsi="Calibri" w:cs="Calibri"/>
          <w:sz w:val="24"/>
          <w:szCs w:val="24"/>
        </w:rPr>
        <w:t xml:space="preserve"> (NR)</w:t>
      </w:r>
    </w:p>
    <w:p w14:paraId="1B847719" w14:textId="6375D565" w:rsidR="00B268A3" w:rsidRPr="00140E22" w:rsidRDefault="00B268A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Art. 379. ...</w:t>
      </w:r>
    </w:p>
    <w:p w14:paraId="2180C224" w14:textId="0841F36D" w:rsidR="00B268A3" w:rsidRPr="00140E22" w:rsidRDefault="00714D11"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268A3" w:rsidRPr="00140E22">
        <w:rPr>
          <w:rFonts w:ascii="Calibri" w:hAnsi="Calibri" w:cs="Calibri"/>
          <w:sz w:val="24"/>
          <w:szCs w:val="24"/>
        </w:rPr>
        <w:t xml:space="preserve">Parágrafo único. </w:t>
      </w:r>
      <w:r w:rsidR="005E3E36" w:rsidRPr="00140E22">
        <w:rPr>
          <w:rFonts w:ascii="Calibri" w:hAnsi="Calibri" w:cs="Calibri"/>
          <w:sz w:val="24"/>
          <w:szCs w:val="24"/>
        </w:rPr>
        <w:t xml:space="preserve"> </w:t>
      </w:r>
      <w:r w:rsidR="00B268A3" w:rsidRPr="00140E22">
        <w:rPr>
          <w:rFonts w:ascii="Calibri" w:hAnsi="Calibri" w:cs="Calibri"/>
          <w:sz w:val="24"/>
          <w:szCs w:val="24"/>
        </w:rPr>
        <w:t>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w:t>
      </w:r>
      <w:r w:rsidRPr="00140E22">
        <w:rPr>
          <w:rFonts w:ascii="Calibri" w:hAnsi="Calibri" w:cs="Calibri"/>
          <w:sz w:val="24"/>
          <w:szCs w:val="24"/>
        </w:rPr>
        <w:t>”</w:t>
      </w:r>
      <w:r w:rsidR="002A0B5B" w:rsidRPr="00140E22">
        <w:rPr>
          <w:rFonts w:ascii="Calibri" w:hAnsi="Calibri" w:cs="Calibri"/>
          <w:sz w:val="24"/>
          <w:szCs w:val="24"/>
        </w:rPr>
        <w:t xml:space="preserve"> (NR)</w:t>
      </w:r>
    </w:p>
    <w:p w14:paraId="4257A9F5" w14:textId="4CBDFCEA" w:rsidR="002A0B5B" w:rsidRPr="00140E22" w:rsidRDefault="002A0B5B"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p>
    <w:p w14:paraId="60F6F004" w14:textId="07ECBC67" w:rsidR="00844B68" w:rsidRPr="00140E22" w:rsidRDefault="006C6021"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Art. 389. </w:t>
      </w:r>
      <w:r w:rsidR="00844B68" w:rsidRPr="00140E22">
        <w:rPr>
          <w:rFonts w:ascii="Calibri" w:hAnsi="Calibri" w:cs="Calibri"/>
          <w:sz w:val="24"/>
          <w:szCs w:val="24"/>
        </w:rPr>
        <w:t>...</w:t>
      </w:r>
    </w:p>
    <w:p w14:paraId="470C2921" w14:textId="40487DDF" w:rsidR="004415E7" w:rsidRPr="00140E22" w:rsidRDefault="004415E7"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“Parágrafo único. O art. 3º, no que concerne ao programa anual de fiscalização, </w:t>
      </w:r>
      <w:r w:rsidR="00B46400" w:rsidRPr="00140E22">
        <w:rPr>
          <w:rFonts w:ascii="Calibri" w:hAnsi="Calibri" w:cs="Calibri"/>
          <w:sz w:val="24"/>
          <w:szCs w:val="24"/>
        </w:rPr>
        <w:t xml:space="preserve">o </w:t>
      </w:r>
      <w:r w:rsidRPr="00140E22">
        <w:rPr>
          <w:rFonts w:ascii="Calibri" w:hAnsi="Calibri" w:cs="Calibri"/>
          <w:sz w:val="24"/>
          <w:szCs w:val="24"/>
        </w:rPr>
        <w:t xml:space="preserve">art. 362, </w:t>
      </w:r>
      <w:r w:rsidR="00B46400" w:rsidRPr="00140E22">
        <w:rPr>
          <w:rFonts w:ascii="Calibri" w:hAnsi="Calibri" w:cs="Calibri"/>
          <w:sz w:val="24"/>
          <w:szCs w:val="24"/>
        </w:rPr>
        <w:t xml:space="preserve">§ 5º e § 6º, o </w:t>
      </w:r>
      <w:r w:rsidRPr="00140E22">
        <w:rPr>
          <w:rFonts w:ascii="Calibri" w:hAnsi="Calibri" w:cs="Calibri"/>
          <w:sz w:val="24"/>
          <w:szCs w:val="24"/>
        </w:rPr>
        <w:t>art. 363</w:t>
      </w:r>
      <w:r w:rsidR="00B46400" w:rsidRPr="00140E22">
        <w:rPr>
          <w:rFonts w:ascii="Calibri" w:hAnsi="Calibri" w:cs="Calibri"/>
          <w:sz w:val="24"/>
          <w:szCs w:val="24"/>
        </w:rPr>
        <w:t>, inciso I</w:t>
      </w:r>
      <w:r w:rsidRPr="00140E22">
        <w:rPr>
          <w:rFonts w:ascii="Calibri" w:hAnsi="Calibri" w:cs="Calibri"/>
          <w:sz w:val="24"/>
          <w:szCs w:val="24"/>
        </w:rPr>
        <w:t xml:space="preserve">, o art. 365, </w:t>
      </w:r>
      <w:r w:rsidR="00B46400" w:rsidRPr="00140E22">
        <w:rPr>
          <w:rFonts w:ascii="Calibri" w:hAnsi="Calibri" w:cs="Calibri"/>
          <w:sz w:val="24"/>
          <w:szCs w:val="24"/>
        </w:rPr>
        <w:t xml:space="preserve">§ 3º, </w:t>
      </w:r>
      <w:r w:rsidRPr="00140E22">
        <w:rPr>
          <w:rFonts w:ascii="Calibri" w:hAnsi="Calibri" w:cs="Calibri"/>
          <w:sz w:val="24"/>
          <w:szCs w:val="24"/>
        </w:rPr>
        <w:t>o art. 371 e o art. 372 terão vigência a partir do dia 1º de janeiro de 2024.”</w:t>
      </w:r>
      <w:r w:rsidR="00B46400" w:rsidRPr="00140E22">
        <w:rPr>
          <w:rFonts w:ascii="Calibri" w:hAnsi="Calibri" w:cs="Calibri"/>
          <w:sz w:val="24"/>
          <w:szCs w:val="24"/>
        </w:rPr>
        <w:t xml:space="preserve"> (NR)</w:t>
      </w:r>
    </w:p>
    <w:p w14:paraId="20F7929C" w14:textId="77777777" w:rsidR="00B46400" w:rsidRPr="00140E22" w:rsidRDefault="000C07E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Art. 2º  Fica</w:t>
      </w:r>
      <w:r w:rsidR="00B46400" w:rsidRPr="00140E22">
        <w:rPr>
          <w:rFonts w:ascii="Calibri" w:hAnsi="Calibri" w:cs="Calibri"/>
          <w:sz w:val="24"/>
          <w:szCs w:val="24"/>
        </w:rPr>
        <w:t>m</w:t>
      </w:r>
      <w:r w:rsidRPr="00140E22">
        <w:rPr>
          <w:rFonts w:ascii="Calibri" w:hAnsi="Calibri" w:cs="Calibri"/>
          <w:sz w:val="24"/>
          <w:szCs w:val="24"/>
        </w:rPr>
        <w:t xml:space="preserve"> revogado</w:t>
      </w:r>
      <w:r w:rsidR="00B46400" w:rsidRPr="00140E22">
        <w:rPr>
          <w:rFonts w:ascii="Calibri" w:hAnsi="Calibri" w:cs="Calibri"/>
          <w:sz w:val="24"/>
          <w:szCs w:val="24"/>
        </w:rPr>
        <w:t>s:</w:t>
      </w:r>
    </w:p>
    <w:p w14:paraId="1B282631" w14:textId="43682A88" w:rsidR="00B46400" w:rsidRPr="00140E22" w:rsidRDefault="00B46400"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I -</w:t>
      </w:r>
      <w:r w:rsidR="000C07E8" w:rsidRPr="00140E22">
        <w:rPr>
          <w:rFonts w:ascii="Calibri" w:hAnsi="Calibri" w:cs="Calibri"/>
          <w:sz w:val="24"/>
          <w:szCs w:val="24"/>
        </w:rPr>
        <w:t xml:space="preserve"> o Ofício Circular DINOR nº 1/2024/PREVIC, de 23 de janeiro de 2024</w:t>
      </w:r>
      <w:r w:rsidRPr="00140E22">
        <w:rPr>
          <w:rFonts w:ascii="Calibri" w:hAnsi="Calibri" w:cs="Calibri"/>
          <w:sz w:val="24"/>
          <w:szCs w:val="24"/>
        </w:rPr>
        <w:t>;</w:t>
      </w:r>
      <w:r w:rsidR="00942B0A" w:rsidRPr="00140E22">
        <w:rPr>
          <w:rFonts w:ascii="Calibri" w:hAnsi="Calibri" w:cs="Calibri"/>
          <w:sz w:val="24"/>
          <w:szCs w:val="24"/>
        </w:rPr>
        <w:t xml:space="preserve"> </w:t>
      </w:r>
    </w:p>
    <w:p w14:paraId="42759E93" w14:textId="2136F61D" w:rsidR="00F033A8" w:rsidRPr="00140E22" w:rsidRDefault="00B46400"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II - a Resolução Previc nº 01, de </w:t>
      </w:r>
      <w:r w:rsidR="00942B0A" w:rsidRPr="00140E22">
        <w:rPr>
          <w:rFonts w:ascii="Calibri" w:hAnsi="Calibri" w:cs="Calibri"/>
          <w:sz w:val="24"/>
          <w:szCs w:val="24"/>
        </w:rPr>
        <w:t>08 de dezembro de 2020</w:t>
      </w:r>
      <w:r w:rsidR="00C12CE0" w:rsidRPr="00140E22">
        <w:rPr>
          <w:rFonts w:ascii="Calibri" w:hAnsi="Calibri" w:cs="Calibri"/>
          <w:sz w:val="24"/>
          <w:szCs w:val="24"/>
        </w:rPr>
        <w:t>; e</w:t>
      </w:r>
    </w:p>
    <w:p w14:paraId="2BEDEE31" w14:textId="001EBE94" w:rsidR="00C12CE0" w:rsidRPr="00140E22" w:rsidRDefault="00C12CE0"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III </w:t>
      </w:r>
      <w:r w:rsidR="002E33EF" w:rsidRPr="00140E22">
        <w:rPr>
          <w:rFonts w:ascii="Calibri" w:hAnsi="Calibri" w:cs="Calibri"/>
          <w:sz w:val="24"/>
          <w:szCs w:val="24"/>
        </w:rPr>
        <w:t xml:space="preserve">- os seguintes dispositivos da resolução Previc nº 23, de </w:t>
      </w:r>
      <w:r w:rsidR="00A7005D" w:rsidRPr="00140E22">
        <w:rPr>
          <w:rFonts w:ascii="Calibri" w:hAnsi="Calibri" w:cs="Calibri"/>
          <w:sz w:val="24"/>
          <w:szCs w:val="24"/>
        </w:rPr>
        <w:t>14 de agosto de 2023:</w:t>
      </w:r>
    </w:p>
    <w:p w14:paraId="32E40C6D" w14:textId="662B0105" w:rsidR="00A7005D" w:rsidRPr="00140E22" w:rsidRDefault="00A7005D"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a) incisos </w:t>
      </w:r>
      <w:r w:rsidR="000A340A" w:rsidRPr="00140E22">
        <w:rPr>
          <w:rFonts w:ascii="Calibri" w:hAnsi="Calibri" w:cs="Calibri"/>
          <w:sz w:val="24"/>
          <w:szCs w:val="24"/>
        </w:rPr>
        <w:t xml:space="preserve">I e II e § 2º do art. </w:t>
      </w:r>
      <w:r w:rsidR="007A6D8B" w:rsidRPr="00140E22">
        <w:rPr>
          <w:rFonts w:ascii="Calibri" w:hAnsi="Calibri" w:cs="Calibri"/>
          <w:sz w:val="24"/>
          <w:szCs w:val="24"/>
        </w:rPr>
        <w:t>135;</w:t>
      </w:r>
    </w:p>
    <w:p w14:paraId="2E4F8E89" w14:textId="6AC3DC78" w:rsidR="007A6D8B" w:rsidRPr="00140E22" w:rsidRDefault="007A6D8B"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b) </w:t>
      </w:r>
      <w:r w:rsidR="00C163BD" w:rsidRPr="00140E22">
        <w:rPr>
          <w:rFonts w:ascii="Calibri" w:hAnsi="Calibri" w:cs="Calibri"/>
          <w:sz w:val="24"/>
          <w:szCs w:val="24"/>
        </w:rPr>
        <w:t>§ 2º do art. 1</w:t>
      </w:r>
      <w:r w:rsidR="00807358" w:rsidRPr="00140E22">
        <w:rPr>
          <w:rFonts w:ascii="Calibri" w:hAnsi="Calibri" w:cs="Calibri"/>
          <w:sz w:val="24"/>
          <w:szCs w:val="24"/>
        </w:rPr>
        <w:t>40</w:t>
      </w:r>
      <w:r w:rsidR="00D93F7F" w:rsidRPr="00140E22">
        <w:rPr>
          <w:rFonts w:ascii="Calibri" w:hAnsi="Calibri" w:cs="Calibri"/>
          <w:sz w:val="24"/>
          <w:szCs w:val="24"/>
        </w:rPr>
        <w:t>;</w:t>
      </w:r>
    </w:p>
    <w:p w14:paraId="50ADE1E4" w14:textId="5BA98303" w:rsidR="00D93F7F" w:rsidRPr="00140E22" w:rsidRDefault="00D93F7F"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c) </w:t>
      </w:r>
      <w:r w:rsidR="00ED4532" w:rsidRPr="00140E22">
        <w:rPr>
          <w:rFonts w:ascii="Calibri" w:hAnsi="Calibri" w:cs="Calibri"/>
          <w:sz w:val="24"/>
          <w:szCs w:val="24"/>
        </w:rPr>
        <w:t xml:space="preserve">inciso III e § 1º </w:t>
      </w:r>
      <w:r w:rsidR="003D7517" w:rsidRPr="00140E22">
        <w:rPr>
          <w:rFonts w:ascii="Calibri" w:hAnsi="Calibri" w:cs="Calibri"/>
          <w:sz w:val="24"/>
          <w:szCs w:val="24"/>
        </w:rPr>
        <w:t>do art. 141;</w:t>
      </w:r>
    </w:p>
    <w:p w14:paraId="121BECD3" w14:textId="77777777" w:rsidR="001241B6" w:rsidRPr="00140E22" w:rsidRDefault="002E162A"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d) incisos I</w:t>
      </w:r>
      <w:r w:rsidR="00BC0017" w:rsidRPr="00140E22">
        <w:rPr>
          <w:rFonts w:ascii="Calibri" w:hAnsi="Calibri" w:cs="Calibri"/>
          <w:sz w:val="24"/>
          <w:szCs w:val="24"/>
        </w:rPr>
        <w:t xml:space="preserve"> e II</w:t>
      </w:r>
      <w:r w:rsidR="006A28B3" w:rsidRPr="00140E22">
        <w:rPr>
          <w:rFonts w:ascii="Calibri" w:hAnsi="Calibri" w:cs="Calibri"/>
          <w:sz w:val="24"/>
          <w:szCs w:val="24"/>
        </w:rPr>
        <w:t xml:space="preserve">, § 1º </w:t>
      </w:r>
      <w:r w:rsidR="000D61A0" w:rsidRPr="00140E22">
        <w:rPr>
          <w:rFonts w:ascii="Calibri" w:hAnsi="Calibri" w:cs="Calibri"/>
          <w:sz w:val="24"/>
          <w:szCs w:val="24"/>
        </w:rPr>
        <w:t xml:space="preserve">e </w:t>
      </w:r>
      <w:r w:rsidR="00965303" w:rsidRPr="00140E22">
        <w:rPr>
          <w:rFonts w:ascii="Calibri" w:hAnsi="Calibri" w:cs="Calibri"/>
          <w:sz w:val="24"/>
          <w:szCs w:val="24"/>
        </w:rPr>
        <w:t xml:space="preserve">respectivos </w:t>
      </w:r>
      <w:r w:rsidR="000D61A0" w:rsidRPr="00140E22">
        <w:rPr>
          <w:rFonts w:ascii="Calibri" w:hAnsi="Calibri" w:cs="Calibri"/>
          <w:sz w:val="24"/>
          <w:szCs w:val="24"/>
        </w:rPr>
        <w:t xml:space="preserve">incisos I e II </w:t>
      </w:r>
      <w:r w:rsidR="006A28B3" w:rsidRPr="00140E22">
        <w:rPr>
          <w:rFonts w:ascii="Calibri" w:hAnsi="Calibri" w:cs="Calibri"/>
          <w:sz w:val="24"/>
          <w:szCs w:val="24"/>
        </w:rPr>
        <w:t xml:space="preserve">e </w:t>
      </w:r>
      <w:r w:rsidR="00E40A6E" w:rsidRPr="00140E22">
        <w:rPr>
          <w:rFonts w:ascii="Calibri" w:hAnsi="Calibri" w:cs="Calibri"/>
          <w:sz w:val="24"/>
          <w:szCs w:val="24"/>
        </w:rPr>
        <w:t xml:space="preserve">§ </w:t>
      </w:r>
      <w:r w:rsidR="006A28B3" w:rsidRPr="00140E22">
        <w:rPr>
          <w:rFonts w:ascii="Calibri" w:hAnsi="Calibri" w:cs="Calibri"/>
          <w:sz w:val="24"/>
          <w:szCs w:val="24"/>
        </w:rPr>
        <w:t xml:space="preserve">2º </w:t>
      </w:r>
      <w:r w:rsidR="00BC0017" w:rsidRPr="00140E22">
        <w:rPr>
          <w:rFonts w:ascii="Calibri" w:hAnsi="Calibri" w:cs="Calibri"/>
          <w:sz w:val="24"/>
          <w:szCs w:val="24"/>
        </w:rPr>
        <w:t>do</w:t>
      </w:r>
      <w:r w:rsidR="00993ADD" w:rsidRPr="00140E22">
        <w:rPr>
          <w:rFonts w:ascii="Calibri" w:hAnsi="Calibri" w:cs="Calibri"/>
          <w:sz w:val="24"/>
          <w:szCs w:val="24"/>
        </w:rPr>
        <w:t xml:space="preserve"> art. 143</w:t>
      </w:r>
      <w:r w:rsidR="001241B6" w:rsidRPr="00140E22">
        <w:rPr>
          <w:rFonts w:ascii="Calibri" w:hAnsi="Calibri" w:cs="Calibri"/>
          <w:sz w:val="24"/>
          <w:szCs w:val="24"/>
        </w:rPr>
        <w:t>;</w:t>
      </w:r>
    </w:p>
    <w:p w14:paraId="7333404F" w14:textId="77777777" w:rsidR="005C264F" w:rsidRPr="00140E22" w:rsidRDefault="005C264F"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e) §§ 4º e 5º do art. 144;</w:t>
      </w:r>
    </w:p>
    <w:p w14:paraId="48784DD4" w14:textId="10D3CCAF" w:rsidR="004B481E" w:rsidRPr="00140E22" w:rsidRDefault="00B10A8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lastRenderedPageBreak/>
        <w:t xml:space="preserve">f) inciso IV do art. </w:t>
      </w:r>
      <w:r w:rsidR="000418EB" w:rsidRPr="00140E22">
        <w:rPr>
          <w:rFonts w:ascii="Calibri" w:hAnsi="Calibri" w:cs="Calibri"/>
          <w:sz w:val="24"/>
          <w:szCs w:val="24"/>
        </w:rPr>
        <w:t>148;</w:t>
      </w:r>
      <w:r w:rsidR="00C01453" w:rsidRPr="00140E22">
        <w:rPr>
          <w:rFonts w:ascii="Calibri" w:hAnsi="Calibri" w:cs="Calibri"/>
          <w:sz w:val="24"/>
          <w:szCs w:val="24"/>
        </w:rPr>
        <w:t xml:space="preserve"> e</w:t>
      </w:r>
    </w:p>
    <w:p w14:paraId="4796DF88" w14:textId="04FAC5CD" w:rsidR="003D7517" w:rsidRPr="00140E22" w:rsidRDefault="001764E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g) </w:t>
      </w:r>
      <w:r w:rsidR="008E3758" w:rsidRPr="00140E22">
        <w:rPr>
          <w:rFonts w:ascii="Calibri" w:hAnsi="Calibri" w:cs="Calibri"/>
          <w:sz w:val="24"/>
          <w:szCs w:val="24"/>
        </w:rPr>
        <w:t>inciso VIII do art</w:t>
      </w:r>
      <w:r w:rsidR="00BD5E33" w:rsidRPr="00140E22">
        <w:rPr>
          <w:rFonts w:ascii="Calibri" w:hAnsi="Calibri" w:cs="Calibri"/>
          <w:sz w:val="24"/>
          <w:szCs w:val="24"/>
        </w:rPr>
        <w:t>. 149</w:t>
      </w:r>
      <w:r w:rsidR="00C01453" w:rsidRPr="00140E22">
        <w:rPr>
          <w:rFonts w:ascii="Calibri" w:hAnsi="Calibri" w:cs="Calibri"/>
          <w:sz w:val="24"/>
          <w:szCs w:val="24"/>
        </w:rPr>
        <w:t>.</w:t>
      </w:r>
    </w:p>
    <w:p w14:paraId="7017B19A" w14:textId="2902FD34" w:rsidR="000C07E8" w:rsidRPr="00140E22" w:rsidRDefault="000C07E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Art. 3º  Esta Resolução entra em vigor em 1º de XXX de 2024.</w:t>
      </w:r>
    </w:p>
    <w:p w14:paraId="07ABA193" w14:textId="77777777" w:rsidR="00580274" w:rsidRPr="00140E22" w:rsidRDefault="00580274" w:rsidP="007C3D89">
      <w:pPr>
        <w:tabs>
          <w:tab w:val="left" w:pos="-567"/>
        </w:tabs>
        <w:ind w:left="-567" w:right="-1135"/>
        <w:jc w:val="both"/>
        <w:rPr>
          <w:rFonts w:ascii="Calibri" w:hAnsi="Calibri" w:cs="Calibri"/>
          <w:sz w:val="24"/>
          <w:szCs w:val="24"/>
        </w:rPr>
      </w:pPr>
    </w:p>
    <w:p w14:paraId="0DECD318" w14:textId="77777777" w:rsidR="00580274" w:rsidRPr="00140E22" w:rsidRDefault="00580274" w:rsidP="007C3D89">
      <w:pPr>
        <w:spacing w:after="120" w:line="240" w:lineRule="auto"/>
        <w:ind w:right="-1135"/>
        <w:rPr>
          <w:rFonts w:ascii="Calibri" w:eastAsia="Times New Roman" w:hAnsi="Calibri" w:cs="Calibri"/>
          <w:sz w:val="24"/>
          <w:szCs w:val="24"/>
          <w:lang w:eastAsia="pt-BR"/>
        </w:rPr>
      </w:pPr>
    </w:p>
    <w:p w14:paraId="516AEFD2" w14:textId="77777777" w:rsidR="00580274" w:rsidRPr="00140E22" w:rsidRDefault="00580274" w:rsidP="007C3D89">
      <w:pPr>
        <w:spacing w:after="0" w:line="240" w:lineRule="auto"/>
        <w:ind w:right="-1135"/>
        <w:jc w:val="center"/>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RICARDO PENA PINHEIRO </w:t>
      </w:r>
    </w:p>
    <w:p w14:paraId="0E7F3CA9" w14:textId="77777777" w:rsidR="00580274" w:rsidRPr="00140E22" w:rsidRDefault="00580274" w:rsidP="007C3D89">
      <w:pPr>
        <w:ind w:right="-1135"/>
        <w:jc w:val="center"/>
        <w:rPr>
          <w:rFonts w:ascii="Calibri" w:hAnsi="Calibri" w:cs="Calibri"/>
          <w:sz w:val="24"/>
          <w:szCs w:val="24"/>
        </w:rPr>
      </w:pPr>
      <w:r w:rsidRPr="00140E22">
        <w:rPr>
          <w:rFonts w:ascii="Calibri" w:eastAsia="Times New Roman" w:hAnsi="Calibri" w:cs="Calibri"/>
          <w:sz w:val="24"/>
          <w:szCs w:val="24"/>
          <w:lang w:eastAsia="pt-BR"/>
        </w:rPr>
        <w:t>Diretor-Superintendente</w:t>
      </w:r>
    </w:p>
    <w:p w14:paraId="7B3CCAEE" w14:textId="77777777" w:rsidR="00580274" w:rsidRPr="007C3D89" w:rsidRDefault="00580274" w:rsidP="007C3D89">
      <w:pPr>
        <w:tabs>
          <w:tab w:val="left" w:pos="-567"/>
        </w:tabs>
        <w:ind w:left="-567" w:right="-1135"/>
        <w:jc w:val="both"/>
        <w:rPr>
          <w:rFonts w:ascii="Calibri" w:hAnsi="Calibri" w:cs="Calibri"/>
          <w:sz w:val="24"/>
          <w:szCs w:val="24"/>
        </w:rPr>
      </w:pPr>
    </w:p>
    <w:p w14:paraId="4716D8B4" w14:textId="77777777" w:rsidR="007B74FB" w:rsidRPr="007C3D89" w:rsidRDefault="007B74FB" w:rsidP="007C3D89">
      <w:pPr>
        <w:tabs>
          <w:tab w:val="left" w:pos="-567"/>
        </w:tabs>
        <w:ind w:left="-567" w:right="-1135"/>
        <w:jc w:val="both"/>
        <w:rPr>
          <w:rFonts w:ascii="Calibri" w:hAnsi="Calibri" w:cs="Calibri"/>
          <w:sz w:val="24"/>
          <w:szCs w:val="24"/>
        </w:rPr>
      </w:pPr>
    </w:p>
    <w:p w14:paraId="7C0E6383" w14:textId="77777777" w:rsidR="007B74FB" w:rsidRPr="007C3D89" w:rsidRDefault="007B74FB" w:rsidP="007C3D89">
      <w:pPr>
        <w:tabs>
          <w:tab w:val="left" w:pos="-567"/>
        </w:tabs>
        <w:ind w:left="-567" w:right="-1135"/>
        <w:jc w:val="both"/>
        <w:rPr>
          <w:rFonts w:ascii="Calibri" w:hAnsi="Calibri" w:cs="Calibri"/>
          <w:sz w:val="24"/>
          <w:szCs w:val="24"/>
        </w:rPr>
      </w:pPr>
      <w:bookmarkStart w:id="0" w:name="art6p"/>
      <w:bookmarkEnd w:id="0"/>
    </w:p>
    <w:sectPr w:rsidR="007B74FB" w:rsidRPr="007C3D89">
      <w:headerReference w:type="even" r:id="rId7"/>
      <w:headerReference w:type="default" r:id="rId8"/>
      <w:footerReference w:type="default" r:id="rId9"/>
      <w:headerReference w:type="first" r:id="rId1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21300B" w14:textId="77777777" w:rsidR="00994266" w:rsidRDefault="00994266" w:rsidP="00F05C87">
      <w:pPr>
        <w:spacing w:after="0" w:line="240" w:lineRule="auto"/>
      </w:pPr>
      <w:r>
        <w:separator/>
      </w:r>
    </w:p>
  </w:endnote>
  <w:endnote w:type="continuationSeparator" w:id="0">
    <w:p w14:paraId="06E05E5D" w14:textId="77777777" w:rsidR="00994266" w:rsidRDefault="00994266" w:rsidP="00F05C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8598633"/>
      <w:docPartObj>
        <w:docPartGallery w:val="Page Numbers (Bottom of Page)"/>
        <w:docPartUnique/>
      </w:docPartObj>
    </w:sdtPr>
    <w:sdtContent>
      <w:sdt>
        <w:sdtPr>
          <w:id w:val="-1769616900"/>
          <w:docPartObj>
            <w:docPartGallery w:val="Page Numbers (Top of Page)"/>
            <w:docPartUnique/>
          </w:docPartObj>
        </w:sdtPr>
        <w:sdtContent>
          <w:p w14:paraId="28D45435" w14:textId="139EB3D7" w:rsidR="00BE51A0" w:rsidRDefault="00BE51A0">
            <w:pPr>
              <w:pStyle w:val="Rodap"/>
              <w:jc w:val="right"/>
            </w:pPr>
            <w:r>
              <w:t xml:space="preserve">Página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756A81CF" w14:textId="77777777" w:rsidR="00F05C87" w:rsidRDefault="00F05C8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C7E12E" w14:textId="77777777" w:rsidR="00994266" w:rsidRDefault="00994266" w:rsidP="00F05C87">
      <w:pPr>
        <w:spacing w:after="0" w:line="240" w:lineRule="auto"/>
      </w:pPr>
      <w:r>
        <w:separator/>
      </w:r>
    </w:p>
  </w:footnote>
  <w:footnote w:type="continuationSeparator" w:id="0">
    <w:p w14:paraId="649E31D1" w14:textId="77777777" w:rsidR="00994266" w:rsidRDefault="00994266" w:rsidP="00F05C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0272AE" w14:textId="5A04D073" w:rsidR="00F05C87" w:rsidRDefault="00000000">
    <w:pPr>
      <w:pStyle w:val="Cabealho"/>
    </w:pPr>
    <w:r>
      <w:rPr>
        <w:noProof/>
      </w:rPr>
      <w:pict w14:anchorId="532553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419.6pt;height:179.8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CD7511" w14:textId="244B6153" w:rsidR="00F05C87" w:rsidRDefault="00000000">
    <w:pPr>
      <w:pStyle w:val="Cabealho"/>
    </w:pPr>
    <w:r>
      <w:rPr>
        <w:noProof/>
      </w:rPr>
      <w:pict w14:anchorId="1AB4C7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419.6pt;height:179.8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BBB7B" w14:textId="5B1487A1" w:rsidR="00F05C87" w:rsidRDefault="00000000">
    <w:pPr>
      <w:pStyle w:val="Cabealho"/>
    </w:pPr>
    <w:r>
      <w:rPr>
        <w:noProof/>
      </w:rPr>
      <w:pict w14:anchorId="01920D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style="position:absolute;margin-left:0;margin-top:0;width:419.6pt;height:179.8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4797393"/>
    <w:multiLevelType w:val="hybridMultilevel"/>
    <w:tmpl w:val="82F69D1C"/>
    <w:lvl w:ilvl="0" w:tplc="5BECD4BA">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1" w15:restartNumberingAfterBreak="0">
    <w:nsid w:val="38491584"/>
    <w:multiLevelType w:val="hybridMultilevel"/>
    <w:tmpl w:val="780CDBBE"/>
    <w:lvl w:ilvl="0" w:tplc="779AC10C">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2" w15:restartNumberingAfterBreak="0">
    <w:nsid w:val="7DAB5C46"/>
    <w:multiLevelType w:val="hybridMultilevel"/>
    <w:tmpl w:val="51327C70"/>
    <w:lvl w:ilvl="0" w:tplc="A19A2FCE">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num w:numId="1" w16cid:durableId="1156452220">
    <w:abstractNumId w:val="0"/>
  </w:num>
  <w:num w:numId="2" w16cid:durableId="1412775824">
    <w:abstractNumId w:val="1"/>
  </w:num>
  <w:num w:numId="3" w16cid:durableId="11895598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982"/>
    <w:rsid w:val="00011C9F"/>
    <w:rsid w:val="000256DE"/>
    <w:rsid w:val="000330E5"/>
    <w:rsid w:val="0003694B"/>
    <w:rsid w:val="000418EB"/>
    <w:rsid w:val="00044992"/>
    <w:rsid w:val="00072373"/>
    <w:rsid w:val="00087EC0"/>
    <w:rsid w:val="00090942"/>
    <w:rsid w:val="00093245"/>
    <w:rsid w:val="000A340A"/>
    <w:rsid w:val="000B0A74"/>
    <w:rsid w:val="000B6C0A"/>
    <w:rsid w:val="000C07E8"/>
    <w:rsid w:val="000C2E75"/>
    <w:rsid w:val="000C5669"/>
    <w:rsid w:val="000D15F3"/>
    <w:rsid w:val="000D53B0"/>
    <w:rsid w:val="000D61A0"/>
    <w:rsid w:val="000D7898"/>
    <w:rsid w:val="000E6C7C"/>
    <w:rsid w:val="000F1315"/>
    <w:rsid w:val="00105A70"/>
    <w:rsid w:val="00111903"/>
    <w:rsid w:val="001146EC"/>
    <w:rsid w:val="001241B6"/>
    <w:rsid w:val="00140E22"/>
    <w:rsid w:val="001500AC"/>
    <w:rsid w:val="00160B38"/>
    <w:rsid w:val="0016109C"/>
    <w:rsid w:val="00164954"/>
    <w:rsid w:val="0016567A"/>
    <w:rsid w:val="00166172"/>
    <w:rsid w:val="00173596"/>
    <w:rsid w:val="001748EE"/>
    <w:rsid w:val="001764E8"/>
    <w:rsid w:val="00192567"/>
    <w:rsid w:val="0019406A"/>
    <w:rsid w:val="00196ED7"/>
    <w:rsid w:val="00197FA0"/>
    <w:rsid w:val="001A20B5"/>
    <w:rsid w:val="001A29B0"/>
    <w:rsid w:val="001A2BFA"/>
    <w:rsid w:val="001A6022"/>
    <w:rsid w:val="001E550D"/>
    <w:rsid w:val="001E6E47"/>
    <w:rsid w:val="002011FB"/>
    <w:rsid w:val="00203600"/>
    <w:rsid w:val="002072EF"/>
    <w:rsid w:val="00217258"/>
    <w:rsid w:val="00220F09"/>
    <w:rsid w:val="002424C5"/>
    <w:rsid w:val="002526E0"/>
    <w:rsid w:val="00257AE0"/>
    <w:rsid w:val="0027001D"/>
    <w:rsid w:val="00272335"/>
    <w:rsid w:val="0027300E"/>
    <w:rsid w:val="00275120"/>
    <w:rsid w:val="00277365"/>
    <w:rsid w:val="00286D89"/>
    <w:rsid w:val="002959AF"/>
    <w:rsid w:val="002A0B5B"/>
    <w:rsid w:val="002A52CF"/>
    <w:rsid w:val="002A7FA9"/>
    <w:rsid w:val="002C3687"/>
    <w:rsid w:val="002D03EC"/>
    <w:rsid w:val="002D77BF"/>
    <w:rsid w:val="002E162A"/>
    <w:rsid w:val="002E33EF"/>
    <w:rsid w:val="002E7B16"/>
    <w:rsid w:val="002F1205"/>
    <w:rsid w:val="002F514A"/>
    <w:rsid w:val="00317CB4"/>
    <w:rsid w:val="0032651F"/>
    <w:rsid w:val="00330289"/>
    <w:rsid w:val="0033172B"/>
    <w:rsid w:val="00331CA5"/>
    <w:rsid w:val="00340F5D"/>
    <w:rsid w:val="003445E1"/>
    <w:rsid w:val="00347698"/>
    <w:rsid w:val="003531A3"/>
    <w:rsid w:val="00362F18"/>
    <w:rsid w:val="0036620D"/>
    <w:rsid w:val="0038033B"/>
    <w:rsid w:val="00385BBF"/>
    <w:rsid w:val="003A4BA4"/>
    <w:rsid w:val="003A768D"/>
    <w:rsid w:val="003C3B34"/>
    <w:rsid w:val="003D4DAE"/>
    <w:rsid w:val="003D7517"/>
    <w:rsid w:val="003E6A60"/>
    <w:rsid w:val="003F0FBD"/>
    <w:rsid w:val="0041631C"/>
    <w:rsid w:val="004217A2"/>
    <w:rsid w:val="004309A7"/>
    <w:rsid w:val="004415E7"/>
    <w:rsid w:val="0044421F"/>
    <w:rsid w:val="00452712"/>
    <w:rsid w:val="00452A29"/>
    <w:rsid w:val="004561AE"/>
    <w:rsid w:val="00457C39"/>
    <w:rsid w:val="00460B0C"/>
    <w:rsid w:val="0048482D"/>
    <w:rsid w:val="00496F94"/>
    <w:rsid w:val="004A0DA6"/>
    <w:rsid w:val="004B04C5"/>
    <w:rsid w:val="004B481E"/>
    <w:rsid w:val="004B7996"/>
    <w:rsid w:val="004D340F"/>
    <w:rsid w:val="004D79BB"/>
    <w:rsid w:val="004E7AAB"/>
    <w:rsid w:val="00506EDE"/>
    <w:rsid w:val="00520385"/>
    <w:rsid w:val="00520928"/>
    <w:rsid w:val="00526833"/>
    <w:rsid w:val="00532566"/>
    <w:rsid w:val="00534EF9"/>
    <w:rsid w:val="00535816"/>
    <w:rsid w:val="00536B1D"/>
    <w:rsid w:val="00554FBF"/>
    <w:rsid w:val="005604EB"/>
    <w:rsid w:val="00570332"/>
    <w:rsid w:val="005721EB"/>
    <w:rsid w:val="0057374A"/>
    <w:rsid w:val="00573E8F"/>
    <w:rsid w:val="005742F7"/>
    <w:rsid w:val="00580274"/>
    <w:rsid w:val="00582EEA"/>
    <w:rsid w:val="005C264F"/>
    <w:rsid w:val="005C5CB2"/>
    <w:rsid w:val="005D0096"/>
    <w:rsid w:val="005D2AC6"/>
    <w:rsid w:val="005E0304"/>
    <w:rsid w:val="005E3E36"/>
    <w:rsid w:val="005E509A"/>
    <w:rsid w:val="005F6A42"/>
    <w:rsid w:val="00604D92"/>
    <w:rsid w:val="006106A5"/>
    <w:rsid w:val="0061350B"/>
    <w:rsid w:val="00615E78"/>
    <w:rsid w:val="006249FC"/>
    <w:rsid w:val="00626795"/>
    <w:rsid w:val="006510ED"/>
    <w:rsid w:val="0065670C"/>
    <w:rsid w:val="00656738"/>
    <w:rsid w:val="006651F7"/>
    <w:rsid w:val="00666A51"/>
    <w:rsid w:val="0067539A"/>
    <w:rsid w:val="00697CE4"/>
    <w:rsid w:val="006A116F"/>
    <w:rsid w:val="006A28B3"/>
    <w:rsid w:val="006A4FC5"/>
    <w:rsid w:val="006B0D04"/>
    <w:rsid w:val="006C3DA6"/>
    <w:rsid w:val="006C5E5D"/>
    <w:rsid w:val="006C6021"/>
    <w:rsid w:val="006D2687"/>
    <w:rsid w:val="006F2A4A"/>
    <w:rsid w:val="00712135"/>
    <w:rsid w:val="00712BF8"/>
    <w:rsid w:val="00714D11"/>
    <w:rsid w:val="00721033"/>
    <w:rsid w:val="00726DB3"/>
    <w:rsid w:val="00736681"/>
    <w:rsid w:val="007451C1"/>
    <w:rsid w:val="00750D2C"/>
    <w:rsid w:val="007575C3"/>
    <w:rsid w:val="007600F0"/>
    <w:rsid w:val="0079549F"/>
    <w:rsid w:val="007A4971"/>
    <w:rsid w:val="007A6D8B"/>
    <w:rsid w:val="007B4962"/>
    <w:rsid w:val="007B55C8"/>
    <w:rsid w:val="007B74FB"/>
    <w:rsid w:val="007C038C"/>
    <w:rsid w:val="007C3D89"/>
    <w:rsid w:val="007D6ACE"/>
    <w:rsid w:val="007E0D8C"/>
    <w:rsid w:val="00807358"/>
    <w:rsid w:val="00812C59"/>
    <w:rsid w:val="00813214"/>
    <w:rsid w:val="008361D9"/>
    <w:rsid w:val="008405FA"/>
    <w:rsid w:val="008407E5"/>
    <w:rsid w:val="008416BC"/>
    <w:rsid w:val="00844B68"/>
    <w:rsid w:val="008558E0"/>
    <w:rsid w:val="008577A6"/>
    <w:rsid w:val="00857B11"/>
    <w:rsid w:val="0086012B"/>
    <w:rsid w:val="0086211B"/>
    <w:rsid w:val="008641C8"/>
    <w:rsid w:val="008673D2"/>
    <w:rsid w:val="008978ED"/>
    <w:rsid w:val="008A1A8A"/>
    <w:rsid w:val="008A648C"/>
    <w:rsid w:val="008B07FE"/>
    <w:rsid w:val="008B4A1A"/>
    <w:rsid w:val="008C08A5"/>
    <w:rsid w:val="008C3016"/>
    <w:rsid w:val="008C38D4"/>
    <w:rsid w:val="008C5BF4"/>
    <w:rsid w:val="008D236F"/>
    <w:rsid w:val="008E095E"/>
    <w:rsid w:val="008E3758"/>
    <w:rsid w:val="008E3D64"/>
    <w:rsid w:val="008E6148"/>
    <w:rsid w:val="008F0176"/>
    <w:rsid w:val="00900D73"/>
    <w:rsid w:val="00924497"/>
    <w:rsid w:val="009246FC"/>
    <w:rsid w:val="0093063D"/>
    <w:rsid w:val="00933824"/>
    <w:rsid w:val="00942B0A"/>
    <w:rsid w:val="00953EBE"/>
    <w:rsid w:val="00954B4D"/>
    <w:rsid w:val="00961B78"/>
    <w:rsid w:val="00962B18"/>
    <w:rsid w:val="00965303"/>
    <w:rsid w:val="00966129"/>
    <w:rsid w:val="00970BEB"/>
    <w:rsid w:val="0097680D"/>
    <w:rsid w:val="009772C3"/>
    <w:rsid w:val="00987D89"/>
    <w:rsid w:val="00991F88"/>
    <w:rsid w:val="00993ADD"/>
    <w:rsid w:val="00994266"/>
    <w:rsid w:val="009A3C5C"/>
    <w:rsid w:val="009A5F84"/>
    <w:rsid w:val="009C0BEB"/>
    <w:rsid w:val="009D0633"/>
    <w:rsid w:val="009D57C2"/>
    <w:rsid w:val="009F34E5"/>
    <w:rsid w:val="00A17B4C"/>
    <w:rsid w:val="00A24535"/>
    <w:rsid w:val="00A264BF"/>
    <w:rsid w:val="00A36D87"/>
    <w:rsid w:val="00A44559"/>
    <w:rsid w:val="00A5035F"/>
    <w:rsid w:val="00A633A6"/>
    <w:rsid w:val="00A66D81"/>
    <w:rsid w:val="00A7005D"/>
    <w:rsid w:val="00A77291"/>
    <w:rsid w:val="00A91E20"/>
    <w:rsid w:val="00A9216D"/>
    <w:rsid w:val="00AA1BD8"/>
    <w:rsid w:val="00AA3AF0"/>
    <w:rsid w:val="00AA6115"/>
    <w:rsid w:val="00AA73F4"/>
    <w:rsid w:val="00AB58AA"/>
    <w:rsid w:val="00AC47B9"/>
    <w:rsid w:val="00AE60DC"/>
    <w:rsid w:val="00AF0E4D"/>
    <w:rsid w:val="00AF665B"/>
    <w:rsid w:val="00B10A88"/>
    <w:rsid w:val="00B13982"/>
    <w:rsid w:val="00B2356D"/>
    <w:rsid w:val="00B24356"/>
    <w:rsid w:val="00B268A3"/>
    <w:rsid w:val="00B2727C"/>
    <w:rsid w:val="00B31794"/>
    <w:rsid w:val="00B3319C"/>
    <w:rsid w:val="00B34A81"/>
    <w:rsid w:val="00B40392"/>
    <w:rsid w:val="00B40F34"/>
    <w:rsid w:val="00B42719"/>
    <w:rsid w:val="00B43EDB"/>
    <w:rsid w:val="00B46400"/>
    <w:rsid w:val="00B64931"/>
    <w:rsid w:val="00B75DC5"/>
    <w:rsid w:val="00B84093"/>
    <w:rsid w:val="00B86B94"/>
    <w:rsid w:val="00B92D88"/>
    <w:rsid w:val="00B959C5"/>
    <w:rsid w:val="00BA6CCF"/>
    <w:rsid w:val="00BB63DD"/>
    <w:rsid w:val="00BC0017"/>
    <w:rsid w:val="00BC0B66"/>
    <w:rsid w:val="00BC312D"/>
    <w:rsid w:val="00BC36C1"/>
    <w:rsid w:val="00BC430D"/>
    <w:rsid w:val="00BC5CB6"/>
    <w:rsid w:val="00BD1392"/>
    <w:rsid w:val="00BD5E33"/>
    <w:rsid w:val="00BD73E5"/>
    <w:rsid w:val="00BE51A0"/>
    <w:rsid w:val="00BF1523"/>
    <w:rsid w:val="00C01453"/>
    <w:rsid w:val="00C128AC"/>
    <w:rsid w:val="00C12CE0"/>
    <w:rsid w:val="00C15F3C"/>
    <w:rsid w:val="00C163BD"/>
    <w:rsid w:val="00C1746A"/>
    <w:rsid w:val="00C3788F"/>
    <w:rsid w:val="00C40E12"/>
    <w:rsid w:val="00C6076D"/>
    <w:rsid w:val="00C60CB4"/>
    <w:rsid w:val="00C613DF"/>
    <w:rsid w:val="00C81CEE"/>
    <w:rsid w:val="00C907EB"/>
    <w:rsid w:val="00C90A50"/>
    <w:rsid w:val="00CB0E39"/>
    <w:rsid w:val="00CE78F4"/>
    <w:rsid w:val="00CF29A4"/>
    <w:rsid w:val="00CF713F"/>
    <w:rsid w:val="00D01A13"/>
    <w:rsid w:val="00D1289B"/>
    <w:rsid w:val="00D136CE"/>
    <w:rsid w:val="00D473B0"/>
    <w:rsid w:val="00D60679"/>
    <w:rsid w:val="00D66D78"/>
    <w:rsid w:val="00D765EE"/>
    <w:rsid w:val="00D80AF8"/>
    <w:rsid w:val="00D83746"/>
    <w:rsid w:val="00D8592A"/>
    <w:rsid w:val="00D93F7F"/>
    <w:rsid w:val="00D95BBD"/>
    <w:rsid w:val="00DB2EBC"/>
    <w:rsid w:val="00DC2EA8"/>
    <w:rsid w:val="00DC4AFC"/>
    <w:rsid w:val="00DC6C86"/>
    <w:rsid w:val="00E059A6"/>
    <w:rsid w:val="00E21E49"/>
    <w:rsid w:val="00E2789A"/>
    <w:rsid w:val="00E3052E"/>
    <w:rsid w:val="00E32BCF"/>
    <w:rsid w:val="00E35F53"/>
    <w:rsid w:val="00E409F0"/>
    <w:rsid w:val="00E40A6E"/>
    <w:rsid w:val="00E757FF"/>
    <w:rsid w:val="00E76201"/>
    <w:rsid w:val="00E76F96"/>
    <w:rsid w:val="00E84947"/>
    <w:rsid w:val="00E968B8"/>
    <w:rsid w:val="00EB4867"/>
    <w:rsid w:val="00EB777F"/>
    <w:rsid w:val="00EC2916"/>
    <w:rsid w:val="00EC4B80"/>
    <w:rsid w:val="00ED34C5"/>
    <w:rsid w:val="00ED4532"/>
    <w:rsid w:val="00F033A8"/>
    <w:rsid w:val="00F05C87"/>
    <w:rsid w:val="00F15602"/>
    <w:rsid w:val="00F170D3"/>
    <w:rsid w:val="00F268DF"/>
    <w:rsid w:val="00F33D91"/>
    <w:rsid w:val="00F3401D"/>
    <w:rsid w:val="00F372E4"/>
    <w:rsid w:val="00F63F99"/>
    <w:rsid w:val="00F76D9D"/>
    <w:rsid w:val="00F929E5"/>
    <w:rsid w:val="00F94DD6"/>
    <w:rsid w:val="00FC3F24"/>
    <w:rsid w:val="00FC4B42"/>
    <w:rsid w:val="00FD2F60"/>
    <w:rsid w:val="00FD3F27"/>
    <w:rsid w:val="00FE7371"/>
    <w:rsid w:val="00FF375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8596FD"/>
  <w15:chartTrackingRefBased/>
  <w15:docId w15:val="{B8AF4D68-FE37-4B0E-9B0B-62B664D1F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B139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B139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B1398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B1398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B1398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B1398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B1398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B1398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B13982"/>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B13982"/>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B13982"/>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B13982"/>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B13982"/>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B13982"/>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B13982"/>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B13982"/>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B13982"/>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B13982"/>
    <w:rPr>
      <w:rFonts w:eastAsiaTheme="majorEastAsia" w:cstheme="majorBidi"/>
      <w:color w:val="272727" w:themeColor="text1" w:themeTint="D8"/>
    </w:rPr>
  </w:style>
  <w:style w:type="paragraph" w:styleId="Ttulo">
    <w:name w:val="Title"/>
    <w:basedOn w:val="Normal"/>
    <w:next w:val="Normal"/>
    <w:link w:val="TtuloChar"/>
    <w:uiPriority w:val="10"/>
    <w:qFormat/>
    <w:rsid w:val="00B139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B1398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B13982"/>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B13982"/>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B13982"/>
    <w:pPr>
      <w:spacing w:before="160"/>
      <w:jc w:val="center"/>
    </w:pPr>
    <w:rPr>
      <w:i/>
      <w:iCs/>
      <w:color w:val="404040" w:themeColor="text1" w:themeTint="BF"/>
    </w:rPr>
  </w:style>
  <w:style w:type="character" w:customStyle="1" w:styleId="CitaoChar">
    <w:name w:val="Citação Char"/>
    <w:basedOn w:val="Fontepargpadro"/>
    <w:link w:val="Citao"/>
    <w:uiPriority w:val="29"/>
    <w:rsid w:val="00B13982"/>
    <w:rPr>
      <w:i/>
      <w:iCs/>
      <w:color w:val="404040" w:themeColor="text1" w:themeTint="BF"/>
    </w:rPr>
  </w:style>
  <w:style w:type="paragraph" w:styleId="PargrafodaLista">
    <w:name w:val="List Paragraph"/>
    <w:basedOn w:val="Normal"/>
    <w:uiPriority w:val="34"/>
    <w:qFormat/>
    <w:rsid w:val="00B13982"/>
    <w:pPr>
      <w:ind w:left="720"/>
      <w:contextualSpacing/>
    </w:pPr>
  </w:style>
  <w:style w:type="character" w:styleId="nfaseIntensa">
    <w:name w:val="Intense Emphasis"/>
    <w:basedOn w:val="Fontepargpadro"/>
    <w:uiPriority w:val="21"/>
    <w:qFormat/>
    <w:rsid w:val="00B13982"/>
    <w:rPr>
      <w:i/>
      <w:iCs/>
      <w:color w:val="0F4761" w:themeColor="accent1" w:themeShade="BF"/>
    </w:rPr>
  </w:style>
  <w:style w:type="paragraph" w:styleId="CitaoIntensa">
    <w:name w:val="Intense Quote"/>
    <w:basedOn w:val="Normal"/>
    <w:next w:val="Normal"/>
    <w:link w:val="CitaoIntensaChar"/>
    <w:uiPriority w:val="30"/>
    <w:qFormat/>
    <w:rsid w:val="00B139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B13982"/>
    <w:rPr>
      <w:i/>
      <w:iCs/>
      <w:color w:val="0F4761" w:themeColor="accent1" w:themeShade="BF"/>
    </w:rPr>
  </w:style>
  <w:style w:type="character" w:styleId="RefernciaIntensa">
    <w:name w:val="Intense Reference"/>
    <w:basedOn w:val="Fontepargpadro"/>
    <w:uiPriority w:val="32"/>
    <w:qFormat/>
    <w:rsid w:val="00B13982"/>
    <w:rPr>
      <w:b/>
      <w:bCs/>
      <w:smallCaps/>
      <w:color w:val="0F4761" w:themeColor="accent1" w:themeShade="BF"/>
      <w:spacing w:val="5"/>
    </w:rPr>
  </w:style>
  <w:style w:type="paragraph" w:customStyle="1" w:styleId="textocentralizadomaiusculasnegrito">
    <w:name w:val="texto_centralizado_maiusculas_negrit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centralizadomaiusculas">
    <w:name w:val="texto_centralizado_maiusculas"/>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justificado">
    <w:name w:val="texto_justificad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abealho">
    <w:name w:val="header"/>
    <w:basedOn w:val="Normal"/>
    <w:link w:val="CabealhoChar"/>
    <w:uiPriority w:val="99"/>
    <w:unhideWhenUsed/>
    <w:rsid w:val="00F05C8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05C87"/>
  </w:style>
  <w:style w:type="paragraph" w:styleId="Rodap">
    <w:name w:val="footer"/>
    <w:basedOn w:val="Normal"/>
    <w:link w:val="RodapChar"/>
    <w:uiPriority w:val="99"/>
    <w:unhideWhenUsed/>
    <w:rsid w:val="00F05C87"/>
    <w:pPr>
      <w:tabs>
        <w:tab w:val="center" w:pos="4252"/>
        <w:tab w:val="right" w:pos="8504"/>
      </w:tabs>
      <w:spacing w:after="0" w:line="240" w:lineRule="auto"/>
    </w:pPr>
  </w:style>
  <w:style w:type="character" w:customStyle="1" w:styleId="RodapChar">
    <w:name w:val="Rodapé Char"/>
    <w:basedOn w:val="Fontepargpadro"/>
    <w:link w:val="Rodap"/>
    <w:uiPriority w:val="99"/>
    <w:rsid w:val="00F05C87"/>
  </w:style>
  <w:style w:type="character" w:styleId="Refdecomentrio">
    <w:name w:val="annotation reference"/>
    <w:basedOn w:val="Fontepargpadro"/>
    <w:uiPriority w:val="99"/>
    <w:semiHidden/>
    <w:unhideWhenUsed/>
    <w:rsid w:val="00173596"/>
    <w:rPr>
      <w:sz w:val="16"/>
      <w:szCs w:val="16"/>
    </w:rPr>
  </w:style>
  <w:style w:type="paragraph" w:styleId="Textodecomentrio">
    <w:name w:val="annotation text"/>
    <w:basedOn w:val="Normal"/>
    <w:link w:val="TextodecomentrioChar"/>
    <w:uiPriority w:val="99"/>
    <w:unhideWhenUsed/>
    <w:rsid w:val="00173596"/>
    <w:pPr>
      <w:spacing w:line="240" w:lineRule="auto"/>
    </w:pPr>
    <w:rPr>
      <w:sz w:val="20"/>
      <w:szCs w:val="20"/>
    </w:rPr>
  </w:style>
  <w:style w:type="character" w:customStyle="1" w:styleId="TextodecomentrioChar">
    <w:name w:val="Texto de comentário Char"/>
    <w:basedOn w:val="Fontepargpadro"/>
    <w:link w:val="Textodecomentrio"/>
    <w:uiPriority w:val="99"/>
    <w:rsid w:val="00173596"/>
    <w:rPr>
      <w:sz w:val="20"/>
      <w:szCs w:val="20"/>
    </w:rPr>
  </w:style>
  <w:style w:type="paragraph" w:styleId="Assuntodocomentrio">
    <w:name w:val="annotation subject"/>
    <w:basedOn w:val="Textodecomentrio"/>
    <w:next w:val="Textodecomentrio"/>
    <w:link w:val="AssuntodocomentrioChar"/>
    <w:uiPriority w:val="99"/>
    <w:semiHidden/>
    <w:unhideWhenUsed/>
    <w:rsid w:val="00173596"/>
    <w:rPr>
      <w:b/>
      <w:bCs/>
    </w:rPr>
  </w:style>
  <w:style w:type="character" w:customStyle="1" w:styleId="AssuntodocomentrioChar">
    <w:name w:val="Assunto do comentário Char"/>
    <w:basedOn w:val="TextodecomentrioChar"/>
    <w:link w:val="Assuntodocomentrio"/>
    <w:uiPriority w:val="99"/>
    <w:semiHidden/>
    <w:rsid w:val="00173596"/>
    <w:rPr>
      <w:b/>
      <w:bCs/>
      <w:sz w:val="20"/>
      <w:szCs w:val="20"/>
    </w:rPr>
  </w:style>
  <w:style w:type="paragraph" w:customStyle="1" w:styleId="seo">
    <w:name w:val="se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artigo">
    <w:name w:val="artig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NormalWeb">
    <w:name w:val="Normal (Web)"/>
    <w:basedOn w:val="Normal"/>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7B74FB"/>
    <w:rPr>
      <w:b/>
      <w:bCs/>
    </w:rPr>
  </w:style>
  <w:style w:type="character" w:styleId="Hyperlink">
    <w:name w:val="Hyperlink"/>
    <w:basedOn w:val="Fontepargpadro"/>
    <w:uiPriority w:val="99"/>
    <w:semiHidden/>
    <w:unhideWhenUsed/>
    <w:rsid w:val="007B74FB"/>
    <w:rPr>
      <w:color w:val="0000FF"/>
      <w:u w:val="single"/>
    </w:rPr>
  </w:style>
  <w:style w:type="paragraph" w:customStyle="1" w:styleId="cap">
    <w:name w:val="cap"/>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orpodetexto2">
    <w:name w:val="Body Text 2"/>
    <w:basedOn w:val="Normal"/>
    <w:link w:val="Corpodetexto2Char"/>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Corpodetexto2Char">
    <w:name w:val="Corpo de texto 2 Char"/>
    <w:basedOn w:val="Fontepargpadro"/>
    <w:link w:val="Corpodetexto2"/>
    <w:uiPriority w:val="99"/>
    <w:semiHidden/>
    <w:rsid w:val="007B74FB"/>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5742F7"/>
    <w:pPr>
      <w:spacing w:after="0" w:line="240" w:lineRule="auto"/>
    </w:pPr>
  </w:style>
  <w:style w:type="table" w:styleId="Tabelacomgrade">
    <w:name w:val="Table Grid"/>
    <w:basedOn w:val="Tabelanormal"/>
    <w:uiPriority w:val="39"/>
    <w:rsid w:val="008C08A5"/>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ontepargpadro"/>
    <w:rsid w:val="00ED453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5018051">
      <w:bodyDiv w:val="1"/>
      <w:marLeft w:val="0"/>
      <w:marRight w:val="0"/>
      <w:marTop w:val="0"/>
      <w:marBottom w:val="0"/>
      <w:divBdr>
        <w:top w:val="none" w:sz="0" w:space="0" w:color="auto"/>
        <w:left w:val="none" w:sz="0" w:space="0" w:color="auto"/>
        <w:bottom w:val="none" w:sz="0" w:space="0" w:color="auto"/>
        <w:right w:val="none" w:sz="0" w:space="0" w:color="auto"/>
      </w:divBdr>
    </w:div>
    <w:div w:id="339628528">
      <w:bodyDiv w:val="1"/>
      <w:marLeft w:val="0"/>
      <w:marRight w:val="0"/>
      <w:marTop w:val="0"/>
      <w:marBottom w:val="0"/>
      <w:divBdr>
        <w:top w:val="none" w:sz="0" w:space="0" w:color="auto"/>
        <w:left w:val="none" w:sz="0" w:space="0" w:color="auto"/>
        <w:bottom w:val="none" w:sz="0" w:space="0" w:color="auto"/>
        <w:right w:val="none" w:sz="0" w:space="0" w:color="auto"/>
      </w:divBdr>
    </w:div>
    <w:div w:id="799692315">
      <w:bodyDiv w:val="1"/>
      <w:marLeft w:val="0"/>
      <w:marRight w:val="0"/>
      <w:marTop w:val="0"/>
      <w:marBottom w:val="0"/>
      <w:divBdr>
        <w:top w:val="none" w:sz="0" w:space="0" w:color="auto"/>
        <w:left w:val="none" w:sz="0" w:space="0" w:color="auto"/>
        <w:bottom w:val="none" w:sz="0" w:space="0" w:color="auto"/>
        <w:right w:val="none" w:sz="0" w:space="0" w:color="auto"/>
      </w:divBdr>
    </w:div>
    <w:div w:id="917011777">
      <w:bodyDiv w:val="1"/>
      <w:marLeft w:val="0"/>
      <w:marRight w:val="0"/>
      <w:marTop w:val="0"/>
      <w:marBottom w:val="0"/>
      <w:divBdr>
        <w:top w:val="none" w:sz="0" w:space="0" w:color="auto"/>
        <w:left w:val="none" w:sz="0" w:space="0" w:color="auto"/>
        <w:bottom w:val="none" w:sz="0" w:space="0" w:color="auto"/>
        <w:right w:val="none" w:sz="0" w:space="0" w:color="auto"/>
      </w:divBdr>
    </w:div>
    <w:div w:id="1068264770">
      <w:bodyDiv w:val="1"/>
      <w:marLeft w:val="0"/>
      <w:marRight w:val="0"/>
      <w:marTop w:val="0"/>
      <w:marBottom w:val="0"/>
      <w:divBdr>
        <w:top w:val="none" w:sz="0" w:space="0" w:color="auto"/>
        <w:left w:val="none" w:sz="0" w:space="0" w:color="auto"/>
        <w:bottom w:val="none" w:sz="0" w:space="0" w:color="auto"/>
        <w:right w:val="none" w:sz="0" w:space="0" w:color="auto"/>
      </w:divBdr>
    </w:div>
    <w:div w:id="1214272371">
      <w:bodyDiv w:val="1"/>
      <w:marLeft w:val="0"/>
      <w:marRight w:val="0"/>
      <w:marTop w:val="0"/>
      <w:marBottom w:val="0"/>
      <w:divBdr>
        <w:top w:val="none" w:sz="0" w:space="0" w:color="auto"/>
        <w:left w:val="none" w:sz="0" w:space="0" w:color="auto"/>
        <w:bottom w:val="none" w:sz="0" w:space="0" w:color="auto"/>
        <w:right w:val="none" w:sz="0" w:space="0" w:color="auto"/>
      </w:divBdr>
    </w:div>
    <w:div w:id="1377896522">
      <w:bodyDiv w:val="1"/>
      <w:marLeft w:val="0"/>
      <w:marRight w:val="0"/>
      <w:marTop w:val="0"/>
      <w:marBottom w:val="0"/>
      <w:divBdr>
        <w:top w:val="none" w:sz="0" w:space="0" w:color="auto"/>
        <w:left w:val="none" w:sz="0" w:space="0" w:color="auto"/>
        <w:bottom w:val="none" w:sz="0" w:space="0" w:color="auto"/>
        <w:right w:val="none" w:sz="0" w:space="0" w:color="auto"/>
      </w:divBdr>
    </w:div>
    <w:div w:id="1602910806">
      <w:bodyDiv w:val="1"/>
      <w:marLeft w:val="0"/>
      <w:marRight w:val="0"/>
      <w:marTop w:val="0"/>
      <w:marBottom w:val="0"/>
      <w:divBdr>
        <w:top w:val="none" w:sz="0" w:space="0" w:color="auto"/>
        <w:left w:val="none" w:sz="0" w:space="0" w:color="auto"/>
        <w:bottom w:val="none" w:sz="0" w:space="0" w:color="auto"/>
        <w:right w:val="none" w:sz="0" w:space="0" w:color="auto"/>
      </w:divBdr>
    </w:div>
    <w:div w:id="1627001585">
      <w:bodyDiv w:val="1"/>
      <w:marLeft w:val="0"/>
      <w:marRight w:val="0"/>
      <w:marTop w:val="0"/>
      <w:marBottom w:val="0"/>
      <w:divBdr>
        <w:top w:val="none" w:sz="0" w:space="0" w:color="auto"/>
        <w:left w:val="none" w:sz="0" w:space="0" w:color="auto"/>
        <w:bottom w:val="none" w:sz="0" w:space="0" w:color="auto"/>
        <w:right w:val="none" w:sz="0" w:space="0" w:color="auto"/>
      </w:divBdr>
    </w:div>
    <w:div w:id="1862938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15</Pages>
  <Words>5825</Words>
  <Characters>31456</Characters>
  <Application>Microsoft Office Word</Application>
  <DocSecurity>0</DocSecurity>
  <Lines>262</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Elizabeth Ashton de Araujo - PREVICDF</dc:creator>
  <cp:keywords/>
  <dc:description/>
  <cp:lastModifiedBy>Claudia Elizabeth Ashton de Araujo - PREVICDF</cp:lastModifiedBy>
  <cp:revision>8</cp:revision>
  <dcterms:created xsi:type="dcterms:W3CDTF">2024-06-20T14:39:00Z</dcterms:created>
  <dcterms:modified xsi:type="dcterms:W3CDTF">2024-06-20T17:36:00Z</dcterms:modified>
</cp:coreProperties>
</file>